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Designing Explainable AI Decision Systems for Enterprise Workflows: A Practical Architecture Approach</w:t>
      </w:r>
    </w:p>
    <w:bookmarkStart w:id="9" w:name="abstract"/>
    <w:p>
      <w:pPr>
        <w:pStyle w:val="Heading2"/>
      </w:pPr>
      <w:r>
        <w:t xml:space="preserve">Abstract</w:t>
      </w:r>
    </w:p>
    <w:p>
      <w:pPr>
        <w:pStyle w:val="FirstParagraph"/>
      </w:pPr>
      <w:r>
        <w:t xml:space="preserve">Enterprise AI systems increasingly influence operational decisions, yet many remain difficult to interrogate once they produce alerts, classifications, or workflow recommendations. This opacity limits organizational trust, complicates governance, and reduces the practical value of model-assisted decision-making in settings such as customer support, employee services, and compliance operations. This paper presents a practical architecture for explainable AI decision systems that integrates privacy-aware ingestion, asynchronous inference, hybrid rule-based decision logic, and evidence-centered explanation outputs within a single enterprise workflow pipeline. The architecture is instantiated in the Enterprise AI Decision Support System (EADSS), a reference implementation built with FastAPI, Celery, PostgreSQL, Redis, and Next.js. EADSS ingests operational text events, redacts sensitive information, performs sentiment and emotion inference, computes aggregate behavioral indicators, and generates explainable alerts through confidence scores, ranked evidence, keyword highlights, and baseline comparisons. A local evaluation using synthetic enterprise communication data indicates that the architecture can deliver interpretable outputs with minimal computational overhead while preserving operational responsiveness. The results support the claim that explainability can be embedded into enterprise decision systems as an architectural property rather than appended as a post hoc visualization layer.</w:t>
      </w:r>
    </w:p>
    <w:p>
      <w:pPr>
        <w:pStyle w:val="BodyText"/>
      </w:pPr>
      <w:r>
        <w:rPr>
          <w:b/>
          <w:bCs/>
        </w:rPr>
        <w:t xml:space="preserve">Keywords:</w:t>
      </w:r>
      <w:r>
        <w:t xml:space="preserve"> </w:t>
      </w:r>
      <w:r>
        <w:t xml:space="preserve">Explainable AI, enterprise workflows, decision support systems, interpretable machine learning, workflow automation, sentiment analysis</w:t>
      </w:r>
    </w:p>
    <w:bookmarkEnd w:id="9"/>
    <w:bookmarkStart w:id="10" w:name="introduction"/>
    <w:p>
      <w:pPr>
        <w:pStyle w:val="Heading2"/>
      </w:pPr>
      <w:r>
        <w:t xml:space="preserve">Introduction</w:t>
      </w:r>
    </w:p>
    <w:p>
      <w:pPr>
        <w:pStyle w:val="FirstParagraph"/>
      </w:pPr>
      <w:r>
        <w:t xml:space="preserve">Artificial intelligence is now embedded in a wide range of enterprise workflows, including customer support triage, internal service monitoring, employee feedback analysis, and operational risk detection. In such settings, the value of AI is not limited to predictive accuracy; it also depends on whether organizational actors can understand and justify the outputs that shape downstream actions. This requirement has become central in the explainable AI literature, which has repeatedly shown that opaque models undermine accountability, adoption, and responsible deployment [1]-[3].</w:t>
      </w:r>
    </w:p>
    <w:p>
      <w:pPr>
        <w:pStyle w:val="BodyText"/>
      </w:pPr>
      <w:r>
        <w:t xml:space="preserve">The practical difficulty is that enterprise users rarely consume predictions in isolation. They encounter them as alerts, priority scores, escalation recommendations, or dashboard indicators embedded in workflow systems. An explanation strategy is therefore useful only if it travels with the decision artifact itself. Social-science perspectives on explanation further suggest that human users value selective, contrastive, and context-sensitive justifications rather than raw model internals [4]. As a result, an enterprise decision system requires more than interpretable modeling in the narrow sense; it requires workflow-integrated explanation.</w:t>
      </w:r>
    </w:p>
    <w:p>
      <w:pPr>
        <w:pStyle w:val="BodyText"/>
      </w:pPr>
      <w:r>
        <w:t xml:space="preserve">This need is evident across multiple application areas. In healthcare-facing support operations, an unexplained classification may distort triage. In customer support environments, opaque prioritization can lead to inefficient escalation or unexamined bias. In organizational monitoring, unexplained emotional-risk signals may create governance and ethical concerns. Recent work on interpretable machine learning has emphasized the need for systematic evaluation and operational framing rather than ad hoc interpretability claims [5].</w:t>
      </w:r>
    </w:p>
    <w:p>
      <w:pPr>
        <w:pStyle w:val="BodyText"/>
      </w:pPr>
      <w:r>
        <w:t xml:space="preserve">This paper proposes a practical architecture for explainable AI decision systems that integrates explainability directly into enterprise workflows through ingestion, inference, evidence generation, and action orchestration.</w:t>
      </w:r>
    </w:p>
    <w:bookmarkEnd w:id="10"/>
    <w:bookmarkStart w:id="11" w:name="problem-statement"/>
    <w:p>
      <w:pPr>
        <w:pStyle w:val="Heading2"/>
      </w:pPr>
      <w:r>
        <w:t xml:space="preserve">Problem Statement</w:t>
      </w:r>
    </w:p>
    <w:p>
      <w:pPr>
        <w:pStyle w:val="FirstParagraph"/>
      </w:pPr>
      <w:r>
        <w:t xml:space="preserve">The central problem addressed in this work is the mismatch between AI-generated decisions and enterprise requirements for transparency, trust, and workflow integration.</w:t>
      </w:r>
    </w:p>
    <w:p>
      <w:pPr>
        <w:pStyle w:val="BodyText"/>
      </w:pPr>
      <w:r>
        <w:t xml:space="preserve">First, many enterprise AI systems expose decisions without sufficient reasoning context. Users may see outputs such as</w:t>
      </w:r>
      <w:r>
        <w:t xml:space="preserve"> </w:t>
      </w:r>
      <w:r>
        <w:t xml:space="preserve">“risk spike,”</w:t>
      </w:r>
      <w:r>
        <w:t xml:space="preserve"> </w:t>
      </w:r>
      <w:r>
        <w:t xml:space="preserve">“negative trend,”</w:t>
      </w:r>
      <w:r>
        <w:t xml:space="preserve"> </w:t>
      </w:r>
      <w:r>
        <w:t xml:space="preserve">or</w:t>
      </w:r>
      <w:r>
        <w:t xml:space="preserve"> </w:t>
      </w:r>
      <w:r>
        <w:t xml:space="preserve">“escalate case,”</w:t>
      </w:r>
      <w:r>
        <w:t xml:space="preserve"> </w:t>
      </w:r>
      <w:r>
        <w:t xml:space="preserve">but they are not shown the evidence or decision path that produced the result. This weakens validation and makes operational oversight difficult.</w:t>
      </w:r>
    </w:p>
    <w:p>
      <w:pPr>
        <w:pStyle w:val="BodyText"/>
      </w:pPr>
      <w:r>
        <w:t xml:space="preserve">Second, low transparency directly erodes trust. Enterprise stakeholders are accountable for the consequences of acting on AI recommendations. When system outputs cannot be justified, users either ignore them, which reduces system value, or over-trust them, which creates operational and governance risk. Explainability is therefore not merely a usability enhancement; it is a prerequisite for responsible action.</w:t>
      </w:r>
    </w:p>
    <w:p>
      <w:pPr>
        <w:pStyle w:val="BodyText"/>
      </w:pPr>
      <w:r>
        <w:t xml:space="preserve">Third, even when interpretable modeling techniques are available, they are often not integrated into workflow systems. In many deployments, explanation is externalized into development tools or analytical notebooks rather than delivered where users make decisions. This separation turns explanation into a research artifact rather than an operational capability.</w:t>
      </w:r>
    </w:p>
    <w:p>
      <w:pPr>
        <w:pStyle w:val="BodyText"/>
      </w:pPr>
      <w:r>
        <w:t xml:space="preserve">The architectural challenge, therefore, is to design a system that preserves traceability from enterprise event ingestion to AI inference, decision logic, explanation output, and workflow action.</w:t>
      </w:r>
    </w:p>
    <w:bookmarkEnd w:id="11"/>
    <w:bookmarkStart w:id="17" w:name="proposed-system-architecture"/>
    <w:p>
      <w:pPr>
        <w:pStyle w:val="Heading2"/>
      </w:pPr>
      <w:r>
        <w:t xml:space="preserve">Proposed System Architecture</w:t>
      </w:r>
    </w:p>
    <w:p>
      <w:pPr>
        <w:pStyle w:val="FirstParagraph"/>
      </w:pPr>
      <w:r>
        <w:t xml:space="preserve">The proposed architecture is organized into five cooperating layers.</w:t>
      </w:r>
    </w:p>
    <w:bookmarkStart w:id="12" w:name="a.-input-layer"/>
    <w:p>
      <w:pPr>
        <w:pStyle w:val="Heading3"/>
      </w:pPr>
      <w:r>
        <w:t xml:space="preserve">A. Input Layer</w:t>
      </w:r>
    </w:p>
    <w:p>
      <w:pPr>
        <w:pStyle w:val="FirstParagraph"/>
      </w:pPr>
      <w:r>
        <w:t xml:space="preserve">The input layer accepts enterprise events such as support tickets, feedback submissions, survey responses, chat interactions, and API-originated data streams. Each item carries workflow metadata, including organizational unit, source, channel, tags, and event time. Before persistence, the input is normalized and subjected to personally identifiable information redaction so that downstream processing operates on privacy-reduced text.</w:t>
      </w:r>
    </w:p>
    <w:bookmarkEnd w:id="12"/>
    <w:bookmarkStart w:id="13" w:name="b.-processing-layer"/>
    <w:p>
      <w:pPr>
        <w:pStyle w:val="Heading3"/>
      </w:pPr>
      <w:r>
        <w:t xml:space="preserve">B. Processing Layer</w:t>
      </w:r>
    </w:p>
    <w:p>
      <w:pPr>
        <w:pStyle w:val="FirstParagraph"/>
      </w:pPr>
      <w:r>
        <w:t xml:space="preserve">The processing layer performs document-level inference over the redacted event stream. In the present EADSS implementation, this includes sentiment classification, emotion labeling, and confidence estimation. The layer is intentionally asynchronous: ingestion commits events immediately, while worker processes execute inference jobs in the background. This separation preserves responsiveness at the workflow boundary while maintaining a persistent linkage between source document and inference result.</w:t>
      </w:r>
    </w:p>
    <w:bookmarkEnd w:id="13"/>
    <w:bookmarkStart w:id="14" w:name="c.-decision-engine"/>
    <w:p>
      <w:pPr>
        <w:pStyle w:val="Heading3"/>
      </w:pPr>
      <w:r>
        <w:t xml:space="preserve">C. Decision Engine</w:t>
      </w:r>
    </w:p>
    <w:p>
      <w:pPr>
        <w:pStyle w:val="FirstParagraph"/>
      </w:pPr>
      <w:r>
        <w:t xml:space="preserve">The decision engine combines learned signals with explicit rule logic. Instead of mapping each document directly to an enterprise action, the system first computes aggregate behavioral indicators over time and then applies interpretable rules to detect statistically unusual conditions. In EADSS, this is implemented through daily emotion aggregation and robust negative-rate spike detection. The design reflects the view that explainability in enterprise environments is strengthened when model outputs are mediated by inspectable decision criteria rather than treated as final actions.</w:t>
      </w:r>
    </w:p>
    <w:bookmarkEnd w:id="14"/>
    <w:bookmarkStart w:id="15" w:name="d.-explainability-layer"/>
    <w:p>
      <w:pPr>
        <w:pStyle w:val="Heading3"/>
      </w:pPr>
      <w:r>
        <w:t xml:space="preserve">D. Explainability Layer</w:t>
      </w:r>
    </w:p>
    <w:p>
      <w:pPr>
        <w:pStyle w:val="FirstParagraph"/>
      </w:pPr>
      <w:r>
        <w:t xml:space="preserve">The explainability layer transforms inference and decision artifacts into user-inspectable reasoning outputs. In the reference implementation, these outputs include sentiment labels, emotion categories, calibrated confidence scores, highlighted keywords, ranked supporting evidence, and baseline comparison statistics. This design is compatible with both local explanation paradigms and broader black-box explanation methods that emphasize instance-level interpretability [6], [7].</w:t>
      </w:r>
    </w:p>
    <w:bookmarkEnd w:id="15"/>
    <w:bookmarkStart w:id="16" w:name="e.-action-layer"/>
    <w:p>
      <w:pPr>
        <w:pStyle w:val="Heading3"/>
      </w:pPr>
      <w:r>
        <w:t xml:space="preserve">E. Action Layer</w:t>
      </w:r>
    </w:p>
    <w:p>
      <w:pPr>
        <w:pStyle w:val="FirstParagraph"/>
      </w:pPr>
      <w:r>
        <w:t xml:space="preserve">The action layer exposes explained decisions to operational systems. The outputs include alerts, recommendations, dashboard indicators, and workflow triggers that can be consumed by enterprise interfaces or external applications. The distinguishing property of this layer is that actions are emitted together with justification artifacts, enabling users to inspect not only the system output but also the rationale attached to it.</w:t>
      </w:r>
    </w:p>
    <w:p>
      <w:pPr>
        <w:pStyle w:val="BodyText"/>
      </w:pPr>
      <w:r>
        <w:t xml:space="preserve">Figure 1 summarizes the architecture.</w:t>
      </w:r>
    </w:p>
    <w:p>
      <w:pPr>
        <w:pStyle w:val="SourceCode"/>
      </w:pPr>
      <w:r>
        <w:rPr>
          <w:rStyle w:val="VerbatimChar"/>
        </w:rPr>
        <w:t xml:space="preserve">+-------------+    +----------------+    +-----------------+    +-------------------+    +--------------+</w:t>
      </w:r>
      <w:r>
        <w:br/>
      </w:r>
      <w:r>
        <w:rPr>
          <w:rStyle w:val="VerbatimChar"/>
        </w:rPr>
        <w:t xml:space="preserve">| Input Layer | -&gt; | Processing     | -&gt; | Decision Engine | -&gt; | Explainability    | -&gt; | Action Layer |</w:t>
      </w:r>
      <w:r>
        <w:br/>
      </w:r>
      <w:r>
        <w:rPr>
          <w:rStyle w:val="VerbatimChar"/>
        </w:rPr>
        <w:t xml:space="preserve">| Tickets,    |    | NLP inference, |    | Hybrid rules,   |    | Confidence,       |    | Alerts,      |</w:t>
      </w:r>
      <w:r>
        <w:br/>
      </w:r>
      <w:r>
        <w:rPr>
          <w:rStyle w:val="VerbatimChar"/>
        </w:rPr>
        <w:t xml:space="preserve">| feedback,   |    | sentiment,     |    | aggregation,    |    | evidence,         |    | dashboard,   |</w:t>
      </w:r>
      <w:r>
        <w:br/>
      </w:r>
      <w:r>
        <w:rPr>
          <w:rStyle w:val="VerbatimChar"/>
        </w:rPr>
        <w:t xml:space="preserve">| streams     |    | emotions       |    | anomaly scoring |    | highlights        |    | triggers     |</w:t>
      </w:r>
      <w:r>
        <w:br/>
      </w:r>
      <w:r>
        <w:rPr>
          <w:rStyle w:val="VerbatimChar"/>
        </w:rPr>
        <w:t xml:space="preserve">+-------------+    +----------------+    +-----------------+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PII redaction and  |</w:t>
      </w:r>
      <w:r>
        <w:br/>
      </w:r>
      <w:r>
        <w:rPr>
          <w:rStyle w:val="VerbatimChar"/>
        </w:rPr>
        <w:t xml:space="preserve">  | metadata handling  |</w:t>
      </w:r>
      <w:r>
        <w:br/>
      </w:r>
      <w:r>
        <w:rPr>
          <w:rStyle w:val="VerbatimChar"/>
        </w:rPr>
        <w:t xml:space="preserve">  +--------------------+</w:t>
      </w:r>
    </w:p>
    <w:p>
      <w:pPr>
        <w:pStyle w:val="FirstParagraph"/>
      </w:pPr>
      <w:r>
        <w:t xml:space="preserve">The architecture is intended to be practical rather than model-specific. Each layer can be modified independently, but the end-to-end trace between event, inference, decision, and explanation is preserved.</w:t>
      </w:r>
    </w:p>
    <w:bookmarkEnd w:id="16"/>
    <w:bookmarkEnd w:id="17"/>
    <w:bookmarkStart w:id="18" w:name="implementation"/>
    <w:p>
      <w:pPr>
        <w:pStyle w:val="Heading2"/>
      </w:pPr>
      <w:r>
        <w:t xml:space="preserve">Implementation</w:t>
      </w:r>
    </w:p>
    <w:p>
      <w:pPr>
        <w:pStyle w:val="FirstParagraph"/>
      </w:pPr>
      <w:r>
        <w:t xml:space="preserve">The proposed architecture is instantiated in the Enterprise AI Decision Support System (EADSS), a containerized enterprise decision-support platform.</w:t>
      </w:r>
    </w:p>
    <w:p>
      <w:pPr>
        <w:pStyle w:val="BodyText"/>
      </w:pPr>
      <w:r>
        <w:t xml:space="preserve">EADSS uses a FastAPI backend to expose RESTful endpoints for ticket ingestion, document retrieval, inference inspection, alert access, organization onboarding, and usage reporting. PostgreSQL stores documents, inference runs, inferred document labels, aggregated metrics, alert rules, alert events, evidence records, and audit-related usage data. Redis and Celery support background execution for inference and scheduled analytical tasks. A Next.js frontend exposes operational dashboards for organizational trend monitoring and alert investigation.</w:t>
      </w:r>
    </w:p>
    <w:p>
      <w:pPr>
        <w:pStyle w:val="BodyText"/>
      </w:pPr>
      <w:r>
        <w:t xml:space="preserve">During ingestion, raw ticket text is redacted to mask email addresses and phone numbers before persistence. Each item is stored together with workflow metadata such as organization, team, channel, source, tags, and timestamp. If inference is enabled, the system creates a queued inference run and dispatches a background job that computes sentiment, emotion labels, and calibrated confidence scores over the redacted text. These outputs are stored in document-linked inference records.</w:t>
      </w:r>
    </w:p>
    <w:p>
      <w:pPr>
        <w:pStyle w:val="BodyText"/>
      </w:pPr>
      <w:r>
        <w:t xml:space="preserve">On the analytical side, scheduled tasks compute daily emotional aggregates and detect statistically significant negative-rate spikes across organizational segments. When the rule engine creates an alert, the system identifies the most relevant contributing documents, computes contribution scores using sentiment, emotion, keyword matches, and confidence, and attaches evidence records to the alert. These evidence objects include text highlights and contextual metadata, which are later exposed through the alert detail interface.</w:t>
      </w:r>
    </w:p>
    <w:p>
      <w:pPr>
        <w:pStyle w:val="BodyText"/>
      </w:pPr>
      <w:r>
        <w:t xml:space="preserve">From an architectural standpoint, the implementation demonstrates that explainability can be represented as a persistent data product rather than an ephemeral UI overlay.</w:t>
      </w:r>
    </w:p>
    <w:bookmarkEnd w:id="18"/>
    <w:bookmarkStart w:id="19" w:name="evaluation-and-results"/>
    <w:p>
      <w:pPr>
        <w:pStyle w:val="Heading2"/>
      </w:pPr>
      <w:r>
        <w:t xml:space="preserve">Evaluation and Results</w:t>
      </w:r>
    </w:p>
    <w:p>
      <w:pPr>
        <w:pStyle w:val="FirstParagraph"/>
      </w:pPr>
      <w:r>
        <w:t xml:space="preserve">An initial evaluation was conducted using the EADSS synthetic data generator, which produces enterprise-style communication items spanning channels such as email, chat, surveys, API-originated submissions, and web interactions. The generated items include varied emotional language together with artificial personally identifiable information, making them suitable for validating both redaction behavior and explanation-aware inference flow.</w:t>
      </w:r>
    </w:p>
    <w:p>
      <w:pPr>
        <w:pStyle w:val="BodyText"/>
      </w:pPr>
      <w:r>
        <w:t xml:space="preserve">The evaluation focused on three properties: classification behavior, explanation availability, and response overhead. On a local benchmark over 15 template texts derived from the generator, the lexical emotion model achieved a sentiment accuracy of 0.80 and a label-overlap score of 0.67 against the intended template categories. Average per-text inference latency was approximately 0.007 ms, with a maximum observed latency of 0.066 ms in the local micro-benchmark.</w:t>
      </w:r>
    </w:p>
    <w:p>
      <w:pPr>
        <w:pStyle w:val="BodyText"/>
      </w:pPr>
      <w:r>
        <w:t xml:space="preserve">While the numerical evaluation is limited, the architectural outputs were more significant than the raw classification values. Each inference record preserved sentiment, emotion labels, and calibrated confidence. Each alert could additionally surface ranked evidence documents, contribution scores, highlighted keyword spans, and robust baseline statistics such as median historical value and z-score deviation. These artifacts materially improve inspectability relative to opaque alert generation, especially in enterprise settings where users must justify action to supervisors, auditors, or domain specialists.</w:t>
      </w:r>
    </w:p>
    <w:p>
      <w:pPr>
        <w:pStyle w:val="BodyText"/>
      </w:pPr>
      <w:r>
        <w:t xml:space="preserve">The results therefore support the practical feasibility of low-overhead, explanation-aware decision support within enterprise workflow systems.</w:t>
      </w:r>
    </w:p>
    <w:bookmarkEnd w:id="19"/>
    <w:bookmarkStart w:id="20" w:name="discussion"/>
    <w:p>
      <w:pPr>
        <w:pStyle w:val="Heading2"/>
      </w:pPr>
      <w:r>
        <w:t xml:space="preserve">Discussion</w:t>
      </w:r>
    </w:p>
    <w:p>
      <w:pPr>
        <w:pStyle w:val="FirstParagraph"/>
      </w:pPr>
      <w:r>
        <w:t xml:space="preserve">The principal contribution of the proposed approach is architectural. Rather than treating explainability as a separate interpretability dashboard, the system embeds explanation into the same operational objects that enterprise users already consume. This reduces the gap between model diagnostics and workflow action.</w:t>
      </w:r>
    </w:p>
    <w:p>
      <w:pPr>
        <w:pStyle w:val="BodyText"/>
      </w:pPr>
      <w:r>
        <w:t xml:space="preserve">The hybrid design also introduces governance advantages. Since enterprise actions are mediated through explicit rules over interpretable aggregate indicators, administrators can adjust thresholds, audit conditions, and reason about behavior without direct dependence on opaque end-to-end models. This is consistent with broader calls for responsible and inspectable AI design in organizational environments [3].</w:t>
      </w:r>
    </w:p>
    <w:p>
      <w:pPr>
        <w:pStyle w:val="BodyText"/>
      </w:pPr>
      <w:r>
        <w:t xml:space="preserve">Several limitations remain. The current inference component is intentionally lightweight and lexicon-driven, which restricts semantic depth and domain adaptation. The evaluation dataset is synthetic and small, so the reported metrics should be interpreted as an engineering baseline rather than a general performance claim. In addition, explanation quality is not reducible to a single metric; future evaluation should examine user trust calibration, intervention quality, and decision consistency.</w:t>
      </w:r>
    </w:p>
    <w:p>
      <w:pPr>
        <w:pStyle w:val="BodyText"/>
      </w:pPr>
      <w:r>
        <w:t xml:space="preserve">There are also ethical constraints. Emotional inference over enterprise communications can be sensitive, and even transparent systems may create false confidence if their outputs are treated as objective indicators rather than probabilistic assessments. In practice, explainability must therefore be paired with privacy safeguards, role-based access controls, and clear policies regarding acceptable use.</w:t>
      </w:r>
    </w:p>
    <w:bookmarkEnd w:id="20"/>
    <w:bookmarkStart w:id="21" w:name="conclusion"/>
    <w:p>
      <w:pPr>
        <w:pStyle w:val="Heading2"/>
      </w:pPr>
      <w:r>
        <w:t xml:space="preserve">Conclusion</w:t>
      </w:r>
    </w:p>
    <w:p>
      <w:pPr>
        <w:pStyle w:val="FirstParagraph"/>
      </w:pPr>
      <w:r>
        <w:t xml:space="preserve">This paper presented a practical architecture for explainable AI decision systems in enterprise workflows and described its implementation in the EADSS platform. The architecture combines privacy-aware event ingestion, asynchronous inference, hybrid decision logic, evidence-centered explanation, and workflow-integrated action within a single end-to-end system.</w:t>
      </w:r>
    </w:p>
    <w:p>
      <w:pPr>
        <w:pStyle w:val="BodyText"/>
      </w:pPr>
      <w:r>
        <w:t xml:space="preserve">The significance of the approach lies in demonstrating that explainability can be operationalized as an architectural property of enterprise decision systems rather than an auxiliary research feature. By persisting evidence, confidence, and baseline context alongside alerts and recommendations, the system supports more transparent, auditable, and actionable AI-assisted operations.</w:t>
      </w:r>
    </w:p>
    <w:p>
      <w:pPr>
        <w:pStyle w:val="BodyText"/>
      </w:pPr>
      <w:r>
        <w:t xml:space="preserve">Future work will focus on integrating stronger domain-adapted language models, evaluating the system on real organizational datasets, incorporating human feedback loops for explanation refinement, and extending the architecture to support broader workflow domains and multimodal decision evidence.</w:t>
      </w:r>
    </w:p>
    <w:bookmarkEnd w:id="21"/>
    <w:bookmarkStart w:id="22" w:name="references"/>
    <w:p>
      <w:pPr>
        <w:pStyle w:val="Heading2"/>
      </w:pPr>
      <w:r>
        <w:t xml:space="preserve">References</w:t>
      </w:r>
    </w:p>
    <w:p>
      <w:pPr>
        <w:pStyle w:val="FirstParagraph"/>
      </w:pPr>
      <w:r>
        <w:t xml:space="preserve">[1] A. Adadi and M. Berrada,</w:t>
      </w:r>
      <w:r>
        <w:t xml:space="preserve"> </w:t>
      </w:r>
      <w:r>
        <w:t xml:space="preserve">“Peeking Inside the Black-Box: A Survey on Explainable Artificial Intelligence (XAI),”</w:t>
      </w:r>
      <w:r>
        <w:t xml:space="preserve"> </w:t>
      </w:r>
      <w:r>
        <w:rPr>
          <w:i/>
          <w:iCs/>
        </w:rPr>
        <w:t xml:space="preserve">IEEE Access</w:t>
      </w:r>
      <w:r>
        <w:t xml:space="preserve">, vol. 6, pp. 52138-52160, 2018, doi: 10.1109/ACCESS.2018.2870052.</w:t>
      </w:r>
    </w:p>
    <w:p>
      <w:pPr>
        <w:pStyle w:val="BodyText"/>
      </w:pPr>
      <w:r>
        <w:t xml:space="preserve">[2] R. Guidotti, A. Monreale, S. Ruggieri, F. Turini, D. Pedreschi, and F. Giannotti,</w:t>
      </w:r>
      <w:r>
        <w:t xml:space="preserve"> </w:t>
      </w:r>
      <w:r>
        <w:t xml:space="preserve">“A Survey of Methods for Explaining Black Box Models,”</w:t>
      </w:r>
      <w:r>
        <w:t xml:space="preserve"> </w:t>
      </w:r>
      <w:r>
        <w:rPr>
          <w:i/>
          <w:iCs/>
        </w:rPr>
        <w:t xml:space="preserve">ACM Computing Surveys</w:t>
      </w:r>
      <w:r>
        <w:t xml:space="preserve">, vol. 51, no. 5, pp. 93:1-93:42, 2018, doi: 10.1145/3236009.</w:t>
      </w:r>
    </w:p>
    <w:p>
      <w:pPr>
        <w:pStyle w:val="BodyText"/>
      </w:pPr>
      <w:r>
        <w:t xml:space="preserve">[3] A. B. Arrieta</w:t>
      </w:r>
      <w:r>
        <w:t xml:space="preserve"> </w:t>
      </w:r>
      <w:r>
        <w:rPr>
          <w:i/>
          <w:iCs/>
        </w:rPr>
        <w:t xml:space="preserve">et al</w:t>
      </w:r>
      <w:r>
        <w:t xml:space="preserve">.,</w:t>
      </w:r>
      <w:r>
        <w:t xml:space="preserve"> </w:t>
      </w:r>
      <w:r>
        <w:t xml:space="preserve">“Explainable Artificial Intelligence (XAI): Concepts, Taxonomies, Opportunities and Challenges toward Responsible AI,”</w:t>
      </w:r>
      <w:r>
        <w:t xml:space="preserve"> </w:t>
      </w:r>
      <w:r>
        <w:rPr>
          <w:i/>
          <w:iCs/>
        </w:rPr>
        <w:t xml:space="preserve">Information Fusion</w:t>
      </w:r>
      <w:r>
        <w:t xml:space="preserve">, vol. 58, pp. 82-115, 2020, doi: 10.1016/j.inffus.2019.12.012.</w:t>
      </w:r>
    </w:p>
    <w:p>
      <w:pPr>
        <w:pStyle w:val="BodyText"/>
      </w:pPr>
      <w:r>
        <w:t xml:space="preserve">[4] T. Miller,</w:t>
      </w:r>
      <w:r>
        <w:t xml:space="preserve"> </w:t>
      </w:r>
      <w:r>
        <w:t xml:space="preserve">“Explanation in Artificial Intelligence: Insights from the Social Sciences,”</w:t>
      </w:r>
      <w:r>
        <w:t xml:space="preserve"> </w:t>
      </w:r>
      <w:r>
        <w:rPr>
          <w:i/>
          <w:iCs/>
        </w:rPr>
        <w:t xml:space="preserve">Artificial Intelligence</w:t>
      </w:r>
      <w:r>
        <w:t xml:space="preserve">, vol. 267, pp. 1-38, 2019, doi: 10.1016/j.artint.2018.07.007.</w:t>
      </w:r>
    </w:p>
    <w:p>
      <w:pPr>
        <w:pStyle w:val="BodyText"/>
      </w:pPr>
      <w:r>
        <w:t xml:space="preserve">[5] F. Doshi-Velez and B. Kim,</w:t>
      </w:r>
      <w:r>
        <w:t xml:space="preserve"> </w:t>
      </w:r>
      <w:r>
        <w:t xml:space="preserve">“Towards a Rigorous Science of Interpretable Machine Learning,”</w:t>
      </w:r>
      <w:r>
        <w:t xml:space="preserve"> </w:t>
      </w:r>
      <w:r>
        <w:rPr>
          <w:i/>
          <w:iCs/>
        </w:rPr>
        <w:t xml:space="preserve">arXiv preprint arXiv:1702.08608</w:t>
      </w:r>
      <w:r>
        <w:t xml:space="preserve">, 2017.</w:t>
      </w:r>
    </w:p>
    <w:p>
      <w:pPr>
        <w:pStyle w:val="BodyText"/>
      </w:pPr>
      <w:r>
        <w:t xml:space="preserve">[6] M. T. Ribeiro, S. Singh, and C. Guestrin,</w:t>
      </w:r>
      <w:r>
        <w:t xml:space="preserve"> </w:t>
      </w:r>
      <w:r>
        <w:t xml:space="preserve">“</w:t>
      </w:r>
      <w:r>
        <w:t xml:space="preserve">‘Why Should I Trust You?’</w:t>
      </w:r>
      <w:r>
        <w:t xml:space="preserve">: Explaining the Predictions of Any Classifier,”</w:t>
      </w:r>
      <w:r>
        <w:t xml:space="preserve"> </w:t>
      </w:r>
      <w:r>
        <w:t xml:space="preserve">in</w:t>
      </w:r>
      <w:r>
        <w:t xml:space="preserve"> </w:t>
      </w:r>
      <w:r>
        <w:rPr>
          <w:i/>
          <w:iCs/>
        </w:rPr>
        <w:t xml:space="preserve">Proceedings of the 22nd ACM SIGKDD International Conference on Knowledge Discovery and Data Mining</w:t>
      </w:r>
      <w:r>
        <w:t xml:space="preserve">, 2016, pp. 1135-1144, doi: 10.1145/2939672.2939778.</w:t>
      </w:r>
    </w:p>
    <w:p>
      <w:pPr>
        <w:pStyle w:val="BodyText"/>
      </w:pPr>
      <w:r>
        <w:t xml:space="preserve">[7] 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30</w:t>
      </w:r>
      <w:r>
        <w:t xml:space="preserve">, 2017, pp. 4765-4774.</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Explainable AI Decision Systems for Enterprise Workflows: A Practical Architecture Approach</dc:title>
  <dc:creator/>
  <cp:keywords>Explainable AI, enterprise workflows, decision support systems, interpretable machine learning, workflow automation, sentiment analysis</cp:keywords>
  <dcterms:created xsi:type="dcterms:W3CDTF">2026-04-11T23:43:39Z</dcterms:created>
  <dcterms:modified xsi:type="dcterms:W3CDTF">2026-04-11T23:43:39Z</dcterms:modified>
</cp:coreProperties>
</file>

<file path=docProps/custom.xml><?xml version="1.0" encoding="utf-8"?>
<Properties xmlns="http://schemas.openxmlformats.org/officeDocument/2006/custom-properties" xmlns:vt="http://schemas.openxmlformats.org/officeDocument/2006/docPropsVTypes"/>
</file>