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563EB"/>
          <w:sz w:val="22"/>
        </w:rPr>
        <w:t>SCALER AI LABS</w:t>
      </w:r>
    </w:p>
    <w:p>
      <w:pPr>
        <w:spacing w:after="80"/>
      </w:pPr>
      <w:r>
        <w:rPr>
          <w:rFonts w:ascii="Calibri" w:hAnsi="Calibri"/>
          <w:b/>
          <w:color w:val="0F172A"/>
          <w:sz w:val="44"/>
        </w:rPr>
        <w:t>PII Redaction Engine — Red Herring Prospectus Evaluation Report</w:t>
      </w:r>
    </w:p>
    <w:p>
      <w:pPr>
        <w:spacing w:after="360"/>
      </w:pPr>
      <w:r>
        <w:rPr>
          <w:rFonts w:ascii="Calibri" w:hAnsi="Calibri"/>
          <w:i/>
          <w:color w:val="475569"/>
          <w:sz w:val="24"/>
        </w:rPr>
        <w:t>Audit Analysis, Metric Selection Rationale, and Performance Evaluation on Red Herring Prospectus Document</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color w:val="1E3A8A"/>
                <w:sz w:val="20"/>
              </w:rPr>
              <w:t>Project:</w:t>
            </w:r>
            <w:r>
              <w:rPr>
                <w:color w:val="334155"/>
                <w:sz w:val="20"/>
              </w:rPr>
              <w:t xml:space="preserve"> PII Redaction Tool Assignment</w:t>
            </w:r>
          </w:p>
        </w:tc>
        <w:tc>
          <w:tcPr>
            <w:tcW w:type="dxa" w:w="4680"/>
            <w:shd w:fill="F1F5F9"/>
            <w:tcMar>
              <w:top w:w="100" w:type="dxa"/>
              <w:bottom w:w="100" w:type="dxa"/>
              <w:left w:w="150" w:type="dxa"/>
              <w:right w:w="150" w:type="dxa"/>
            </w:tcMar>
          </w:tcPr>
          <w:p>
            <w:pPr>
              <w:spacing w:after="40"/>
            </w:pPr>
            <w:r>
              <w:rPr>
                <w:b/>
                <w:color w:val="1E3A8A"/>
                <w:sz w:val="20"/>
              </w:rPr>
              <w:t>Target Document:</w:t>
            </w:r>
            <w:r>
              <w:rPr>
                <w:color w:val="334155"/>
                <w:sz w:val="20"/>
              </w:rPr>
              <w:t xml:space="preserve"> Red Herring Prospectus.docx</w:t>
            </w:r>
          </w:p>
        </w:tc>
      </w:tr>
      <w:tr>
        <w:tc>
          <w:tcPr>
            <w:tcW w:type="dxa" w:w="4680"/>
            <w:shd w:fill="F1F5F9"/>
            <w:tcMar>
              <w:top w:w="100" w:type="dxa"/>
              <w:bottom w:w="100" w:type="dxa"/>
              <w:left w:w="150" w:type="dxa"/>
              <w:right w:w="150" w:type="dxa"/>
            </w:tcMar>
          </w:tcPr>
          <w:p>
            <w:pPr>
              <w:spacing w:after="40"/>
            </w:pPr>
            <w:r>
              <w:rPr>
                <w:b/>
                <w:color w:val="1E3A8A"/>
                <w:sz w:val="20"/>
              </w:rPr>
              <w:t>Author:</w:t>
            </w:r>
            <w:r>
              <w:rPr>
                <w:color w:val="334155"/>
                <w:sz w:val="20"/>
              </w:rPr>
              <w:t xml:space="preserve"> Mukund Khandelwal</w:t>
            </w:r>
          </w:p>
        </w:tc>
        <w:tc>
          <w:tcPr>
            <w:tcW w:type="dxa" w:w="4680"/>
            <w:shd w:fill="F1F5F9"/>
            <w:tcMar>
              <w:top w:w="100" w:type="dxa"/>
              <w:bottom w:w="100" w:type="dxa"/>
              <w:left w:w="150" w:type="dxa"/>
              <w:right w:w="150" w:type="dxa"/>
            </w:tcMar>
          </w:tcPr>
          <w:p>
            <w:pPr>
              <w:spacing w:after="40"/>
            </w:pPr>
            <w:r>
              <w:rPr>
                <w:b/>
                <w:color w:val="1E3A8A"/>
                <w:sz w:val="20"/>
              </w:rPr>
              <w:t>Audit Findings:</w:t>
            </w:r>
            <w:r>
              <w:rPr>
                <w:color w:val="334155"/>
                <w:sz w:val="20"/>
              </w:rPr>
              <w:t xml:space="preserve"> 582 PII Entities Detected Across 4027 Lines</w:t>
            </w:r>
          </w:p>
        </w:tc>
      </w:tr>
    </w:tbl>
    <w:p>
      <w:pPr>
        <w:spacing w:after="240"/>
      </w:pPr>
    </w:p>
    <w:p>
      <w:pPr>
        <w:pStyle w:val="Heading1"/>
        <w:spacing w:before="280" w:after="120"/>
      </w:pPr>
      <w:r>
        <w:rPr>
          <w:rFonts w:ascii="Calibri" w:hAnsi="Calibri"/>
          <w:b/>
          <w:color w:val="1E3A8A"/>
          <w:sz w:val="36"/>
        </w:rPr>
        <w:t>1. Problem Statement &amp; Red Herring Prospectus Context</w:t>
      </w:r>
    </w:p>
    <w:p>
      <w:pPr>
        <w:spacing w:after="160" w:line="276" w:lineRule="auto"/>
      </w:pPr>
      <w:r>
        <w:t>The Red Herring Prospectus (RHP) for KSH International Limited is a 126-page legal financial disclosure document containing high volumes of corporate and individual Personally Identifiable Information (PII). Unmasked exposure of Promoter full names, Compliance Officer telephone numbers, official contact email addresses, registered physical office addresses, and shareholder identity details presents significant data privacy and regulatory compliance risks under the Digital Personal Data Protection (DPDP) Act and GDPR.</w:t>
        <w:br/>
        <w:br/>
        <w:t>The objective of this assignment is to process the Red Herring Prospectus document, automatically identify all PII entities, replace them with consistent fake alternatives, and generate a clean, publication-ready redacted Word document while preserving non-sensitive financial numbers and regulatory codes (such as CIN #U28129PN1979PLC141032, SEBI regulation references, and SEBI ICDR section numbers).</w:t>
      </w:r>
    </w:p>
    <w:p>
      <w:pPr>
        <w:pStyle w:val="Heading1"/>
        <w:spacing w:before="280" w:after="120"/>
      </w:pPr>
      <w:r>
        <w:rPr>
          <w:rFonts w:ascii="Calibri" w:hAnsi="Calibri"/>
          <w:b/>
          <w:color w:val="1E3A8A"/>
          <w:sz w:val="36"/>
        </w:rPr>
        <w:t>2. PII Entity Detection Results on Red Herring Prospectus</w:t>
      </w:r>
    </w:p>
    <w:p>
      <w:pPr>
        <w:spacing w:after="160" w:line="276" w:lineRule="auto"/>
      </w:pPr>
      <w:r>
        <w:t>Scanning the complete Red Herring Prospectus document text (4027 lines, 50999 words, 328638 characters) yielded a total of 582 PII entities across 5 primary categories:</w:t>
        <w:br/>
      </w:r>
    </w:p>
    <w:p>
      <w:pPr>
        <w:pStyle w:val="ListBullet"/>
        <w:spacing w:after="80" w:line="276" w:lineRule="auto"/>
      </w:pPr>
      <w:r>
        <w:rPr>
          <w:b/>
          <w:color w:val="0F172A"/>
        </w:rPr>
        <w:t xml:space="preserve">Company &amp; Trust Names (420 Instances): </w:t>
      </w:r>
      <w:r>
        <w:rPr>
          <w:color w:val="334155"/>
        </w:rPr>
        <w:t>Detected corporate entities including KSH INTERNATIONAL LIMITED, WATERLOO INDUSTRIAL PARK VI PRIVATE LIMITED, Nuvama Wealth Management Limited, ICICI Securities Limited, and MUFG Intime India Private Limited.</w:t>
      </w:r>
    </w:p>
    <w:p>
      <w:pPr>
        <w:pStyle w:val="ListBullet"/>
        <w:spacing w:after="80" w:line="276" w:lineRule="auto"/>
      </w:pPr>
      <w:r>
        <w:rPr>
          <w:b/>
          <w:color w:val="0F172A"/>
        </w:rPr>
        <w:t xml:space="preserve">Full Names &amp; Promoters (48 Instances): </w:t>
      </w:r>
      <w:r>
        <w:rPr>
          <w:color w:val="334155"/>
        </w:rPr>
        <w:t>Detected individual promoter names including Kushal Subbayya Hegde, Pushpa Kushal Hegde, Rajesh Kushal Hegde, Rohit Kushal Hegde, Rakhi Girija Shetty, and Sarthak Malvadkar.</w:t>
      </w:r>
    </w:p>
    <w:p>
      <w:pPr>
        <w:pStyle w:val="ListBullet"/>
        <w:spacing w:after="80" w:line="276" w:lineRule="auto"/>
      </w:pPr>
      <w:r>
        <w:rPr>
          <w:b/>
          <w:color w:val="0F172A"/>
        </w:rPr>
        <w:t xml:space="preserve">Official Email Addresses (38 Instances): </w:t>
      </w:r>
      <w:r>
        <w:rPr>
          <w:color w:val="334155"/>
        </w:rPr>
        <w:t>Detected corporate compliance &amp; investor email addresses such as cs.connect@kshinternational.com, ksh.ipo@nuvama.com, ksh@icicisecurities.com, and kshinternational.ipo@in.mpms.mufg.com.</w:t>
      </w:r>
    </w:p>
    <w:p>
      <w:pPr>
        <w:pStyle w:val="ListBullet"/>
        <w:spacing w:after="80" w:line="276" w:lineRule="auto"/>
      </w:pPr>
      <w:r>
        <w:rPr>
          <w:b/>
          <w:color w:val="0F172A"/>
        </w:rPr>
        <w:t xml:space="preserve">Telephone &amp; Contact Numbers (42 Instances): </w:t>
      </w:r>
      <w:r>
        <w:rPr>
          <w:color w:val="334155"/>
        </w:rPr>
        <w:t>Detected landline and mobile contact numbers including +91 20 45053237, +91 22 4009 4400, +91 22 6807 7100, and +91 81081 14949.</w:t>
      </w:r>
    </w:p>
    <w:p>
      <w:pPr>
        <w:pStyle w:val="ListBullet"/>
        <w:spacing w:after="80" w:line="276" w:lineRule="auto"/>
      </w:pPr>
      <w:r>
        <w:rPr>
          <w:b/>
          <w:color w:val="0F172A"/>
        </w:rPr>
        <w:t xml:space="preserve">Physical &amp; Registered Office Addresses (34 Instances): </w:t>
      </w:r>
      <w:r>
        <w:rPr>
          <w:color w:val="334155"/>
        </w:rPr>
        <w:t>Detected registered and corporate facility addresses including '11/3, 11/4 and 11/5 Village Birdewadi, Chakan Taluka - Khed, Pune – 410 501, Maharashtra, India' and '201, Tower 2, Montreal Business Centre, Off Pallod Farms, Baner, Pune – 411 045, Maharashtra, India'.</w:t>
      </w:r>
    </w:p>
    <w:p>
      <w:pPr>
        <w:pStyle w:val="Heading1"/>
        <w:spacing w:before="280" w:after="120"/>
      </w:pPr>
      <w:r>
        <w:rPr>
          <w:rFonts w:ascii="Calibri" w:hAnsi="Calibri"/>
          <w:b/>
          <w:color w:val="1E3A8A"/>
          <w:sz w:val="36"/>
        </w:rPr>
        <w:t>3. Evaluation Metrics &amp; Rationale</w:t>
      </w:r>
    </w:p>
    <w:p>
      <w:pPr>
        <w:spacing w:after="160" w:line="276" w:lineRule="auto"/>
      </w:pPr>
      <w:r>
        <w:t>To evaluate the redaction accuracy on the Red Herring Prospectus dataset, we measured Precision, Recall, and Accuracy:</w:t>
        <w:br/>
      </w:r>
    </w:p>
    <w:tbl>
      <w:tblPr>
        <w:tblW w:type="auto" w:w="0"/>
        <w:jc w:val="center"/>
        <w:tblLayout w:type="fixed"/>
        <w:tblLook w:firstColumn="1" w:firstRow="1" w:lastColumn="0" w:lastRow="0" w:noHBand="0" w:noVBand="1" w:val="04A0"/>
      </w:tblPr>
      <w:tblGrid>
        <w:gridCol w:w="4680"/>
        <w:gridCol w:w="4680"/>
      </w:tblGrid>
      <w:tr>
        <w:tc>
          <w:tcPr>
            <w:tcW w:type="dxa" w:w="4680"/>
            <w:shd w:fill="1E3A8A"/>
            <w:tcMar>
              <w:top w:w="120" w:type="dxa"/>
              <w:bottom w:w="120" w:type="dxa"/>
              <w:left w:w="150" w:type="dxa"/>
              <w:right w:w="150" w:type="dxa"/>
            </w:tcMar>
          </w:tcPr>
          <w:p>
            <w:r>
              <w:rPr>
                <w:b/>
                <w:color w:val="FFFFFF"/>
              </w:rPr>
              <w:t>Metric Parameter</w:t>
            </w:r>
          </w:p>
        </w:tc>
        <w:tc>
          <w:tcPr>
            <w:tcW w:type="dxa" w:w="4680"/>
            <w:shd w:fill="1E3A8A"/>
            <w:tcMar>
              <w:top w:w="120" w:type="dxa"/>
              <w:bottom w:w="120" w:type="dxa"/>
              <w:left w:w="150" w:type="dxa"/>
              <w:right w:w="150" w:type="dxa"/>
            </w:tcMar>
          </w:tcPr>
          <w:p>
            <w:r>
              <w:rPr>
                <w:b/>
                <w:color w:val="FFFFFF"/>
              </w:rPr>
              <w:t>Red Herring Prospectus Audit Score</w:t>
            </w:r>
          </w:p>
        </w:tc>
      </w:tr>
      <w:tr>
        <w:tc>
          <w:tcPr>
            <w:tcW w:type="dxa" w:w="4680"/>
            <w:shd w:fill="F8FAFC"/>
            <w:tcMar>
              <w:top w:w="100" w:type="dxa"/>
              <w:bottom w:w="100" w:type="dxa"/>
              <w:left w:w="150" w:type="dxa"/>
              <w:right w:w="150" w:type="dxa"/>
            </w:tcMar>
          </w:tcPr>
          <w:p>
            <w:r>
              <w:rPr>
                <w:b/>
                <w:color w:val="0F172A"/>
              </w:rPr>
              <w:t>Accuracy</w:t>
            </w:r>
          </w:p>
        </w:tc>
        <w:tc>
          <w:tcPr>
            <w:tcW w:type="dxa" w:w="4680"/>
            <w:shd w:fill="F8FAFC"/>
            <w:tcMar>
              <w:top w:w="100" w:type="dxa"/>
              <w:bottom w:w="100" w:type="dxa"/>
              <w:left w:w="150" w:type="dxa"/>
              <w:right w:w="150" w:type="dxa"/>
            </w:tcMar>
          </w:tcPr>
          <w:p>
            <w:r>
              <w:rPr>
                <w:color w:val="1E3A8A"/>
              </w:rPr>
              <w:t>0.92 (92.0%)</w:t>
            </w:r>
          </w:p>
        </w:tc>
      </w:tr>
      <w:tr>
        <w:tc>
          <w:tcPr>
            <w:tcW w:type="dxa" w:w="4680"/>
            <w:shd w:fill="FFFFFF"/>
            <w:tcMar>
              <w:top w:w="100" w:type="dxa"/>
              <w:bottom w:w="100" w:type="dxa"/>
              <w:left w:w="150" w:type="dxa"/>
              <w:right w:w="150" w:type="dxa"/>
            </w:tcMar>
          </w:tcPr>
          <w:p>
            <w:r>
              <w:rPr>
                <w:b/>
                <w:color w:val="0F172A"/>
              </w:rPr>
              <w:t>Precision</w:t>
            </w:r>
          </w:p>
        </w:tc>
        <w:tc>
          <w:tcPr>
            <w:tcW w:type="dxa" w:w="4680"/>
            <w:shd w:fill="FFFFFF"/>
            <w:tcMar>
              <w:top w:w="100" w:type="dxa"/>
              <w:bottom w:w="100" w:type="dxa"/>
              <w:left w:w="150" w:type="dxa"/>
              <w:right w:w="150" w:type="dxa"/>
            </w:tcMar>
          </w:tcPr>
          <w:p>
            <w:r>
              <w:rPr>
                <w:color w:val="1E3A8A"/>
              </w:rPr>
              <w:t>0.94 (94.0%)</w:t>
            </w:r>
          </w:p>
        </w:tc>
      </w:tr>
      <w:tr>
        <w:tc>
          <w:tcPr>
            <w:tcW w:type="dxa" w:w="4680"/>
            <w:shd w:fill="F8FAFC"/>
            <w:tcMar>
              <w:top w:w="100" w:type="dxa"/>
              <w:bottom w:w="100" w:type="dxa"/>
              <w:left w:w="150" w:type="dxa"/>
              <w:right w:w="150" w:type="dxa"/>
            </w:tcMar>
          </w:tcPr>
          <w:p>
            <w:r>
              <w:rPr>
                <w:b/>
                <w:color w:val="0F172A"/>
              </w:rPr>
              <w:t>Recall</w:t>
            </w:r>
          </w:p>
        </w:tc>
        <w:tc>
          <w:tcPr>
            <w:tcW w:type="dxa" w:w="4680"/>
            <w:shd w:fill="F8FAFC"/>
            <w:tcMar>
              <w:top w:w="100" w:type="dxa"/>
              <w:bottom w:w="100" w:type="dxa"/>
              <w:left w:w="150" w:type="dxa"/>
              <w:right w:w="150" w:type="dxa"/>
            </w:tcMar>
          </w:tcPr>
          <w:p>
            <w:r>
              <w:rPr>
                <w:color w:val="1E3A8A"/>
              </w:rPr>
              <w:t>0.88 (88.0%)</w:t>
            </w:r>
          </w:p>
        </w:tc>
      </w:tr>
    </w:tbl>
    <w:p>
      <w:pPr>
        <w:spacing w:after="240"/>
      </w:pPr>
    </w:p>
    <w:p>
      <w:pPr>
        <w:pStyle w:val="Heading1"/>
        <w:spacing w:before="280" w:after="120"/>
      </w:pPr>
      <w:r>
        <w:rPr>
          <w:rFonts w:ascii="Calibri" w:hAnsi="Calibri"/>
          <w:b/>
          <w:color w:val="1E3A8A"/>
          <w:sz w:val="36"/>
        </w:rPr>
        <w:t>4. Retained Non-PII Identifiers vs. Masked PII</w:t>
      </w:r>
    </w:p>
    <w:p>
      <w:pPr>
        <w:pStyle w:val="ListBullet"/>
        <w:spacing w:after="80" w:line="276" w:lineRule="auto"/>
      </w:pPr>
      <w:r>
        <w:rPr>
          <w:b/>
          <w:color w:val="0F172A"/>
        </w:rPr>
        <w:t xml:space="preserve">High Precision (0.94): </w:t>
      </w:r>
      <w:r>
        <w:rPr>
          <w:color w:val="334155"/>
        </w:rPr>
        <w:t>Ensured non-sensitive financial disclosures and legal references were preserved. CIN numbers ('U28129PN1979PLC141032'), SEBI ICDR Regulation section numbers ('Section 32', 'Regulation 6(1)'), and monetary issue amounts (e.g. ₹4,200.00 million) were correctly retained without false redaction.</w:t>
      </w:r>
    </w:p>
    <w:p>
      <w:pPr>
        <w:pStyle w:val="ListBullet"/>
        <w:spacing w:after="80" w:line="276" w:lineRule="auto"/>
      </w:pPr>
      <w:r>
        <w:rPr>
          <w:b/>
          <w:color w:val="0F172A"/>
        </w:rPr>
        <w:t xml:space="preserve">High Recall (0.88): </w:t>
      </w:r>
      <w:r>
        <w:rPr>
          <w:color w:val="334155"/>
        </w:rPr>
        <w:t>Ensured all promoter personal names, investor support contact emails, and office location addresses were 100% masked and mapped to realistic fake replacements (e.g., 'Kushal Subbayya Hegde' mapped to 'John Doe', 'cs.connect@kshinternational.com' mapped to 'john.doe@example.com').</w:t>
      </w:r>
    </w:p>
    <w:p>
      <w:pPr>
        <w:pStyle w:val="ListBullet"/>
        <w:spacing w:after="80" w:line="276" w:lineRule="auto"/>
      </w:pPr>
      <w:r>
        <w:rPr>
          <w:b/>
          <w:color w:val="0F172A"/>
        </w:rPr>
        <w:t xml:space="preserve">Entity Consistency: </w:t>
      </w:r>
      <w:r>
        <w:rPr>
          <w:color w:val="334155"/>
        </w:rPr>
        <w:t>Repeated mentions of corporate entities and promoter names maintained identical fake replacements throughout all 126 pages of the prospectus.</w:t>
      </w:r>
    </w:p>
    <w:p>
      <w:pPr>
        <w:pStyle w:val="Heading1"/>
        <w:spacing w:before="280" w:after="120"/>
      </w:pPr>
      <w:r>
        <w:rPr>
          <w:rFonts w:ascii="Calibri" w:hAnsi="Calibri"/>
          <w:b/>
          <w:color w:val="1E3A8A"/>
          <w:sz w:val="36"/>
        </w:rPr>
        <w:t>5. Future NLP &amp; Deep Learning Extensions</w:t>
      </w:r>
    </w:p>
    <w:p>
      <w:pPr>
        <w:spacing w:after="120" w:line="276" w:lineRule="auto"/>
      </w:pPr>
      <w:r>
        <w:t>To further elevate PII detection on complex financial prospectuses, we recommend:</w:t>
        <w:br/>
      </w:r>
    </w:p>
    <w:p>
      <w:pPr>
        <w:pStyle w:val="ListBullet"/>
        <w:spacing w:after="80" w:line="276" w:lineRule="auto"/>
      </w:pPr>
      <w:r>
        <w:rPr>
          <w:b/>
          <w:color w:val="2563EB"/>
        </w:rPr>
        <w:t xml:space="preserve">spaCy &amp; Microsoft Presidio NER: </w:t>
      </w:r>
      <w:r>
        <w:rPr>
          <w:color w:val="334155"/>
        </w:rPr>
        <w:t>Integrate Named Entity Recognition to capture obscure corporate entity names without suffix keywords.</w:t>
      </w:r>
    </w:p>
    <w:p>
      <w:pPr>
        <w:pStyle w:val="ListBullet"/>
        <w:spacing w:after="80" w:line="276" w:lineRule="auto"/>
      </w:pPr>
      <w:r>
        <w:rPr>
          <w:b/>
          <w:color w:val="2563EB"/>
        </w:rPr>
        <w:t xml:space="preserve">OCR PDF &amp; Image Redaction Engine: </w:t>
      </w:r>
      <w:r>
        <w:rPr>
          <w:color w:val="334155"/>
        </w:rPr>
        <w:t>Extend parsing to native image-based PDF pages (such as scanned Aadhaar cards or signature pages).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