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2563EB"/>
          <w:sz w:val="22"/>
        </w:rPr>
        <w:t>SCALER AI LABS</w:t>
      </w:r>
    </w:p>
    <w:p>
      <w:pPr>
        <w:spacing w:after="80"/>
      </w:pPr>
      <w:r>
        <w:rPr>
          <w:rFonts w:ascii="Calibri" w:hAnsi="Calibri"/>
          <w:b/>
          <w:color w:val="0F172A"/>
          <w:sz w:val="44"/>
        </w:rPr>
        <w:t>PII Redaction Engine — Technical Evaluation Strategy &amp; Metric Report</w:t>
      </w:r>
    </w:p>
    <w:p>
      <w:pPr>
        <w:spacing w:after="360"/>
      </w:pPr>
      <w:r>
        <w:rPr>
          <w:rFonts w:ascii="Calibri" w:hAnsi="Calibri"/>
          <w:i/>
          <w:color w:val="475569"/>
          <w:sz w:val="24"/>
        </w:rPr>
        <w:t>Comprehensive Performance Audit, Rationale, and Error Analysis on 1,200 Benchmark Records</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00" w:type="dxa"/>
              <w:bottom w:w="100" w:type="dxa"/>
              <w:left w:w="150" w:type="dxa"/>
              <w:right w:w="150" w:type="dxa"/>
            </w:tcMar>
          </w:tcPr>
          <w:p>
            <w:pPr>
              <w:spacing w:after="40"/>
            </w:pPr>
            <w:r>
              <w:rPr>
                <w:b/>
                <w:color w:val="1E3A8A"/>
                <w:sz w:val="20"/>
              </w:rPr>
              <w:t>Project:</w:t>
            </w:r>
            <w:r>
              <w:rPr>
                <w:color w:val="334155"/>
                <w:sz w:val="20"/>
              </w:rPr>
              <w:t xml:space="preserve"> PII Redaction Tool Assignment</w:t>
            </w:r>
          </w:p>
        </w:tc>
        <w:tc>
          <w:tcPr>
            <w:tcW w:type="dxa" w:w="4680"/>
            <w:shd w:fill="F1F5F9"/>
            <w:tcMar>
              <w:top w:w="100" w:type="dxa"/>
              <w:bottom w:w="100" w:type="dxa"/>
              <w:left w:w="150" w:type="dxa"/>
              <w:right w:w="150" w:type="dxa"/>
            </w:tcMar>
          </w:tcPr>
          <w:p>
            <w:pPr>
              <w:spacing w:after="40"/>
            </w:pPr>
            <w:r>
              <w:rPr>
                <w:b/>
                <w:color w:val="1E3A8A"/>
                <w:sz w:val="20"/>
              </w:rPr>
              <w:t>Target Entity:</w:t>
            </w:r>
            <w:r>
              <w:rPr>
                <w:color w:val="334155"/>
                <w:sz w:val="20"/>
              </w:rPr>
              <w:t xml:space="preserve"> Scaler AI Labs Evaluation</w:t>
            </w:r>
          </w:p>
        </w:tc>
      </w:tr>
      <w:tr>
        <w:tc>
          <w:tcPr>
            <w:tcW w:type="dxa" w:w="4680"/>
            <w:shd w:fill="F1F5F9"/>
            <w:tcMar>
              <w:top w:w="100" w:type="dxa"/>
              <w:bottom w:w="100" w:type="dxa"/>
              <w:left w:w="150" w:type="dxa"/>
              <w:right w:w="150" w:type="dxa"/>
            </w:tcMar>
          </w:tcPr>
          <w:p>
            <w:pPr>
              <w:spacing w:after="40"/>
            </w:pPr>
            <w:r>
              <w:rPr>
                <w:b/>
                <w:color w:val="1E3A8A"/>
                <w:sz w:val="20"/>
              </w:rPr>
              <w:t>Author:</w:t>
            </w:r>
            <w:r>
              <w:rPr>
                <w:color w:val="334155"/>
                <w:sz w:val="20"/>
              </w:rPr>
              <w:t xml:space="preserve"> Mukund Khandelwal</w:t>
            </w:r>
          </w:p>
        </w:tc>
        <w:tc>
          <w:tcPr>
            <w:tcW w:type="dxa" w:w="4680"/>
            <w:shd w:fill="F1F5F9"/>
            <w:tcMar>
              <w:top w:w="100" w:type="dxa"/>
              <w:bottom w:w="100" w:type="dxa"/>
              <w:left w:w="150" w:type="dxa"/>
              <w:right w:w="150" w:type="dxa"/>
            </w:tcMar>
          </w:tcPr>
          <w:p>
            <w:pPr>
              <w:spacing w:after="40"/>
            </w:pPr>
            <w:r>
              <w:rPr>
                <w:b/>
                <w:color w:val="1E3A8A"/>
                <w:sz w:val="20"/>
              </w:rPr>
              <w:t>Benchmark Dataset:</w:t>
            </w:r>
            <w:r>
              <w:rPr>
                <w:color w:val="334155"/>
                <w:sz w:val="20"/>
              </w:rPr>
              <w:t xml:space="preserve"> 1,200 Records (10,800 PII Instances)</w:t>
            </w:r>
          </w:p>
        </w:tc>
      </w:tr>
    </w:tbl>
    <w:p>
      <w:pPr>
        <w:spacing w:after="240"/>
      </w:pPr>
    </w:p>
    <w:p>
      <w:pPr>
        <w:pStyle w:val="Heading1"/>
        <w:spacing w:before="280" w:after="120"/>
      </w:pPr>
      <w:r>
        <w:rPr>
          <w:rFonts w:ascii="Calibri" w:hAnsi="Calibri"/>
          <w:b/>
          <w:color w:val="1E3A8A"/>
          <w:sz w:val="36"/>
        </w:rPr>
        <w:t>1. Problem Statement &amp; Business Context</w:t>
      </w:r>
    </w:p>
    <w:p>
      <w:pPr>
        <w:spacing w:after="160" w:line="276" w:lineRule="auto"/>
      </w:pPr>
      <w:r>
        <w:t>Modern enterprise operations process millions of customer support tickets, emails, and transaction logs daily. These documents frequently contain unmasked Personally Identifiable Information (PII) such as full names, email addresses, phone numbers, physical residential addresses, Credit Card numbers, Social Security Numbers (SSNs), Dates of Birth (DOB), and IP addresses. Exposing raw PII in development databases, AI fine-tuning datasets, or third-party analytics leads to severe regulatory violations under the Digital Personal Data Protection (DPDP) Act, GDPR, and HIPAA.</w:t>
        <w:br/>
        <w:br/>
        <w:t>The primary goal of this assignment is to engineer a robust, fast, and explainable PII Redaction Engine that automatically scans ticket documents, replaces all private PII values with realistic fake alternatives (maintaining entity-level consistency), and exports a publication-ready redacted Word document while preserving operational non-PII IDs (such as Order numbers and Ticket codes).</w:t>
      </w:r>
    </w:p>
    <w:p>
      <w:pPr>
        <w:pStyle w:val="Heading1"/>
        <w:spacing w:before="280" w:after="120"/>
      </w:pPr>
      <w:r>
        <w:rPr>
          <w:rFonts w:ascii="Calibri" w:hAnsi="Calibri"/>
          <w:b/>
          <w:color w:val="1E3A8A"/>
          <w:sz w:val="36"/>
        </w:rPr>
        <w:t>2. Solution Architecture &amp; Implementation Approach</w:t>
      </w:r>
    </w:p>
    <w:p>
      <w:pPr>
        <w:spacing w:after="160" w:line="276" w:lineRule="auto"/>
      </w:pPr>
      <w:r>
        <w:t>The system employs a rule-based Natural Language Processing (NLP) framework engineered with deterministic regular expressions, algorithmic validation, and structural context parsing:</w:t>
        <w:br/>
      </w:r>
    </w:p>
    <w:p>
      <w:pPr>
        <w:pStyle w:val="ListBullet"/>
        <w:spacing w:after="80" w:line="276" w:lineRule="auto"/>
      </w:pPr>
      <w:r>
        <w:rPr>
          <w:b/>
          <w:color w:val="0F172A"/>
        </w:rPr>
        <w:t xml:space="preserve">Deterministic Regex Pattern Matching: </w:t>
      </w:r>
      <w:r>
        <w:rPr>
          <w:color w:val="334155"/>
        </w:rPr>
        <w:t>Fixed-structure PII types (Emails, SSNs, IPv4 addresses, Dates of Birth, and formatted Phone numbers) are captured using optimized regular expression boundary rules.</w:t>
      </w:r>
    </w:p>
    <w:p>
      <w:pPr>
        <w:pStyle w:val="ListBullet"/>
        <w:spacing w:after="80" w:line="276" w:lineRule="auto"/>
      </w:pPr>
      <w:r>
        <w:rPr>
          <w:b/>
          <w:color w:val="0F172A"/>
        </w:rPr>
        <w:t xml:space="preserve">Luhn Algorithm Checksum Verification: </w:t>
      </w:r>
      <w:r>
        <w:rPr>
          <w:color w:val="334155"/>
        </w:rPr>
        <w:t>To avoid false positive redaction of legitimate 16-digit order codes or reference numbers, candidate credit card matches undergo Mod-10 Luhn algorithm validation.</w:t>
      </w:r>
    </w:p>
    <w:p>
      <w:pPr>
        <w:pStyle w:val="ListBullet"/>
        <w:spacing w:after="80" w:line="276" w:lineRule="auto"/>
      </w:pPr>
      <w:r>
        <w:rPr>
          <w:b/>
          <w:color w:val="0F172A"/>
        </w:rPr>
        <w:t xml:space="preserve">Contextual Prefix &amp; Suffix Extraction: </w:t>
      </w:r>
      <w:r>
        <w:rPr>
          <w:color w:val="334155"/>
        </w:rPr>
        <w:t>Unstructured PII types (Full Names, Companies, Physical Addresses) leverage contextual structural cues (e.g., 'Customer:', 'Applicant:', 'Limited', 'Pvt Ltd', 'LLP') for high-precision extraction.</w:t>
      </w:r>
    </w:p>
    <w:p>
      <w:pPr>
        <w:pStyle w:val="ListBullet"/>
        <w:spacing w:after="80" w:line="276" w:lineRule="auto"/>
      </w:pPr>
      <w:r>
        <w:rPr>
          <w:b/>
          <w:color w:val="0F172A"/>
        </w:rPr>
        <w:t xml:space="preserve">Overlap Priority Resolution: </w:t>
      </w:r>
      <w:r>
        <w:rPr>
          <w:color w:val="334155"/>
        </w:rPr>
        <w:t>When multiple patterns match overlapping string spans, an explicit priority hierarchy (Email &gt; SSN &gt; Card &gt; IP &gt; DOB &gt; Phone &gt; Address &gt; Company &gt; Name) resolves conflicts without string corruption.</w:t>
      </w:r>
    </w:p>
    <w:p>
      <w:pPr>
        <w:pStyle w:val="ListBullet"/>
        <w:spacing w:after="80" w:line="276" w:lineRule="auto"/>
      </w:pPr>
      <w:r>
        <w:rPr>
          <w:b/>
          <w:color w:val="0F172A"/>
        </w:rPr>
        <w:t xml:space="preserve">Entity Consistency Mapping: </w:t>
      </w:r>
      <w:r>
        <w:rPr>
          <w:color w:val="334155"/>
        </w:rPr>
        <w:t>Every unique PII string is assigned a consistent fake replacement across the document, ensuring readability and coherence in downstream business workflows.</w:t>
      </w:r>
    </w:p>
    <w:p>
      <w:pPr>
        <w:pStyle w:val="Heading1"/>
        <w:spacing w:before="280" w:after="120"/>
      </w:pPr>
      <w:r>
        <w:rPr>
          <w:rFonts w:ascii="Calibri" w:hAnsi="Calibri"/>
          <w:b/>
          <w:color w:val="1E3A8A"/>
          <w:sz w:val="36"/>
        </w:rPr>
        <w:t>3. Evaluation Strategy &amp; Metric Choice Rationale</w:t>
      </w:r>
    </w:p>
    <w:p>
      <w:pPr>
        <w:spacing w:after="160" w:line="276" w:lineRule="auto"/>
      </w:pPr>
      <w:r>
        <w:t>To rigorously test the system, we evaluated performance on a synthetic benchmark fixture containing 1,200 ticket records and 10,800 ground-truth PII annotations across structured forms and unstructured natural language logs.</w:t>
        <w:br/>
        <w:br/>
        <w:t>We measured three standard statistical metrics to assess performance:</w:t>
      </w:r>
    </w:p>
    <w:p>
      <w:pPr>
        <w:pStyle w:val="ListBullet"/>
        <w:spacing w:after="80" w:line="276" w:lineRule="auto"/>
      </w:pPr>
      <w:r>
        <w:rPr>
          <w:b/>
          <w:color w:val="1E3A8A"/>
        </w:rPr>
        <w:t xml:space="preserve">Precision = TP / (TP + FP): </w:t>
      </w:r>
      <w:r>
        <w:rPr>
          <w:color w:val="334155"/>
        </w:rPr>
        <w:t>Measures exactness. In PII redaction, high Precision is critical because false positives needlessly obscure safe operational identifiers (like Ticket IDs or Product codes), rendering logs unusable for engineering debugging.</w:t>
      </w:r>
    </w:p>
    <w:p>
      <w:pPr>
        <w:pStyle w:val="ListBullet"/>
        <w:spacing w:after="80" w:line="276" w:lineRule="auto"/>
      </w:pPr>
      <w:r>
        <w:rPr>
          <w:b/>
          <w:color w:val="1E3A8A"/>
        </w:rPr>
        <w:t xml:space="preserve">Recall = TP / (TP + FN): </w:t>
      </w:r>
      <w:r>
        <w:rPr>
          <w:color w:val="334155"/>
        </w:rPr>
        <w:t>Measures completeness. High Recall ensures privacy compliance by capturing as many real PII instances as possible, preventing compliance data leaks.</w:t>
      </w:r>
    </w:p>
    <w:p>
      <w:pPr>
        <w:pStyle w:val="ListBullet"/>
        <w:spacing w:after="80" w:line="276" w:lineRule="auto"/>
      </w:pPr>
      <w:r>
        <w:rPr>
          <w:b/>
          <w:color w:val="1E3A8A"/>
        </w:rPr>
        <w:t xml:space="preserve">Accuracy = TP / (TP + FP + FN): </w:t>
      </w:r>
      <w:r>
        <w:rPr>
          <w:color w:val="334155"/>
        </w:rPr>
        <w:t>Measures overall classification correctness across all evaluated text spans.</w:t>
      </w:r>
    </w:p>
    <w:p>
      <w:pPr>
        <w:pStyle w:val="Heading1"/>
        <w:spacing w:before="280" w:after="120"/>
      </w:pPr>
      <w:r>
        <w:rPr>
          <w:rFonts w:ascii="Calibri" w:hAnsi="Calibri"/>
          <w:b/>
          <w:color w:val="1E3A8A"/>
          <w:sz w:val="36"/>
        </w:rPr>
        <w:t>4. Quantitative Benchmark Performance Results</w:t>
      </w:r>
    </w:p>
    <w:p>
      <w:pPr>
        <w:spacing w:after="160"/>
      </w:pPr>
      <w:r>
        <w:t>Summary performance results on 1,200 realistic test records (10,800 ground truth PII entities):</w:t>
      </w:r>
    </w:p>
    <w:tbl>
      <w:tblPr>
        <w:tblW w:type="auto" w:w="0"/>
        <w:jc w:val="center"/>
        <w:tblLayout w:type="fixed"/>
        <w:tblLook w:firstColumn="1" w:firstRow="1" w:lastColumn="0" w:lastRow="0" w:noHBand="0" w:noVBand="1" w:val="04A0"/>
      </w:tblPr>
      <w:tblGrid>
        <w:gridCol w:w="4680"/>
        <w:gridCol w:w="4680"/>
      </w:tblGrid>
      <w:tr>
        <w:tc>
          <w:tcPr>
            <w:tcW w:type="dxa" w:w="4680"/>
            <w:shd w:fill="1E3A8A"/>
            <w:tcMar>
              <w:top w:w="120" w:type="dxa"/>
              <w:bottom w:w="120" w:type="dxa"/>
              <w:left w:w="150" w:type="dxa"/>
              <w:right w:w="150" w:type="dxa"/>
            </w:tcMar>
          </w:tcPr>
          <w:p>
            <w:r>
              <w:rPr>
                <w:b/>
                <w:color w:val="FFFFFF"/>
              </w:rPr>
              <w:t>Metric Parameter</w:t>
            </w:r>
          </w:p>
        </w:tc>
        <w:tc>
          <w:tcPr>
            <w:tcW w:type="dxa" w:w="4680"/>
            <w:shd w:fill="1E3A8A"/>
            <w:tcMar>
              <w:top w:w="120" w:type="dxa"/>
              <w:bottom w:w="120" w:type="dxa"/>
              <w:left w:w="150" w:type="dxa"/>
              <w:right w:w="150" w:type="dxa"/>
            </w:tcMar>
          </w:tcPr>
          <w:p>
            <w:r>
              <w:rPr>
                <w:b/>
                <w:color w:val="FFFFFF"/>
              </w:rPr>
              <w:t>Benchmark Value</w:t>
            </w:r>
          </w:p>
        </w:tc>
      </w:tr>
      <w:tr>
        <w:tc>
          <w:tcPr>
            <w:tcW w:type="dxa" w:w="4680"/>
            <w:shd w:fill="F8FAFC"/>
            <w:tcMar>
              <w:top w:w="100" w:type="dxa"/>
              <w:bottom w:w="100" w:type="dxa"/>
              <w:left w:w="150" w:type="dxa"/>
              <w:right w:w="150" w:type="dxa"/>
            </w:tcMar>
          </w:tcPr>
          <w:p>
            <w:r>
              <w:rPr>
                <w:b/>
                <w:color w:val="0F172A"/>
              </w:rPr>
              <w:t>Accuracy</w:t>
            </w:r>
          </w:p>
        </w:tc>
        <w:tc>
          <w:tcPr>
            <w:tcW w:type="dxa" w:w="4680"/>
            <w:shd w:fill="F8FAFC"/>
            <w:tcMar>
              <w:top w:w="100" w:type="dxa"/>
              <w:bottom w:w="100" w:type="dxa"/>
              <w:left w:w="150" w:type="dxa"/>
              <w:right w:w="150" w:type="dxa"/>
            </w:tcMar>
          </w:tcPr>
          <w:p>
            <w:r>
              <w:rPr>
                <w:color w:val="1E3A8A"/>
              </w:rPr>
              <w:t>0.72 (72.0%)</w:t>
            </w:r>
          </w:p>
        </w:tc>
      </w:tr>
      <w:tr>
        <w:tc>
          <w:tcPr>
            <w:tcW w:type="dxa" w:w="4680"/>
            <w:shd w:fill="FFFFFF"/>
            <w:tcMar>
              <w:top w:w="100" w:type="dxa"/>
              <w:bottom w:w="100" w:type="dxa"/>
              <w:left w:w="150" w:type="dxa"/>
              <w:right w:w="150" w:type="dxa"/>
            </w:tcMar>
          </w:tcPr>
          <w:p>
            <w:r>
              <w:rPr>
                <w:b/>
                <w:color w:val="0F172A"/>
              </w:rPr>
              <w:t>Precision</w:t>
            </w:r>
          </w:p>
        </w:tc>
        <w:tc>
          <w:tcPr>
            <w:tcW w:type="dxa" w:w="4680"/>
            <w:shd w:fill="FFFFFF"/>
            <w:tcMar>
              <w:top w:w="100" w:type="dxa"/>
              <w:bottom w:w="100" w:type="dxa"/>
              <w:left w:w="150" w:type="dxa"/>
              <w:right w:w="150" w:type="dxa"/>
            </w:tcMar>
          </w:tcPr>
          <w:p>
            <w:r>
              <w:rPr>
                <w:color w:val="1E3A8A"/>
              </w:rPr>
              <w:t>0.90 (90.0%)</w:t>
            </w:r>
          </w:p>
        </w:tc>
      </w:tr>
      <w:tr>
        <w:tc>
          <w:tcPr>
            <w:tcW w:type="dxa" w:w="4680"/>
            <w:shd w:fill="F8FAFC"/>
            <w:tcMar>
              <w:top w:w="100" w:type="dxa"/>
              <w:bottom w:w="100" w:type="dxa"/>
              <w:left w:w="150" w:type="dxa"/>
              <w:right w:w="150" w:type="dxa"/>
            </w:tcMar>
          </w:tcPr>
          <w:p>
            <w:r>
              <w:rPr>
                <w:b/>
                <w:color w:val="0F172A"/>
              </w:rPr>
              <w:t>Recall</w:t>
            </w:r>
          </w:p>
        </w:tc>
        <w:tc>
          <w:tcPr>
            <w:tcW w:type="dxa" w:w="4680"/>
            <w:shd w:fill="F8FAFC"/>
            <w:tcMar>
              <w:top w:w="100" w:type="dxa"/>
              <w:bottom w:w="100" w:type="dxa"/>
              <w:left w:w="150" w:type="dxa"/>
              <w:right w:w="150" w:type="dxa"/>
            </w:tcMar>
          </w:tcPr>
          <w:p>
            <w:r>
              <w:rPr>
                <w:color w:val="1E3A8A"/>
              </w:rPr>
              <w:t>0.79 (79.0%)</w:t>
            </w:r>
          </w:p>
        </w:tc>
      </w:tr>
    </w:tbl>
    <w:p>
      <w:pPr>
        <w:spacing w:after="240"/>
      </w:pPr>
    </w:p>
    <w:p>
      <w:pPr>
        <w:pStyle w:val="Heading2"/>
        <w:spacing w:before="280" w:after="120"/>
      </w:pPr>
      <w:r>
        <w:rPr>
          <w:rFonts w:ascii="Calibri" w:hAnsi="Calibri"/>
          <w:b/>
          <w:color w:val="0F172A"/>
          <w:sz w:val="28"/>
        </w:rPr>
        <w:t>5. Detailed Breakdown by PII Category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120" w:type="dxa"/>
              <w:bottom w:w="120" w:type="dxa"/>
              <w:left w:w="100" w:type="dxa"/>
              <w:right w:w="100" w:type="dxa"/>
            </w:tcMar>
          </w:tcPr>
          <w:p>
            <w:r>
              <w:rPr>
                <w:b/>
                <w:color w:val="FFFFFF"/>
                <w:sz w:val="19"/>
              </w:rPr>
              <w:t>PII Category</w:t>
            </w:r>
          </w:p>
        </w:tc>
        <w:tc>
          <w:tcPr>
            <w:tcW w:type="dxa" w:w="1872"/>
            <w:shd w:fill="0F172A"/>
            <w:tcMar>
              <w:top w:w="120" w:type="dxa"/>
              <w:bottom w:w="120" w:type="dxa"/>
              <w:left w:w="100" w:type="dxa"/>
              <w:right w:w="100" w:type="dxa"/>
            </w:tcMar>
          </w:tcPr>
          <w:p>
            <w:r>
              <w:rPr>
                <w:b/>
                <w:color w:val="FFFFFF"/>
                <w:sz w:val="19"/>
              </w:rPr>
              <w:t>Precision</w:t>
            </w:r>
          </w:p>
        </w:tc>
        <w:tc>
          <w:tcPr>
            <w:tcW w:type="dxa" w:w="1872"/>
            <w:shd w:fill="0F172A"/>
            <w:tcMar>
              <w:top w:w="120" w:type="dxa"/>
              <w:bottom w:w="120" w:type="dxa"/>
              <w:left w:w="100" w:type="dxa"/>
              <w:right w:w="100" w:type="dxa"/>
            </w:tcMar>
          </w:tcPr>
          <w:p>
            <w:r>
              <w:rPr>
                <w:b/>
                <w:color w:val="FFFFFF"/>
                <w:sz w:val="19"/>
              </w:rPr>
              <w:t>Recall</w:t>
            </w:r>
          </w:p>
        </w:tc>
        <w:tc>
          <w:tcPr>
            <w:tcW w:type="dxa" w:w="1872"/>
            <w:shd w:fill="0F172A"/>
            <w:tcMar>
              <w:top w:w="120" w:type="dxa"/>
              <w:bottom w:w="120" w:type="dxa"/>
              <w:left w:w="100" w:type="dxa"/>
              <w:right w:w="100" w:type="dxa"/>
            </w:tcMar>
          </w:tcPr>
          <w:p>
            <w:r>
              <w:rPr>
                <w:b/>
                <w:color w:val="FFFFFF"/>
                <w:sz w:val="19"/>
              </w:rPr>
              <w:t>Correct (TP)</w:t>
            </w:r>
          </w:p>
        </w:tc>
        <w:tc>
          <w:tcPr>
            <w:tcW w:type="dxa" w:w="1872"/>
            <w:shd w:fill="0F172A"/>
            <w:tcMar>
              <w:top w:w="120" w:type="dxa"/>
              <w:bottom w:w="120" w:type="dxa"/>
              <w:left w:w="100" w:type="dxa"/>
              <w:right w:w="100" w:type="dxa"/>
            </w:tcMar>
          </w:tcPr>
          <w:p>
            <w:r>
              <w:rPr>
                <w:b/>
                <w:color w:val="FFFFFF"/>
                <w:sz w:val="19"/>
              </w:rPr>
              <w:t>Status / Reliability</w:t>
            </w:r>
          </w:p>
        </w:tc>
      </w:tr>
      <w:tr>
        <w:tc>
          <w:tcPr>
            <w:tcW w:type="dxa" w:w="1872"/>
            <w:shd w:fill="F1F5F9"/>
            <w:tcMar>
              <w:top w:w="80" w:type="dxa"/>
              <w:bottom w:w="80" w:type="dxa"/>
              <w:left w:w="100" w:type="dxa"/>
              <w:right w:w="100" w:type="dxa"/>
            </w:tcMar>
          </w:tcPr>
          <w:p>
            <w:r>
              <w:rPr>
                <w:b/>
                <w:color w:val="0F172A"/>
                <w:sz w:val="19"/>
              </w:rPr>
              <w:t>Email Address</w:t>
            </w:r>
          </w:p>
        </w:tc>
        <w:tc>
          <w:tcPr>
            <w:tcW w:type="dxa" w:w="1872"/>
            <w:shd w:fill="F1F5F9"/>
            <w:tcMar>
              <w:top w:w="80" w:type="dxa"/>
              <w:bottom w:w="80" w:type="dxa"/>
              <w:left w:w="100" w:type="dxa"/>
              <w:right w:w="100" w:type="dxa"/>
            </w:tcMar>
          </w:tcPr>
          <w:p>
            <w:r>
              <w:rPr>
                <w:color w:val="334155"/>
                <w:sz w:val="19"/>
              </w:rPr>
              <w:t>1.00</w:t>
            </w:r>
          </w:p>
        </w:tc>
        <w:tc>
          <w:tcPr>
            <w:tcW w:type="dxa" w:w="1872"/>
            <w:shd w:fill="F1F5F9"/>
            <w:tcMar>
              <w:top w:w="80" w:type="dxa"/>
              <w:bottom w:w="80" w:type="dxa"/>
              <w:left w:w="100" w:type="dxa"/>
              <w:right w:w="100" w:type="dxa"/>
            </w:tcMar>
          </w:tcPr>
          <w:p>
            <w:r>
              <w:rPr>
                <w:color w:val="334155"/>
                <w:sz w:val="19"/>
              </w:rPr>
              <w:t>1.00</w:t>
            </w:r>
          </w:p>
        </w:tc>
        <w:tc>
          <w:tcPr>
            <w:tcW w:type="dxa" w:w="1872"/>
            <w:shd w:fill="F1F5F9"/>
            <w:tcMar>
              <w:top w:w="80" w:type="dxa"/>
              <w:bottom w:w="80" w:type="dxa"/>
              <w:left w:w="100" w:type="dxa"/>
              <w:right w:w="100" w:type="dxa"/>
            </w:tcMar>
          </w:tcPr>
          <w:p>
            <w:r>
              <w:rPr>
                <w:color w:val="334155"/>
                <w:sz w:val="19"/>
              </w:rPr>
              <w:t>1,200</w:t>
            </w:r>
          </w:p>
        </w:tc>
        <w:tc>
          <w:tcPr>
            <w:tcW w:type="dxa" w:w="1872"/>
            <w:shd w:fill="F1F5F9"/>
            <w:tcMar>
              <w:top w:w="80" w:type="dxa"/>
              <w:bottom w:w="80" w:type="dxa"/>
              <w:left w:w="100" w:type="dxa"/>
              <w:right w:w="100" w:type="dxa"/>
            </w:tcMar>
          </w:tcPr>
          <w:p>
            <w:r>
              <w:rPr>
                <w:color w:val="334155"/>
                <w:sz w:val="19"/>
              </w:rPr>
              <w:t>Perfect (Fixed Regex)</w:t>
            </w:r>
          </w:p>
        </w:tc>
      </w:tr>
      <w:tr>
        <w:tc>
          <w:tcPr>
            <w:tcW w:type="dxa" w:w="1872"/>
            <w:shd w:fill="FFFFFF"/>
            <w:tcMar>
              <w:top w:w="80" w:type="dxa"/>
              <w:bottom w:w="80" w:type="dxa"/>
              <w:left w:w="100" w:type="dxa"/>
              <w:right w:w="100" w:type="dxa"/>
            </w:tcMar>
          </w:tcPr>
          <w:p>
            <w:r>
              <w:rPr>
                <w:b/>
                <w:color w:val="0F172A"/>
                <w:sz w:val="19"/>
              </w:rPr>
              <w:t>Phone Number</w:t>
            </w:r>
          </w:p>
        </w:tc>
        <w:tc>
          <w:tcPr>
            <w:tcW w:type="dxa" w:w="1872"/>
            <w:shd w:fill="FFFFFF"/>
            <w:tcMar>
              <w:top w:w="80" w:type="dxa"/>
              <w:bottom w:w="80" w:type="dxa"/>
              <w:left w:w="100" w:type="dxa"/>
              <w:right w:w="100" w:type="dxa"/>
            </w:tcMar>
          </w:tcPr>
          <w:p>
            <w:r>
              <w:rPr>
                <w:color w:val="334155"/>
                <w:sz w:val="19"/>
              </w:rPr>
              <w:t>1.00</w:t>
            </w:r>
          </w:p>
        </w:tc>
        <w:tc>
          <w:tcPr>
            <w:tcW w:type="dxa" w:w="1872"/>
            <w:shd w:fill="FFFFFF"/>
            <w:tcMar>
              <w:top w:w="80" w:type="dxa"/>
              <w:bottom w:w="80" w:type="dxa"/>
              <w:left w:w="100" w:type="dxa"/>
              <w:right w:w="100" w:type="dxa"/>
            </w:tcMar>
          </w:tcPr>
          <w:p>
            <w:r>
              <w:rPr>
                <w:color w:val="334155"/>
                <w:sz w:val="19"/>
              </w:rPr>
              <w:t>1.00</w:t>
            </w:r>
          </w:p>
        </w:tc>
        <w:tc>
          <w:tcPr>
            <w:tcW w:type="dxa" w:w="1872"/>
            <w:shd w:fill="FFFFFF"/>
            <w:tcMar>
              <w:top w:w="80" w:type="dxa"/>
              <w:bottom w:w="80" w:type="dxa"/>
              <w:left w:w="100" w:type="dxa"/>
              <w:right w:w="100" w:type="dxa"/>
            </w:tcMar>
          </w:tcPr>
          <w:p>
            <w:r>
              <w:rPr>
                <w:color w:val="334155"/>
                <w:sz w:val="19"/>
              </w:rPr>
              <w:t>1,200</w:t>
            </w:r>
          </w:p>
        </w:tc>
        <w:tc>
          <w:tcPr>
            <w:tcW w:type="dxa" w:w="1872"/>
            <w:shd w:fill="FFFFFF"/>
            <w:tcMar>
              <w:top w:w="80" w:type="dxa"/>
              <w:bottom w:w="80" w:type="dxa"/>
              <w:left w:w="100" w:type="dxa"/>
              <w:right w:w="100" w:type="dxa"/>
            </w:tcMar>
          </w:tcPr>
          <w:p>
            <w:r>
              <w:rPr>
                <w:color w:val="334155"/>
                <w:sz w:val="19"/>
              </w:rPr>
              <w:t>Perfect (Format &amp; Length)</w:t>
            </w:r>
          </w:p>
        </w:tc>
      </w:tr>
      <w:tr>
        <w:tc>
          <w:tcPr>
            <w:tcW w:type="dxa" w:w="1872"/>
            <w:shd w:fill="F1F5F9"/>
            <w:tcMar>
              <w:top w:w="80" w:type="dxa"/>
              <w:bottom w:w="80" w:type="dxa"/>
              <w:left w:w="100" w:type="dxa"/>
              <w:right w:w="100" w:type="dxa"/>
            </w:tcMar>
          </w:tcPr>
          <w:p>
            <w:r>
              <w:rPr>
                <w:b/>
                <w:color w:val="0F172A"/>
                <w:sz w:val="19"/>
              </w:rPr>
              <w:t>SSN</w:t>
            </w:r>
          </w:p>
        </w:tc>
        <w:tc>
          <w:tcPr>
            <w:tcW w:type="dxa" w:w="1872"/>
            <w:shd w:fill="F1F5F9"/>
            <w:tcMar>
              <w:top w:w="80" w:type="dxa"/>
              <w:bottom w:w="80" w:type="dxa"/>
              <w:left w:w="100" w:type="dxa"/>
              <w:right w:w="100" w:type="dxa"/>
            </w:tcMar>
          </w:tcPr>
          <w:p>
            <w:r>
              <w:rPr>
                <w:color w:val="334155"/>
                <w:sz w:val="19"/>
              </w:rPr>
              <w:t>1.00</w:t>
            </w:r>
          </w:p>
        </w:tc>
        <w:tc>
          <w:tcPr>
            <w:tcW w:type="dxa" w:w="1872"/>
            <w:shd w:fill="F1F5F9"/>
            <w:tcMar>
              <w:top w:w="80" w:type="dxa"/>
              <w:bottom w:w="80" w:type="dxa"/>
              <w:left w:w="100" w:type="dxa"/>
              <w:right w:w="100" w:type="dxa"/>
            </w:tcMar>
          </w:tcPr>
          <w:p>
            <w:r>
              <w:rPr>
                <w:color w:val="334155"/>
                <w:sz w:val="19"/>
              </w:rPr>
              <w:t>1.00</w:t>
            </w:r>
          </w:p>
        </w:tc>
        <w:tc>
          <w:tcPr>
            <w:tcW w:type="dxa" w:w="1872"/>
            <w:shd w:fill="F1F5F9"/>
            <w:tcMar>
              <w:top w:w="80" w:type="dxa"/>
              <w:bottom w:w="80" w:type="dxa"/>
              <w:left w:w="100" w:type="dxa"/>
              <w:right w:w="100" w:type="dxa"/>
            </w:tcMar>
          </w:tcPr>
          <w:p>
            <w:r>
              <w:rPr>
                <w:color w:val="334155"/>
                <w:sz w:val="19"/>
              </w:rPr>
              <w:t>1,200</w:t>
            </w:r>
          </w:p>
        </w:tc>
        <w:tc>
          <w:tcPr>
            <w:tcW w:type="dxa" w:w="1872"/>
            <w:shd w:fill="F1F5F9"/>
            <w:tcMar>
              <w:top w:w="80" w:type="dxa"/>
              <w:bottom w:w="80" w:type="dxa"/>
              <w:left w:w="100" w:type="dxa"/>
              <w:right w:w="100" w:type="dxa"/>
            </w:tcMar>
          </w:tcPr>
          <w:p>
            <w:r>
              <w:rPr>
                <w:color w:val="334155"/>
                <w:sz w:val="19"/>
              </w:rPr>
              <w:t>Perfect (Fixed Pattern)</w:t>
            </w:r>
          </w:p>
        </w:tc>
      </w:tr>
      <w:tr>
        <w:tc>
          <w:tcPr>
            <w:tcW w:type="dxa" w:w="1872"/>
            <w:shd w:fill="FFFFFF"/>
            <w:tcMar>
              <w:top w:w="80" w:type="dxa"/>
              <w:bottom w:w="80" w:type="dxa"/>
              <w:left w:w="100" w:type="dxa"/>
              <w:right w:w="100" w:type="dxa"/>
            </w:tcMar>
          </w:tcPr>
          <w:p>
            <w:r>
              <w:rPr>
                <w:b/>
                <w:color w:val="0F172A"/>
                <w:sz w:val="19"/>
              </w:rPr>
              <w:t>Credit Card</w:t>
            </w:r>
          </w:p>
        </w:tc>
        <w:tc>
          <w:tcPr>
            <w:tcW w:type="dxa" w:w="1872"/>
            <w:shd w:fill="FFFFFF"/>
            <w:tcMar>
              <w:top w:w="80" w:type="dxa"/>
              <w:bottom w:w="80" w:type="dxa"/>
              <w:left w:w="100" w:type="dxa"/>
              <w:right w:w="100" w:type="dxa"/>
            </w:tcMar>
          </w:tcPr>
          <w:p>
            <w:r>
              <w:rPr>
                <w:color w:val="334155"/>
                <w:sz w:val="19"/>
              </w:rPr>
              <w:t>0.83</w:t>
            </w:r>
          </w:p>
        </w:tc>
        <w:tc>
          <w:tcPr>
            <w:tcW w:type="dxa" w:w="1872"/>
            <w:shd w:fill="FFFFFF"/>
            <w:tcMar>
              <w:top w:w="80" w:type="dxa"/>
              <w:bottom w:w="80" w:type="dxa"/>
              <w:left w:w="100" w:type="dxa"/>
              <w:right w:w="100" w:type="dxa"/>
            </w:tcMar>
          </w:tcPr>
          <w:p>
            <w:r>
              <w:rPr>
                <w:color w:val="334155"/>
                <w:sz w:val="19"/>
              </w:rPr>
              <w:t>1.00</w:t>
            </w:r>
          </w:p>
        </w:tc>
        <w:tc>
          <w:tcPr>
            <w:tcW w:type="dxa" w:w="1872"/>
            <w:shd w:fill="FFFFFF"/>
            <w:tcMar>
              <w:top w:w="80" w:type="dxa"/>
              <w:bottom w:w="80" w:type="dxa"/>
              <w:left w:w="100" w:type="dxa"/>
              <w:right w:w="100" w:type="dxa"/>
            </w:tcMar>
          </w:tcPr>
          <w:p>
            <w:r>
              <w:rPr>
                <w:color w:val="334155"/>
                <w:sz w:val="19"/>
              </w:rPr>
              <w:t>1,200</w:t>
            </w:r>
          </w:p>
        </w:tc>
        <w:tc>
          <w:tcPr>
            <w:tcW w:type="dxa" w:w="1872"/>
            <w:shd w:fill="FFFFFF"/>
            <w:tcMar>
              <w:top w:w="80" w:type="dxa"/>
              <w:bottom w:w="80" w:type="dxa"/>
              <w:left w:w="100" w:type="dxa"/>
              <w:right w:w="100" w:type="dxa"/>
            </w:tcMar>
          </w:tcPr>
          <w:p>
            <w:r>
              <w:rPr>
                <w:color w:val="334155"/>
                <w:sz w:val="19"/>
              </w:rPr>
              <w:t>High (Luhn Validated)</w:t>
            </w:r>
          </w:p>
        </w:tc>
      </w:tr>
      <w:tr>
        <w:tc>
          <w:tcPr>
            <w:tcW w:type="dxa" w:w="1872"/>
            <w:shd w:fill="F1F5F9"/>
            <w:tcMar>
              <w:top w:w="80" w:type="dxa"/>
              <w:bottom w:w="80" w:type="dxa"/>
              <w:left w:w="100" w:type="dxa"/>
              <w:right w:w="100" w:type="dxa"/>
            </w:tcMar>
          </w:tcPr>
          <w:p>
            <w:r>
              <w:rPr>
                <w:b/>
                <w:color w:val="0F172A"/>
                <w:sz w:val="19"/>
              </w:rPr>
              <w:t>IP Address</w:t>
            </w:r>
          </w:p>
        </w:tc>
        <w:tc>
          <w:tcPr>
            <w:tcW w:type="dxa" w:w="1872"/>
            <w:shd w:fill="F1F5F9"/>
            <w:tcMar>
              <w:top w:w="80" w:type="dxa"/>
              <w:bottom w:w="80" w:type="dxa"/>
              <w:left w:w="100" w:type="dxa"/>
              <w:right w:w="100" w:type="dxa"/>
            </w:tcMar>
          </w:tcPr>
          <w:p>
            <w:r>
              <w:rPr>
                <w:color w:val="334155"/>
                <w:sz w:val="19"/>
              </w:rPr>
              <w:t>1.00</w:t>
            </w:r>
          </w:p>
        </w:tc>
        <w:tc>
          <w:tcPr>
            <w:tcW w:type="dxa" w:w="1872"/>
            <w:shd w:fill="F1F5F9"/>
            <w:tcMar>
              <w:top w:w="80" w:type="dxa"/>
              <w:bottom w:w="80" w:type="dxa"/>
              <w:left w:w="100" w:type="dxa"/>
              <w:right w:w="100" w:type="dxa"/>
            </w:tcMar>
          </w:tcPr>
          <w:p>
            <w:r>
              <w:rPr>
                <w:color w:val="334155"/>
                <w:sz w:val="19"/>
              </w:rPr>
              <w:t>1.00</w:t>
            </w:r>
          </w:p>
        </w:tc>
        <w:tc>
          <w:tcPr>
            <w:tcW w:type="dxa" w:w="1872"/>
            <w:shd w:fill="F1F5F9"/>
            <w:tcMar>
              <w:top w:w="80" w:type="dxa"/>
              <w:bottom w:w="80" w:type="dxa"/>
              <w:left w:w="100" w:type="dxa"/>
              <w:right w:w="100" w:type="dxa"/>
            </w:tcMar>
          </w:tcPr>
          <w:p>
            <w:r>
              <w:rPr>
                <w:color w:val="334155"/>
                <w:sz w:val="19"/>
              </w:rPr>
              <w:t>1,200</w:t>
            </w:r>
          </w:p>
        </w:tc>
        <w:tc>
          <w:tcPr>
            <w:tcW w:type="dxa" w:w="1872"/>
            <w:shd w:fill="F1F5F9"/>
            <w:tcMar>
              <w:top w:w="80" w:type="dxa"/>
              <w:bottom w:w="80" w:type="dxa"/>
              <w:left w:w="100" w:type="dxa"/>
              <w:right w:w="100" w:type="dxa"/>
            </w:tcMar>
          </w:tcPr>
          <w:p>
            <w:r>
              <w:rPr>
                <w:color w:val="334155"/>
                <w:sz w:val="19"/>
              </w:rPr>
              <w:t>Perfect (IPv4 Octet Regex)</w:t>
            </w:r>
          </w:p>
        </w:tc>
      </w:tr>
      <w:tr>
        <w:tc>
          <w:tcPr>
            <w:tcW w:type="dxa" w:w="1872"/>
            <w:shd w:fill="FFFFFF"/>
            <w:tcMar>
              <w:top w:w="80" w:type="dxa"/>
              <w:bottom w:w="80" w:type="dxa"/>
              <w:left w:w="100" w:type="dxa"/>
              <w:right w:w="100" w:type="dxa"/>
            </w:tcMar>
          </w:tcPr>
          <w:p>
            <w:r>
              <w:rPr>
                <w:b/>
                <w:color w:val="0F172A"/>
                <w:sz w:val="19"/>
              </w:rPr>
              <w:t>Date of Birth (DOB)</w:t>
            </w:r>
          </w:p>
        </w:tc>
        <w:tc>
          <w:tcPr>
            <w:tcW w:type="dxa" w:w="1872"/>
            <w:shd w:fill="FFFFFF"/>
            <w:tcMar>
              <w:top w:w="80" w:type="dxa"/>
              <w:bottom w:w="80" w:type="dxa"/>
              <w:left w:w="100" w:type="dxa"/>
              <w:right w:w="100" w:type="dxa"/>
            </w:tcMar>
          </w:tcPr>
          <w:p>
            <w:r>
              <w:rPr>
                <w:color w:val="334155"/>
                <w:sz w:val="19"/>
              </w:rPr>
              <w:t>1.00</w:t>
            </w:r>
          </w:p>
        </w:tc>
        <w:tc>
          <w:tcPr>
            <w:tcW w:type="dxa" w:w="1872"/>
            <w:shd w:fill="FFFFFF"/>
            <w:tcMar>
              <w:top w:w="80" w:type="dxa"/>
              <w:bottom w:w="80" w:type="dxa"/>
              <w:left w:w="100" w:type="dxa"/>
              <w:right w:w="100" w:type="dxa"/>
            </w:tcMar>
          </w:tcPr>
          <w:p>
            <w:r>
              <w:rPr>
                <w:color w:val="334155"/>
                <w:sz w:val="19"/>
              </w:rPr>
              <w:t>0.80</w:t>
            </w:r>
          </w:p>
        </w:tc>
        <w:tc>
          <w:tcPr>
            <w:tcW w:type="dxa" w:w="1872"/>
            <w:shd w:fill="FFFFFF"/>
            <w:tcMar>
              <w:top w:w="80" w:type="dxa"/>
              <w:bottom w:w="80" w:type="dxa"/>
              <w:left w:w="100" w:type="dxa"/>
              <w:right w:w="100" w:type="dxa"/>
            </w:tcMar>
          </w:tcPr>
          <w:p>
            <w:r>
              <w:rPr>
                <w:color w:val="334155"/>
                <w:sz w:val="19"/>
              </w:rPr>
              <w:t>960</w:t>
            </w:r>
          </w:p>
        </w:tc>
        <w:tc>
          <w:tcPr>
            <w:tcW w:type="dxa" w:w="1872"/>
            <w:shd w:fill="FFFFFF"/>
            <w:tcMar>
              <w:top w:w="80" w:type="dxa"/>
              <w:bottom w:w="80" w:type="dxa"/>
              <w:left w:w="100" w:type="dxa"/>
              <w:right w:w="100" w:type="dxa"/>
            </w:tcMar>
          </w:tcPr>
          <w:p>
            <w:r>
              <w:rPr>
                <w:color w:val="334155"/>
                <w:sz w:val="19"/>
              </w:rPr>
              <w:t>Strong (Prefix Guided)</w:t>
            </w:r>
          </w:p>
        </w:tc>
      </w:tr>
      <w:tr>
        <w:tc>
          <w:tcPr>
            <w:tcW w:type="dxa" w:w="1872"/>
            <w:shd w:fill="F1F5F9"/>
            <w:tcMar>
              <w:top w:w="80" w:type="dxa"/>
              <w:bottom w:w="80" w:type="dxa"/>
              <w:left w:w="100" w:type="dxa"/>
              <w:right w:w="100" w:type="dxa"/>
            </w:tcMar>
          </w:tcPr>
          <w:p>
            <w:r>
              <w:rPr>
                <w:b/>
                <w:color w:val="0F172A"/>
                <w:sz w:val="19"/>
              </w:rPr>
              <w:t>Full Name</w:t>
            </w:r>
          </w:p>
        </w:tc>
        <w:tc>
          <w:tcPr>
            <w:tcW w:type="dxa" w:w="1872"/>
            <w:shd w:fill="F1F5F9"/>
            <w:tcMar>
              <w:top w:w="80" w:type="dxa"/>
              <w:bottom w:w="80" w:type="dxa"/>
              <w:left w:w="100" w:type="dxa"/>
              <w:right w:w="100" w:type="dxa"/>
            </w:tcMar>
          </w:tcPr>
          <w:p>
            <w:r>
              <w:rPr>
                <w:color w:val="334155"/>
                <w:sz w:val="19"/>
              </w:rPr>
              <w:t>0.75</w:t>
            </w:r>
          </w:p>
        </w:tc>
        <w:tc>
          <w:tcPr>
            <w:tcW w:type="dxa" w:w="1872"/>
            <w:shd w:fill="F1F5F9"/>
            <w:tcMar>
              <w:top w:w="80" w:type="dxa"/>
              <w:bottom w:w="80" w:type="dxa"/>
              <w:left w:w="100" w:type="dxa"/>
              <w:right w:w="100" w:type="dxa"/>
            </w:tcMar>
          </w:tcPr>
          <w:p>
            <w:r>
              <w:rPr>
                <w:color w:val="334155"/>
                <w:sz w:val="19"/>
              </w:rPr>
              <w:t>0.60</w:t>
            </w:r>
          </w:p>
        </w:tc>
        <w:tc>
          <w:tcPr>
            <w:tcW w:type="dxa" w:w="1872"/>
            <w:shd w:fill="F1F5F9"/>
            <w:tcMar>
              <w:top w:w="80" w:type="dxa"/>
              <w:bottom w:w="80" w:type="dxa"/>
              <w:left w:w="100" w:type="dxa"/>
              <w:right w:w="100" w:type="dxa"/>
            </w:tcMar>
          </w:tcPr>
          <w:p>
            <w:r>
              <w:rPr>
                <w:color w:val="334155"/>
                <w:sz w:val="19"/>
              </w:rPr>
              <w:t>720</w:t>
            </w:r>
          </w:p>
        </w:tc>
        <w:tc>
          <w:tcPr>
            <w:tcW w:type="dxa" w:w="1872"/>
            <w:shd w:fill="F1F5F9"/>
            <w:tcMar>
              <w:top w:w="80" w:type="dxa"/>
              <w:bottom w:w="80" w:type="dxa"/>
              <w:left w:w="100" w:type="dxa"/>
              <w:right w:w="100" w:type="dxa"/>
            </w:tcMar>
          </w:tcPr>
          <w:p>
            <w:r>
              <w:rPr>
                <w:color w:val="334155"/>
                <w:sz w:val="19"/>
              </w:rPr>
              <w:t>Moderate (Contextual)</w:t>
            </w:r>
          </w:p>
        </w:tc>
      </w:tr>
      <w:tr>
        <w:tc>
          <w:tcPr>
            <w:tcW w:type="dxa" w:w="1872"/>
            <w:shd w:fill="FFFFFF"/>
            <w:tcMar>
              <w:top w:w="80" w:type="dxa"/>
              <w:bottom w:w="80" w:type="dxa"/>
              <w:left w:w="100" w:type="dxa"/>
              <w:right w:w="100" w:type="dxa"/>
            </w:tcMar>
          </w:tcPr>
          <w:p>
            <w:r>
              <w:rPr>
                <w:b/>
                <w:color w:val="0F172A"/>
                <w:sz w:val="19"/>
              </w:rPr>
              <w:t>Physical Address</w:t>
            </w:r>
          </w:p>
        </w:tc>
        <w:tc>
          <w:tcPr>
            <w:tcW w:type="dxa" w:w="1872"/>
            <w:shd w:fill="FFFFFF"/>
            <w:tcMar>
              <w:top w:w="80" w:type="dxa"/>
              <w:bottom w:w="80" w:type="dxa"/>
              <w:left w:w="100" w:type="dxa"/>
              <w:right w:w="100" w:type="dxa"/>
            </w:tcMar>
          </w:tcPr>
          <w:p>
            <w:r>
              <w:rPr>
                <w:color w:val="334155"/>
                <w:sz w:val="19"/>
              </w:rPr>
              <w:t>1.00</w:t>
            </w:r>
          </w:p>
        </w:tc>
        <w:tc>
          <w:tcPr>
            <w:tcW w:type="dxa" w:w="1872"/>
            <w:shd w:fill="FFFFFF"/>
            <w:tcMar>
              <w:top w:w="80" w:type="dxa"/>
              <w:bottom w:w="80" w:type="dxa"/>
              <w:left w:w="100" w:type="dxa"/>
              <w:right w:w="100" w:type="dxa"/>
            </w:tcMar>
          </w:tcPr>
          <w:p>
            <w:r>
              <w:rPr>
                <w:color w:val="334155"/>
                <w:sz w:val="19"/>
              </w:rPr>
              <w:t>0.40</w:t>
            </w:r>
          </w:p>
        </w:tc>
        <w:tc>
          <w:tcPr>
            <w:tcW w:type="dxa" w:w="1872"/>
            <w:shd w:fill="FFFFFF"/>
            <w:tcMar>
              <w:top w:w="80" w:type="dxa"/>
              <w:bottom w:w="80" w:type="dxa"/>
              <w:left w:w="100" w:type="dxa"/>
              <w:right w:w="100" w:type="dxa"/>
            </w:tcMar>
          </w:tcPr>
          <w:p>
            <w:r>
              <w:rPr>
                <w:color w:val="334155"/>
                <w:sz w:val="19"/>
              </w:rPr>
              <w:t>480</w:t>
            </w:r>
          </w:p>
        </w:tc>
        <w:tc>
          <w:tcPr>
            <w:tcW w:type="dxa" w:w="1872"/>
            <w:shd w:fill="FFFFFF"/>
            <w:tcMar>
              <w:top w:w="80" w:type="dxa"/>
              <w:bottom w:w="80" w:type="dxa"/>
              <w:left w:w="100" w:type="dxa"/>
              <w:right w:w="100" w:type="dxa"/>
            </w:tcMar>
          </w:tcPr>
          <w:p>
            <w:r>
              <w:rPr>
                <w:color w:val="334155"/>
                <w:sz w:val="19"/>
              </w:rPr>
              <w:t>Moderate (Prefix Guided)</w:t>
            </w:r>
          </w:p>
        </w:tc>
      </w:tr>
      <w:tr>
        <w:tc>
          <w:tcPr>
            <w:tcW w:type="dxa" w:w="1872"/>
            <w:shd w:fill="F1F5F9"/>
            <w:tcMar>
              <w:top w:w="80" w:type="dxa"/>
              <w:bottom w:w="80" w:type="dxa"/>
              <w:left w:w="100" w:type="dxa"/>
              <w:right w:w="100" w:type="dxa"/>
            </w:tcMar>
          </w:tcPr>
          <w:p>
            <w:r>
              <w:rPr>
                <w:b/>
                <w:color w:val="0F172A"/>
                <w:sz w:val="19"/>
              </w:rPr>
              <w:t>Company Name</w:t>
            </w:r>
          </w:p>
        </w:tc>
        <w:tc>
          <w:tcPr>
            <w:tcW w:type="dxa" w:w="1872"/>
            <w:shd w:fill="F1F5F9"/>
            <w:tcMar>
              <w:top w:w="80" w:type="dxa"/>
              <w:bottom w:w="80" w:type="dxa"/>
              <w:left w:w="100" w:type="dxa"/>
              <w:right w:w="100" w:type="dxa"/>
            </w:tcMar>
          </w:tcPr>
          <w:p>
            <w:r>
              <w:rPr>
                <w:color w:val="334155"/>
                <w:sz w:val="19"/>
              </w:rPr>
              <w:t>0.40</w:t>
            </w:r>
          </w:p>
        </w:tc>
        <w:tc>
          <w:tcPr>
            <w:tcW w:type="dxa" w:w="1872"/>
            <w:shd w:fill="F1F5F9"/>
            <w:tcMar>
              <w:top w:w="80" w:type="dxa"/>
              <w:bottom w:w="80" w:type="dxa"/>
              <w:left w:w="100" w:type="dxa"/>
              <w:right w:w="100" w:type="dxa"/>
            </w:tcMar>
          </w:tcPr>
          <w:p>
            <w:r>
              <w:rPr>
                <w:color w:val="334155"/>
                <w:sz w:val="19"/>
              </w:rPr>
              <w:t>0.27</w:t>
            </w:r>
          </w:p>
        </w:tc>
        <w:tc>
          <w:tcPr>
            <w:tcW w:type="dxa" w:w="1872"/>
            <w:shd w:fill="F1F5F9"/>
            <w:tcMar>
              <w:top w:w="80" w:type="dxa"/>
              <w:bottom w:w="80" w:type="dxa"/>
              <w:left w:w="100" w:type="dxa"/>
              <w:right w:w="100" w:type="dxa"/>
            </w:tcMar>
          </w:tcPr>
          <w:p>
            <w:r>
              <w:rPr>
                <w:color w:val="334155"/>
                <w:sz w:val="19"/>
              </w:rPr>
              <w:t>320</w:t>
            </w:r>
          </w:p>
        </w:tc>
        <w:tc>
          <w:tcPr>
            <w:tcW w:type="dxa" w:w="1872"/>
            <w:shd w:fill="F1F5F9"/>
            <w:tcMar>
              <w:top w:w="80" w:type="dxa"/>
              <w:bottom w:w="80" w:type="dxa"/>
              <w:left w:w="100" w:type="dxa"/>
              <w:right w:w="100" w:type="dxa"/>
            </w:tcMar>
          </w:tcPr>
          <w:p>
            <w:r>
              <w:rPr>
                <w:color w:val="334155"/>
                <w:sz w:val="19"/>
              </w:rPr>
              <w:t>Challenging (Free Form)</w:t>
            </w:r>
          </w:p>
        </w:tc>
      </w:tr>
    </w:tbl>
    <w:p>
      <w:pPr>
        <w:spacing w:after="280"/>
      </w:pPr>
    </w:p>
    <w:p>
      <w:pPr>
        <w:pStyle w:val="Heading1"/>
        <w:spacing w:before="280" w:after="120"/>
      </w:pPr>
      <w:r>
        <w:rPr>
          <w:rFonts w:ascii="Calibri" w:hAnsi="Calibri"/>
          <w:b/>
          <w:color w:val="1E3A8A"/>
          <w:sz w:val="36"/>
        </w:rPr>
        <w:t>6. Tradeoff Analysis &amp; Error Diagnosis</w:t>
      </w:r>
    </w:p>
    <w:p>
      <w:pPr>
        <w:pStyle w:val="ListBullet"/>
        <w:spacing w:after="80" w:line="276" w:lineRule="auto"/>
      </w:pPr>
      <w:r>
        <w:rPr>
          <w:b/>
          <w:color w:val="0F172A"/>
        </w:rPr>
        <w:t xml:space="preserve">Structured vs. Unstructured Extraction Tradeoff: </w:t>
      </w:r>
      <w:r>
        <w:rPr>
          <w:color w:val="334155"/>
        </w:rPr>
        <w:t>Regex patterns deliver 100% precision and recall on structured entities (Emails, SSNs, IPs, Phone Numbers). However, open-ended entities like company names ('Acme Retail') or names in running text ('Spoke with Arjun today') require contextual NLP models to achieve higher recall.</w:t>
      </w:r>
    </w:p>
    <w:p>
      <w:pPr>
        <w:pStyle w:val="ListBullet"/>
        <w:spacing w:after="80" w:line="276" w:lineRule="auto"/>
      </w:pPr>
      <w:r>
        <w:rPr>
          <w:b/>
          <w:color w:val="0F172A"/>
        </w:rPr>
        <w:t xml:space="preserve">Precision Priority: </w:t>
      </w:r>
      <w:r>
        <w:rPr>
          <w:color w:val="334155"/>
        </w:rPr>
        <w:t>By configuring strict boundary context rules and Luhn checks, the engine achieves 0.90 Precision, ensuring operational numbers (Order #70000, Ticket #10000) are never accidentally destroyed.</w:t>
      </w:r>
    </w:p>
    <w:p>
      <w:pPr>
        <w:pStyle w:val="ListBullet"/>
        <w:spacing w:after="80" w:line="276" w:lineRule="auto"/>
      </w:pPr>
      <w:r>
        <w:rPr>
          <w:b/>
          <w:color w:val="0F172A"/>
        </w:rPr>
        <w:t xml:space="preserve">False Positives in Credit Cards: </w:t>
      </w:r>
      <w:r>
        <w:rPr>
          <w:color w:val="334155"/>
        </w:rPr>
        <w:t>Some test reference strings (e.g., 16-digit sample numbers) passed the Luhn check, causing slight false positives (Precision 0.83).</w:t>
      </w:r>
    </w:p>
    <w:p>
      <w:pPr>
        <w:pStyle w:val="Heading1"/>
        <w:spacing w:before="280" w:after="120"/>
      </w:pPr>
      <w:r>
        <w:rPr>
          <w:rFonts w:ascii="Calibri" w:hAnsi="Calibri"/>
          <w:b/>
          <w:color w:val="1E3A8A"/>
          <w:sz w:val="36"/>
        </w:rPr>
        <w:t>7. Future Production Extensions</w:t>
      </w:r>
    </w:p>
    <w:p>
      <w:pPr>
        <w:spacing w:after="120" w:line="276" w:lineRule="auto"/>
      </w:pPr>
      <w:r>
        <w:t>To elevate the system from rule-based regex to enterprise-grade NLP production, we recommend integrating:</w:t>
        <w:br/>
      </w:r>
    </w:p>
    <w:p>
      <w:pPr>
        <w:pStyle w:val="ListBullet"/>
        <w:spacing w:after="80" w:line="276" w:lineRule="auto"/>
      </w:pPr>
      <w:r>
        <w:rPr>
          <w:b/>
          <w:color w:val="2563EB"/>
        </w:rPr>
        <w:t xml:space="preserve">spaCy / Presidio Integration: </w:t>
      </w:r>
      <w:r>
        <w:rPr>
          <w:color w:val="334155"/>
        </w:rPr>
        <w:t>Add spaCy Named Entity Recognition (NER) or Microsoft Presidio for contextual name, company, and address recognition in unstructured prose.</w:t>
      </w:r>
    </w:p>
    <w:p>
      <w:pPr>
        <w:pStyle w:val="ListBullet"/>
        <w:spacing w:after="80" w:line="276" w:lineRule="auto"/>
      </w:pPr>
      <w:r>
        <w:rPr>
          <w:b/>
          <w:color w:val="2563EB"/>
        </w:rPr>
        <w:t xml:space="preserve">Custom Transformer Fine-Tuning: </w:t>
      </w:r>
      <w:r>
        <w:rPr>
          <w:color w:val="334155"/>
        </w:rPr>
        <w:t>Fine-tune a lightweight BERT/RoBERTa model specifically on support ticket domain logs to improve recall to &gt;98%.</w:t>
      </w:r>
    </w:p>
    <w:p>
      <w:pPr>
        <w:pStyle w:val="ListBullet"/>
        <w:spacing w:after="80" w:line="276" w:lineRule="auto"/>
      </w:pPr>
      <w:r>
        <w:rPr>
          <w:b/>
          <w:color w:val="2563EB"/>
        </w:rPr>
        <w:t xml:space="preserve">Multi-format Support: </w:t>
      </w:r>
      <w:r>
        <w:rPr>
          <w:color w:val="334155"/>
        </w:rPr>
        <w:t>Extend binary parsers to support PDF, Excel (.xlsx), and image OCR redaction.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