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563EB"/>
          <w:sz w:val="20"/>
        </w:rPr>
        <w:t>SCALER AI LABS — CONFIDENTIAL REDACTED LOG</w:t>
      </w:r>
    </w:p>
    <w:p>
      <w:pPr>
        <w:spacing w:after="240"/>
      </w:pPr>
      <w:r>
        <w:rPr>
          <w:rFonts w:ascii="Calibri" w:hAnsi="Calibri"/>
          <w:b/>
          <w:color w:val="0F172A"/>
          <w:sz w:val="40"/>
        </w:rPr>
        <w:t>Processed Customer Ticket Log — Redacted Output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3A8A"/>
                <w:sz w:val="19"/>
              </w:rPr>
              <w:t>Status:</w:t>
            </w:r>
            <w:r>
              <w:rPr>
                <w:color w:val="334155"/>
                <w:sz w:val="19"/>
              </w:rPr>
              <w:t xml:space="preserve"> REDACTED &amp; VERIFIED</w:t>
            </w:r>
          </w:p>
        </w:tc>
        <w:tc>
          <w:tcPr>
            <w:tcW w:type="dxa" w:w="31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3A8A"/>
                <w:sz w:val="19"/>
              </w:rPr>
              <w:t>PII Entities Redacted:</w:t>
            </w:r>
            <w:r>
              <w:rPr>
                <w:color w:val="334155"/>
                <w:sz w:val="19"/>
              </w:rPr>
              <w:t xml:space="preserve"> 29 Items</w:t>
            </w:r>
          </w:p>
        </w:tc>
        <w:tc>
          <w:tcPr>
            <w:tcW w:type="dxa" w:w="31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E3A8A"/>
                <w:sz w:val="19"/>
              </w:rPr>
              <w:t>Security Standard:</w:t>
            </w:r>
            <w:r>
              <w:rPr>
                <w:color w:val="334155"/>
                <w:sz w:val="19"/>
              </w:rPr>
              <w:t xml:space="preserve"> DPDP &amp; GDPR Compliant</w:t>
            </w:r>
          </w:p>
        </w:tc>
      </w:tr>
    </w:tbl>
    <w:p>
      <w:pPr>
        <w:spacing w:after="240"/>
      </w:pPr>
    </w:p>
    <w:p>
      <w:pPr>
        <w:pStyle w:val="Heading2"/>
        <w:spacing w:before="200" w:after="120"/>
      </w:pPr>
      <w:r>
        <w:rPr>
          <w:color w:val="0F172A"/>
        </w:rPr>
        <w:t>Redacted Log Content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Ticket Log #10293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Customer Name: John Doe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Email Address: john.doe@example.com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Phone Number: +91 1234567890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Company Name: Acme Private Limited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Physical Address: 221B Baker Street, London NW1 6XE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Date of Birth: 01/01/1990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Social Security Number (SSN): 321-54-9876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Credit Card Number: 4000 0000 0000 1000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IP Address: 203.0.113.10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Reference Order ID: 77881 (Retained Non-PII)</w:t>
      </w:r>
    </w:p>
    <w:p>
      <w:pPr>
        <w:spacing w:after="80"/>
      </w:pP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Ticket Log #10294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Customer Name: Peter Parker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Email Address: peter.parker@example.com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Phone Number: +91 9876501234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Company Name: Northstar Technologies Ltd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Physical Address: 742 Evergreen Terrace, Springfield 49007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Date of Birth: 15/08/1988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Social Security Number (SSN): 111-22-3333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Credit Card Number: 4000 0000 0000 1001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IP Address: 198.51.100.25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Reference Ticket Code: T-90812 (Retained Non-PII)</w:t>
      </w:r>
    </w:p>
    <w:p>
      <w:pPr>
        <w:spacing w:after="80"/>
      </w:pP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Red Herring Prospectus Document Excerpt — Bluebird Capital LLP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Company Name: Bluebird Capital LLP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Corporate Identity Number: U28129PN1979PLC141032 (Retained Non-PII)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Contact Person: Sarthak Malvadkar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Company Secretary and Compliance Officer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Email Address: ananya.sharma@example.com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Telephone Number: +1 202 555 0100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Registered Office Address: 12 Park Avenue, Mumbai 400001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Corporate Office Address: 221B Baker Street, London NW1 6XE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Promoters: Kushal Subbayya Hegde, Pushpa Kushal Hegde, Rajesh Kushal Hegde, Rohit Kushal Hegde, Rakhi Girija Shetty</w:t>
      </w:r>
    </w:p>
    <w:p>
      <w:pPr>
        <w:spacing w:after="80"/>
      </w:pP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Identity Record Verification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Name: Ananya Sharma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Father's Name: Maya Rao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Date of Birth: 1975-12-10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Aadhaar ID: +91 1234567890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Address: 742 Evergreen Terrace, Springfield 49007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