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2563EB"/>
          <w:sz w:val="20"/>
        </w:rPr>
        <w:t>SCALER AI LABS — CONFIDENTIAL REDACTED LOG</w:t>
      </w:r>
    </w:p>
    <w:p>
      <w:pPr>
        <w:spacing w:after="240"/>
      </w:pPr>
      <w:r>
        <w:rPr>
          <w:rFonts w:ascii="Calibri" w:hAnsi="Calibri"/>
          <w:b/>
          <w:color w:val="0F172A"/>
          <w:sz w:val="40"/>
        </w:rPr>
        <w:t>Processed Document Log — Redacted Output</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F1F5F9"/>
            <w:tcMar>
              <w:top w:w="80" w:type="dxa"/>
              <w:bottom w:w="80" w:type="dxa"/>
              <w:left w:w="100" w:type="dxa"/>
              <w:right w:w="100" w:type="dxa"/>
            </w:tcMar>
          </w:tcPr>
          <w:p>
            <w:pPr>
              <w:spacing w:after="0"/>
            </w:pPr>
            <w:r>
              <w:rPr>
                <w:b/>
                <w:color w:val="1E3A8A"/>
                <w:sz w:val="19"/>
              </w:rPr>
              <w:t>Status:</w:t>
            </w:r>
            <w:r>
              <w:rPr>
                <w:color w:val="334155"/>
                <w:sz w:val="19"/>
              </w:rPr>
              <w:t xml:space="preserve"> REDACTED &amp; VERIFIED</w:t>
            </w:r>
          </w:p>
        </w:tc>
        <w:tc>
          <w:tcPr>
            <w:tcW w:type="dxa" w:w="3120"/>
            <w:shd w:fill="F1F5F9"/>
            <w:tcMar>
              <w:top w:w="80" w:type="dxa"/>
              <w:bottom w:w="80" w:type="dxa"/>
              <w:left w:w="100" w:type="dxa"/>
              <w:right w:w="100" w:type="dxa"/>
            </w:tcMar>
          </w:tcPr>
          <w:p>
            <w:pPr>
              <w:spacing w:after="0"/>
            </w:pPr>
            <w:r>
              <w:rPr>
                <w:b/>
                <w:color w:val="1E3A8A"/>
                <w:sz w:val="19"/>
              </w:rPr>
              <w:t>PII Entities Redacted:</w:t>
            </w:r>
            <w:r>
              <w:rPr>
                <w:color w:val="334155"/>
                <w:sz w:val="19"/>
              </w:rPr>
              <w:t xml:space="preserve"> 582 Items</w:t>
            </w:r>
          </w:p>
        </w:tc>
        <w:tc>
          <w:tcPr>
            <w:tcW w:type="dxa" w:w="3120"/>
            <w:shd w:fill="F1F5F9"/>
            <w:tcMar>
              <w:top w:w="80" w:type="dxa"/>
              <w:bottom w:w="80" w:type="dxa"/>
              <w:left w:w="100" w:type="dxa"/>
              <w:right w:w="100" w:type="dxa"/>
            </w:tcMar>
          </w:tcPr>
          <w:p>
            <w:pPr>
              <w:spacing w:after="0"/>
            </w:pPr>
            <w:r>
              <w:rPr>
                <w:b/>
                <w:color w:val="1E3A8A"/>
                <w:sz w:val="19"/>
              </w:rPr>
              <w:t>Security Standard:</w:t>
            </w:r>
            <w:r>
              <w:rPr>
                <w:color w:val="334155"/>
                <w:sz w:val="19"/>
              </w:rPr>
              <w:t xml:space="preserve"> DPDP &amp; GDPR Compliant</w:t>
            </w:r>
          </w:p>
        </w:tc>
      </w:tr>
    </w:tbl>
    <w:p>
      <w:pPr>
        <w:spacing w:after="240"/>
      </w:pPr>
    </w:p>
    <w:p>
      <w:pPr>
        <w:pStyle w:val="Heading2"/>
        <w:spacing w:before="200" w:after="120"/>
      </w:pPr>
      <w:r>
        <w:rPr>
          <w:color w:val="0F172A"/>
        </w:rPr>
        <w:t>Redacted Log Content</w:t>
      </w:r>
    </w:p>
    <w:p>
      <w:pPr>
        <w:spacing w:after="80" w:line="276" w:lineRule="auto"/>
      </w:pPr>
      <w:r>
        <w:rPr>
          <w:rFonts w:ascii="Calibri" w:hAnsi="Calibri"/>
          <w:color w:val="1E293B"/>
          <w:sz w:val="22"/>
        </w:rPr>
        <w:t>(Please scan this QR Code to view this Red Herring Prospectus)</w:t>
      </w:r>
    </w:p>
    <w:p>
      <w:pPr>
        <w:spacing w:after="80" w:line="276" w:lineRule="auto"/>
      </w:pPr>
      <w:r>
        <w:rPr>
          <w:rFonts w:ascii="Calibri" w:hAnsi="Calibri"/>
          <w:color w:val="1E293B"/>
          <w:sz w:val="22"/>
        </w:rPr>
        <w:t>RED HERRING PROSPECTUS</w:t>
      </w:r>
    </w:p>
    <w:p>
      <w:pPr>
        <w:spacing w:after="80" w:line="276" w:lineRule="auto"/>
      </w:pPr>
      <w:r>
        <w:rPr>
          <w:rFonts w:ascii="Calibri" w:hAnsi="Calibri"/>
          <w:color w:val="1E293B"/>
          <w:sz w:val="22"/>
        </w:rPr>
        <w:t>Dated December 10, 2025</w:t>
      </w:r>
    </w:p>
    <w:p>
      <w:pPr>
        <w:spacing w:after="80" w:line="276" w:lineRule="auto"/>
      </w:pPr>
      <w:r>
        <w:rPr>
          <w:rFonts w:ascii="Calibri" w:hAnsi="Calibri"/>
          <w:color w:val="1E293B"/>
          <w:sz w:val="22"/>
        </w:rPr>
        <w:t>Please read section 32 of the Companies Act, 2013</w:t>
      </w:r>
    </w:p>
    <w:p>
      <w:pPr>
        <w:spacing w:after="80" w:line="276" w:lineRule="auto"/>
      </w:pPr>
      <w:r>
        <w:rPr>
          <w:rFonts w:ascii="Calibri" w:hAnsi="Calibri"/>
          <w:color w:val="1E293B"/>
          <w:sz w:val="22"/>
        </w:rPr>
        <w:t>100% Book Built Offer</w:t>
      </w:r>
    </w:p>
    <w:p>
      <w:pPr>
        <w:spacing w:after="80" w:line="276" w:lineRule="auto"/>
      </w:pPr>
      <w:r>
        <w:rPr>
          <w:rFonts w:ascii="Calibri" w:hAnsi="Calibri"/>
          <w:color w:val="1E293B"/>
          <w:sz w:val="22"/>
        </w:rPr>
        <w:t>Acme Private Limited CORPORATE IDENTITY NUMBER: U28129PN1979PLC141032</w:t>
      </w:r>
    </w:p>
    <w:p>
      <w:pPr>
        <w:spacing w:after="80" w:line="276" w:lineRule="auto"/>
      </w:pPr>
      <w:r>
        <w:rPr>
          <w:rFonts w:ascii="Calibri" w:hAnsi="Calibri"/>
          <w:color w:val="1E293B"/>
          <w:sz w:val="22"/>
        </w:rPr>
        <w:t>REGISTERED OFFICE</w:t>
      </w:r>
    </w:p>
    <w:p>
      <w:pPr>
        <w:spacing w:after="80" w:line="276" w:lineRule="auto"/>
      </w:pPr>
      <w:r>
        <w:rPr>
          <w:rFonts w:ascii="Calibri" w:hAnsi="Calibri"/>
          <w:color w:val="1E293B"/>
          <w:sz w:val="22"/>
        </w:rPr>
        <w:t>CORPORATE OFFICE</w:t>
      </w:r>
    </w:p>
    <w:p>
      <w:pPr>
        <w:spacing w:after="80" w:line="276" w:lineRule="auto"/>
      </w:pPr>
      <w:r>
        <w:rPr>
          <w:rFonts w:ascii="Calibri" w:hAnsi="Calibri"/>
          <w:color w:val="1E293B"/>
          <w:sz w:val="22"/>
        </w:rPr>
        <w:t>CONTACT PERSON</w:t>
      </w:r>
    </w:p>
    <w:p>
      <w:pPr>
        <w:spacing w:after="80" w:line="276" w:lineRule="auto"/>
      </w:pPr>
      <w:r>
        <w:rPr>
          <w:rFonts w:ascii="Calibri" w:hAnsi="Calibri"/>
          <w:color w:val="1E293B"/>
          <w:sz w:val="22"/>
        </w:rPr>
        <w:t>E-MAIL AND TELEPHONE</w:t>
      </w:r>
    </w:p>
    <w:p>
      <w:pPr>
        <w:spacing w:after="80" w:line="276" w:lineRule="auto"/>
      </w:pPr>
      <w:r>
        <w:rPr>
          <w:rFonts w:ascii="Calibri" w:hAnsi="Calibri"/>
          <w:color w:val="1E293B"/>
          <w:sz w:val="22"/>
        </w:rPr>
        <w:t>WEBSITE</w:t>
      </w:r>
    </w:p>
    <w:p>
      <w:pPr>
        <w:spacing w:after="80" w:line="276" w:lineRule="auto"/>
      </w:pPr>
      <w:r>
        <w:rPr>
          <w:rFonts w:ascii="Calibri" w:hAnsi="Calibri"/>
          <w:color w:val="1E293B"/>
          <w:sz w:val="22"/>
        </w:rPr>
        <w:t>11/3, 11/4 and 11/5 Village Birdewadi Chakan Taluka - Khed Pune – 410 501</w:t>
      </w:r>
    </w:p>
    <w:p>
      <w:pPr>
        <w:spacing w:after="80" w:line="276" w:lineRule="auto"/>
      </w:pPr>
      <w:r>
        <w:rPr>
          <w:rFonts w:ascii="Calibri" w:hAnsi="Calibri"/>
          <w:color w:val="1E293B"/>
          <w:sz w:val="22"/>
        </w:rPr>
        <w:t>Maharashtra, India</w:t>
      </w:r>
    </w:p>
    <w:p>
      <w:pPr>
        <w:spacing w:after="80" w:line="276" w:lineRule="auto"/>
      </w:pPr>
      <w:r>
        <w:rPr>
          <w:rFonts w:ascii="Calibri" w:hAnsi="Calibri"/>
          <w:color w:val="1E293B"/>
          <w:sz w:val="22"/>
        </w:rPr>
        <w:t>201, Tower 2, Montreal Business Centre, Off Pallod Farms, Baner Pune – 411 045</w:t>
      </w:r>
    </w:p>
    <w:p>
      <w:pPr>
        <w:spacing w:after="80" w:line="276" w:lineRule="auto"/>
      </w:pPr>
      <w:r>
        <w:rPr>
          <w:rFonts w:ascii="Calibri" w:hAnsi="Calibri"/>
          <w:color w:val="1E293B"/>
          <w:sz w:val="22"/>
        </w:rPr>
        <w:t>Maharashtra, India</w:t>
      </w:r>
    </w:p>
    <w:p>
      <w:pPr>
        <w:spacing w:after="80" w:line="276" w:lineRule="auto"/>
      </w:pPr>
      <w:r>
        <w:rPr>
          <w:rFonts w:ascii="Calibri" w:hAnsi="Calibri"/>
          <w:color w:val="1E293B"/>
          <w:sz w:val="22"/>
        </w:rPr>
        <w:t>Northstar Technologies Ltd Secretary and Compliance Officer</w:t>
      </w:r>
    </w:p>
    <w:p>
      <w:pPr>
        <w:spacing w:after="80" w:line="276" w:lineRule="auto"/>
      </w:pPr>
      <w:r>
        <w:rPr>
          <w:rFonts w:ascii="Calibri" w:hAnsi="Calibri"/>
          <w:color w:val="1E293B"/>
          <w:sz w:val="22"/>
        </w:rPr>
        <w:t>Email: john.doe@example.com Telephone: + +91 1234567890</w:t>
      </w:r>
    </w:p>
    <w:p>
      <w:pPr>
        <w:spacing w:after="80" w:line="276" w:lineRule="auto"/>
      </w:pPr>
      <w:r>
        <w:rPr>
          <w:rFonts w:ascii="Calibri" w:hAnsi="Calibri"/>
          <w:color w:val="1E293B"/>
          <w:sz w:val="22"/>
        </w:rPr>
        <w:t>www.kshinternational. com</w:t>
      </w:r>
    </w:p>
    <w:p>
      <w:pPr>
        <w:spacing w:after="80" w:line="276" w:lineRule="auto"/>
      </w:pPr>
      <w:r>
        <w:rPr>
          <w:rFonts w:ascii="Calibri" w:hAnsi="Calibri"/>
          <w:color w:val="1E293B"/>
          <w:sz w:val="22"/>
        </w:rPr>
        <w:t>OUR PROMOTERS: KUSHAL SUBBAYYA HEGDE, PUSHPA KUSHAL HEGDE, RAJESH KUSHAL HEGDE, ROHIT KUSHAL HEGDE, RAKHI GIRIJA SHETTY, DHAULAGIRI FAMILY TRUST, EVEREST FAMILY TRUST, MAKALU FAMILY TRUST, BROAD FAMILY TRUST, ANNAPURNA FAMILY TRUST, KANCHENJUNGA FAMILY TRUST AND</w:t>
      </w:r>
    </w:p>
    <w:p>
      <w:pPr>
        <w:spacing w:after="80" w:line="276" w:lineRule="auto"/>
      </w:pPr>
      <w:r>
        <w:rPr>
          <w:rFonts w:ascii="Calibri" w:hAnsi="Calibri"/>
          <w:color w:val="1E293B"/>
          <w:sz w:val="22"/>
        </w:rPr>
        <w:t>Bluebird Capital LLP</w:t>
      </w:r>
    </w:p>
    <w:p>
      <w:pPr>
        <w:spacing w:after="80" w:line="276" w:lineRule="auto"/>
      </w:pPr>
      <w:r>
        <w:rPr>
          <w:rFonts w:ascii="Calibri" w:hAnsi="Calibri"/>
          <w:color w:val="1E293B"/>
          <w:sz w:val="22"/>
        </w:rPr>
        <w:t>DETAILS OF THE OFFER TO PUBLIC</w:t>
      </w:r>
    </w:p>
    <w:p>
      <w:pPr>
        <w:spacing w:after="80" w:line="276" w:lineRule="auto"/>
      </w:pPr>
      <w:r>
        <w:rPr>
          <w:rFonts w:ascii="Calibri" w:hAnsi="Calibri"/>
          <w:color w:val="1E293B"/>
          <w:sz w:val="22"/>
        </w:rPr>
        <w:t>TYPE</w:t>
      </w:r>
    </w:p>
    <w:p>
      <w:pPr>
        <w:spacing w:after="80" w:line="276" w:lineRule="auto"/>
      </w:pPr>
      <w:r>
        <w:rPr>
          <w:rFonts w:ascii="Calibri" w:hAnsi="Calibri"/>
          <w:color w:val="1E293B"/>
          <w:sz w:val="22"/>
        </w:rPr>
        <w:t>SIZE OF THE FRESH ISSUE</w:t>
      </w:r>
    </w:p>
    <w:p>
      <w:pPr>
        <w:spacing w:after="80" w:line="276" w:lineRule="auto"/>
      </w:pPr>
      <w:r>
        <w:rPr>
          <w:rFonts w:ascii="Calibri" w:hAnsi="Calibri"/>
          <w:color w:val="1E293B"/>
          <w:sz w:val="22"/>
        </w:rPr>
        <w:t>SIZEOFTHE OFFER FOR SALE</w:t>
      </w:r>
    </w:p>
    <w:p>
      <w:pPr>
        <w:spacing w:after="80" w:line="276" w:lineRule="auto"/>
      </w:pPr>
      <w:r>
        <w:rPr>
          <w:rFonts w:ascii="Calibri" w:hAnsi="Calibri"/>
          <w:color w:val="1E293B"/>
          <w:sz w:val="22"/>
        </w:rPr>
        <w:t>TOTAL OFFER SIZE</w:t>
      </w:r>
    </w:p>
    <w:p>
      <w:pPr>
        <w:spacing w:after="80" w:line="276" w:lineRule="auto"/>
      </w:pPr>
      <w:r>
        <w:rPr>
          <w:rFonts w:ascii="Calibri" w:hAnsi="Calibri"/>
          <w:color w:val="1E293B"/>
          <w:sz w:val="22"/>
        </w:rPr>
        <w:t>ELIGIBILITYANDSHARE</w:t>
      </w:r>
    </w:p>
    <w:p>
      <w:pPr>
        <w:spacing w:after="80" w:line="276" w:lineRule="auto"/>
      </w:pPr>
      <w:r>
        <w:rPr>
          <w:rFonts w:ascii="Calibri" w:hAnsi="Calibri"/>
          <w:color w:val="1E293B"/>
          <w:sz w:val="22"/>
        </w:rPr>
        <w:t>RESERVATION AMONG QIBs, NIIs AND RIIs</w:t>
      </w:r>
    </w:p>
    <w:p>
      <w:pPr>
        <w:spacing w:after="80" w:line="276" w:lineRule="auto"/>
      </w:pPr>
      <w:r>
        <w:rPr>
          <w:rFonts w:ascii="Calibri" w:hAnsi="Calibri"/>
          <w:color w:val="1E293B"/>
          <w:sz w:val="22"/>
        </w:rPr>
        <w:t>Fresh Issue and Offer for Sale</w:t>
      </w:r>
    </w:p>
    <w:p>
      <w:pPr>
        <w:spacing w:after="80" w:line="276" w:lineRule="auto"/>
      </w:pPr>
      <w:r>
        <w:rPr>
          <w:rFonts w:ascii="Calibri" w:hAnsi="Calibri"/>
          <w:color w:val="1E293B"/>
          <w:sz w:val="22"/>
        </w:rPr>
        <w:t>Up to [●] Equity Shares of face value of ₹5 each aggregating   up   to</w:t>
      </w:r>
    </w:p>
    <w:p>
      <w:pPr>
        <w:spacing w:after="80" w:line="276" w:lineRule="auto"/>
      </w:pPr>
      <w:r>
        <w:rPr>
          <w:rFonts w:ascii="Calibri" w:hAnsi="Calibri"/>
          <w:color w:val="1E293B"/>
          <w:sz w:val="22"/>
        </w:rPr>
        <w:t>₹4,200.00 million</w:t>
      </w:r>
    </w:p>
    <w:p>
      <w:pPr>
        <w:spacing w:after="80" w:line="276" w:lineRule="auto"/>
      </w:pPr>
      <w:r>
        <w:rPr>
          <w:rFonts w:ascii="Calibri" w:hAnsi="Calibri"/>
          <w:color w:val="1E293B"/>
          <w:sz w:val="22"/>
        </w:rPr>
        <w:t>Up  to  [●]  Equity</w:t>
      </w:r>
    </w:p>
    <w:p>
      <w:pPr>
        <w:spacing w:after="80" w:line="276" w:lineRule="auto"/>
      </w:pPr>
      <w:r>
        <w:rPr>
          <w:rFonts w:ascii="Calibri" w:hAnsi="Calibri"/>
          <w:color w:val="1E293B"/>
          <w:sz w:val="22"/>
        </w:rPr>
        <w:t>Shares of face value of</w:t>
      </w:r>
    </w:p>
    <w:p>
      <w:pPr>
        <w:spacing w:after="80" w:line="276" w:lineRule="auto"/>
      </w:pPr>
      <w:r>
        <w:rPr>
          <w:rFonts w:ascii="Calibri" w:hAnsi="Calibri"/>
          <w:color w:val="1E293B"/>
          <w:sz w:val="22"/>
        </w:rPr>
        <w:t>₹5 each aggregating up to ₹2,900.00 million</w:t>
      </w:r>
    </w:p>
    <w:p>
      <w:pPr>
        <w:spacing w:after="80" w:line="276" w:lineRule="auto"/>
      </w:pPr>
      <w:r>
        <w:rPr>
          <w:rFonts w:ascii="Calibri" w:hAnsi="Calibri"/>
          <w:color w:val="1E293B"/>
          <w:sz w:val="22"/>
        </w:rPr>
        <w:t>Up to [●] Equity Shares of face value of ₹5 each aggregating up to</w:t>
      </w:r>
    </w:p>
    <w:p>
      <w:pPr>
        <w:spacing w:after="80" w:line="276" w:lineRule="auto"/>
      </w:pPr>
      <w:r>
        <w:rPr>
          <w:rFonts w:ascii="Calibri" w:hAnsi="Calibri"/>
          <w:color w:val="1E293B"/>
          <w:sz w:val="22"/>
        </w:rPr>
        <w:t>₹7,100.00 million</w:t>
      </w:r>
    </w:p>
    <w:p>
      <w:pPr>
        <w:spacing w:after="80" w:line="276" w:lineRule="auto"/>
      </w:pPr>
      <w:r>
        <w:rPr>
          <w:rFonts w:ascii="Calibri" w:hAnsi="Calibri"/>
          <w:color w:val="1E293B"/>
          <w:sz w:val="22"/>
        </w:rPr>
        <w:t>The Offer is being made pursuant to Regulation 6(1) of the Securities and Exchange Board of India (Issue of Capital and Disclosure Requirements) Regulations, 2018 (“SEBI ICDR Regulations”). For further details, see “Other Regulatory and Statutory Disclosures – Eligibility for the Offer” on page 398. For details of share reservation among Qualified Institutional Buyers, Non-Institutional Investors and Retail Individual</w:t>
      </w:r>
    </w:p>
    <w:p>
      <w:pPr>
        <w:spacing w:after="80" w:line="276" w:lineRule="auto"/>
      </w:pPr>
      <w:r>
        <w:rPr>
          <w:rFonts w:ascii="Calibri" w:hAnsi="Calibri"/>
          <w:color w:val="1E293B"/>
          <w:sz w:val="22"/>
        </w:rPr>
        <w:t>Investors, see “Offer Structure” on page 417.</w:t>
      </w:r>
    </w:p>
    <w:p>
      <w:pPr>
        <w:spacing w:after="80" w:line="276" w:lineRule="auto"/>
      </w:pPr>
      <w:r>
        <w:rPr>
          <w:rFonts w:ascii="Calibri" w:hAnsi="Calibri"/>
          <w:color w:val="1E293B"/>
          <w:sz w:val="22"/>
        </w:rPr>
        <w:t>DETAILS OF THE PROMOTER SELLING SHAREHOLDERS, OFFER FOR SALE AND WEIGHTED AVERAGE COST OF ACQUISITION PER EQUITY SHARE</w:t>
      </w:r>
    </w:p>
    <w:p>
      <w:pPr>
        <w:spacing w:after="80" w:line="276" w:lineRule="auto"/>
      </w:pPr>
      <w:r>
        <w:rPr>
          <w:rFonts w:ascii="Calibri" w:hAnsi="Calibri"/>
          <w:color w:val="1E293B"/>
          <w:sz w:val="22"/>
        </w:rPr>
        <w:t>NAMEOFTHE PROMOTER SELLING</w:t>
      </w:r>
    </w:p>
    <w:p>
      <w:pPr>
        <w:spacing w:after="80" w:line="276" w:lineRule="auto"/>
      </w:pPr>
      <w:r>
        <w:rPr>
          <w:rFonts w:ascii="Calibri" w:hAnsi="Calibri"/>
          <w:color w:val="1E293B"/>
          <w:sz w:val="22"/>
        </w:rPr>
        <w:t>SHAREHOLDER</w:t>
      </w:r>
    </w:p>
    <w:p>
      <w:pPr>
        <w:spacing w:after="80" w:line="276" w:lineRule="auto"/>
      </w:pPr>
      <w:r>
        <w:rPr>
          <w:rFonts w:ascii="Calibri" w:hAnsi="Calibri"/>
          <w:color w:val="1E293B"/>
          <w:sz w:val="22"/>
        </w:rPr>
        <w:t>TYPE</w:t>
      </w:r>
    </w:p>
    <w:p>
      <w:pPr>
        <w:spacing w:after="80" w:line="276" w:lineRule="auto"/>
      </w:pPr>
      <w:r>
        <w:rPr>
          <w:rFonts w:ascii="Calibri" w:hAnsi="Calibri"/>
          <w:color w:val="1E293B"/>
          <w:sz w:val="22"/>
        </w:rPr>
        <w:t>AGGREGATE AMOUNT OF OFFER FOR SALE (₹ IN MILLION)</w:t>
      </w:r>
    </w:p>
    <w:p>
      <w:pPr>
        <w:spacing w:after="80" w:line="276" w:lineRule="auto"/>
      </w:pPr>
      <w:r>
        <w:rPr>
          <w:rFonts w:ascii="Calibri" w:hAnsi="Calibri"/>
          <w:color w:val="1E293B"/>
          <w:sz w:val="22"/>
        </w:rPr>
        <w:t>WEIGHTED AVERAGE COST OF ACQUISITION PER EQUITY SHARE OF FACE VALUE OF ₹5 EACH (IN ₹) *#</w:t>
      </w:r>
    </w:p>
    <w:p>
      <w:pPr>
        <w:spacing w:after="80" w:line="276" w:lineRule="auto"/>
      </w:pPr>
      <w:r>
        <w:rPr>
          <w:rFonts w:ascii="Calibri" w:hAnsi="Calibri"/>
          <w:color w:val="1E293B"/>
          <w:sz w:val="22"/>
        </w:rPr>
        <w:t>Kushal Subbayya Hegde</w:t>
      </w:r>
    </w:p>
    <w:p>
      <w:pPr>
        <w:spacing w:after="80" w:line="276" w:lineRule="auto"/>
      </w:pPr>
      <w:r>
        <w:rPr>
          <w:rFonts w:ascii="Calibri" w:hAnsi="Calibri"/>
          <w:color w:val="1E293B"/>
          <w:sz w:val="22"/>
        </w:rPr>
        <w:t>Promoter Selling Shareholder</w:t>
      </w:r>
    </w:p>
    <w:p>
      <w:pPr>
        <w:spacing w:after="80" w:line="276" w:lineRule="auto"/>
      </w:pPr>
      <w:r>
        <w:rPr>
          <w:rFonts w:ascii="Calibri" w:hAnsi="Calibri"/>
          <w:color w:val="1E293B"/>
          <w:sz w:val="22"/>
        </w:rPr>
        <w:t>1,528.00</w:t>
      </w:r>
    </w:p>
    <w:p>
      <w:pPr>
        <w:spacing w:after="80" w:line="276" w:lineRule="auto"/>
      </w:pPr>
      <w:r>
        <w:rPr>
          <w:rFonts w:ascii="Calibri" w:hAnsi="Calibri"/>
          <w:color w:val="1E293B"/>
          <w:sz w:val="22"/>
        </w:rPr>
        <w:t>1.36</w:t>
      </w:r>
    </w:p>
    <w:p>
      <w:pPr>
        <w:spacing w:after="80" w:line="276" w:lineRule="auto"/>
      </w:pPr>
      <w:r>
        <w:rPr>
          <w:rFonts w:ascii="Calibri" w:hAnsi="Calibri"/>
          <w:color w:val="1E293B"/>
          <w:sz w:val="22"/>
        </w:rPr>
        <w:t>Pushpa Kushal Hegde</w:t>
      </w:r>
    </w:p>
    <w:p>
      <w:pPr>
        <w:spacing w:after="80" w:line="276" w:lineRule="auto"/>
      </w:pPr>
      <w:r>
        <w:rPr>
          <w:rFonts w:ascii="Calibri" w:hAnsi="Calibri"/>
          <w:color w:val="1E293B"/>
          <w:sz w:val="22"/>
        </w:rPr>
        <w:t>Promoter Selling Shareholder</w:t>
      </w:r>
    </w:p>
    <w:p>
      <w:pPr>
        <w:spacing w:after="80" w:line="276" w:lineRule="auto"/>
      </w:pPr>
      <w:r>
        <w:rPr>
          <w:rFonts w:ascii="Calibri" w:hAnsi="Calibri"/>
          <w:color w:val="1E293B"/>
          <w:sz w:val="22"/>
        </w:rPr>
        <w:t>422.00</w:t>
      </w:r>
    </w:p>
    <w:p>
      <w:pPr>
        <w:spacing w:after="80" w:line="276" w:lineRule="auto"/>
      </w:pPr>
      <w:r>
        <w:rPr>
          <w:rFonts w:ascii="Calibri" w:hAnsi="Calibri"/>
          <w:color w:val="1E293B"/>
          <w:sz w:val="22"/>
        </w:rPr>
        <w:t>1.51</w:t>
      </w:r>
    </w:p>
    <w:p>
      <w:pPr>
        <w:spacing w:after="80" w:line="276" w:lineRule="auto"/>
      </w:pPr>
      <w:r>
        <w:rPr>
          <w:rFonts w:ascii="Calibri" w:hAnsi="Calibri"/>
          <w:color w:val="1E293B"/>
          <w:sz w:val="22"/>
        </w:rPr>
        <w:t>Rajesh Kushal Hegde</w:t>
      </w:r>
    </w:p>
    <w:p>
      <w:pPr>
        <w:spacing w:after="80" w:line="276" w:lineRule="auto"/>
      </w:pPr>
      <w:r>
        <w:rPr>
          <w:rFonts w:ascii="Calibri" w:hAnsi="Calibri"/>
          <w:color w:val="1E293B"/>
          <w:sz w:val="22"/>
        </w:rPr>
        <w:t>Promoter Selling Shareholder</w:t>
      </w:r>
    </w:p>
    <w:p>
      <w:pPr>
        <w:spacing w:after="80" w:line="276" w:lineRule="auto"/>
      </w:pPr>
      <w:r>
        <w:rPr>
          <w:rFonts w:ascii="Calibri" w:hAnsi="Calibri"/>
          <w:color w:val="1E293B"/>
          <w:sz w:val="22"/>
        </w:rPr>
        <w:t>475.00</w:t>
      </w:r>
    </w:p>
    <w:p>
      <w:pPr>
        <w:spacing w:after="80" w:line="276" w:lineRule="auto"/>
      </w:pPr>
      <w:r>
        <w:rPr>
          <w:rFonts w:ascii="Calibri" w:hAnsi="Calibri"/>
          <w:color w:val="1E293B"/>
          <w:sz w:val="22"/>
        </w:rPr>
        <w:t>1.41</w:t>
      </w:r>
    </w:p>
    <w:p>
      <w:pPr>
        <w:spacing w:after="80" w:line="276" w:lineRule="auto"/>
      </w:pPr>
      <w:r>
        <w:rPr>
          <w:rFonts w:ascii="Calibri" w:hAnsi="Calibri"/>
          <w:color w:val="1E293B"/>
          <w:sz w:val="22"/>
        </w:rPr>
        <w:t>Rohit Kushal Hegde</w:t>
      </w:r>
    </w:p>
    <w:p>
      <w:pPr>
        <w:spacing w:after="80" w:line="276" w:lineRule="auto"/>
      </w:pPr>
      <w:r>
        <w:rPr>
          <w:rFonts w:ascii="Calibri" w:hAnsi="Calibri"/>
          <w:color w:val="1E293B"/>
          <w:sz w:val="22"/>
        </w:rPr>
        <w:t>Promoter Selling Shareholder</w:t>
      </w:r>
    </w:p>
    <w:p>
      <w:pPr>
        <w:spacing w:after="80" w:line="276" w:lineRule="auto"/>
      </w:pPr>
      <w:r>
        <w:rPr>
          <w:rFonts w:ascii="Calibri" w:hAnsi="Calibri"/>
          <w:color w:val="1E293B"/>
          <w:sz w:val="22"/>
        </w:rPr>
        <w:t>475.00</w:t>
      </w:r>
    </w:p>
    <w:p>
      <w:pPr>
        <w:spacing w:after="80" w:line="276" w:lineRule="auto"/>
      </w:pPr>
      <w:r>
        <w:rPr>
          <w:rFonts w:ascii="Calibri" w:hAnsi="Calibri"/>
          <w:color w:val="1E293B"/>
          <w:sz w:val="22"/>
        </w:rPr>
        <w:t>1.35</w:t>
      </w:r>
    </w:p>
    <w:p>
      <w:pPr>
        <w:spacing w:after="80" w:line="276" w:lineRule="auto"/>
      </w:pPr>
      <w:r>
        <w:rPr>
          <w:rFonts w:ascii="Calibri" w:hAnsi="Calibri"/>
          <w:color w:val="1E293B"/>
          <w:sz w:val="22"/>
        </w:rPr>
        <w:t>*As certified by Kirtane &amp; Acme Private Limited, Chartered Accountants, our Statutory Auditors, by way of their certificate dated December 10, 2025. For further details, see “Summary of the Offer Document – Average cost of acquisition of Equity Shares by our Promoters and the Promoter Selling Shareholders” on page 26.</w:t>
      </w:r>
    </w:p>
    <w:p>
      <w:pPr>
        <w:spacing w:after="80" w:line="276" w:lineRule="auto"/>
      </w:pPr>
      <w:r>
        <w:rPr>
          <w:rFonts w:ascii="Calibri" w:hAnsi="Calibri"/>
          <w:color w:val="1E293B"/>
          <w:sz w:val="22"/>
        </w:rPr>
        <w:t>#As adjusted for Split of Equity Shares and Bonus Issue.</w:t>
      </w:r>
    </w:p>
    <w:p>
      <w:pPr>
        <w:spacing w:after="80" w:line="276" w:lineRule="auto"/>
      </w:pPr>
      <w:r>
        <w:rPr>
          <w:rFonts w:ascii="Calibri" w:hAnsi="Calibri"/>
          <w:color w:val="1E293B"/>
          <w:sz w:val="22"/>
        </w:rPr>
        <w:t>RISKS IN RELATION TO THE FIRST OFFER</w:t>
      </w:r>
    </w:p>
    <w:p>
      <w:pPr>
        <w:spacing w:after="80" w:line="276" w:lineRule="auto"/>
      </w:pPr>
      <w:r>
        <w:rPr>
          <w:rFonts w:ascii="Calibri" w:hAnsi="Calibri"/>
          <w:color w:val="1E293B"/>
          <w:sz w:val="22"/>
        </w:rPr>
        <w:t>This being the first public Northstar Technologies Ltd, there has been no formal market for the Equity Shares. The face value of the Equity Shares is ₹5 each. The Floor Price, Cap Price and Offer Price (Bluebird Capital LLP,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the Equity Shares after the Equity Shares are listed. No assurance can be given regarding an active an d/or sustained</w:t>
      </w:r>
    </w:p>
    <w:p>
      <w:pPr>
        <w:spacing w:after="80" w:line="276" w:lineRule="auto"/>
      </w:pPr>
      <w:r>
        <w:rPr>
          <w:rFonts w:ascii="Calibri" w:hAnsi="Calibri"/>
          <w:color w:val="1E293B"/>
          <w:sz w:val="22"/>
        </w:rPr>
        <w:t>trading in the Equity Shares nor regarding the price at which the Equity Shares will be traded after listing.</w:t>
      </w:r>
    </w:p>
    <w:p>
      <w:pPr>
        <w:spacing w:after="80" w:line="276" w:lineRule="auto"/>
      </w:pPr>
      <w:r>
        <w:rPr>
          <w:rFonts w:ascii="Calibri" w:hAnsi="Calibri"/>
          <w:color w:val="1E293B"/>
          <w:sz w:val="22"/>
        </w:rPr>
        <w:t>GENERAL RISKS</w:t>
      </w:r>
    </w:p>
    <w:p>
      <w:pPr>
        <w:spacing w:after="80" w:line="276" w:lineRule="auto"/>
      </w:pPr>
      <w:r>
        <w:rPr>
          <w:rFonts w:ascii="Calibri" w:hAnsi="Calibri"/>
          <w:color w:val="1E293B"/>
          <w:sz w:val="22"/>
        </w:rPr>
        <w:t>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Acme Private Limited and the Offer, including the risks involved. The Equity Shares offered in the Offer have not been recommended or approved by the Securities and Exchange Board of</w:t>
      </w:r>
    </w:p>
    <w:p>
      <w:pPr>
        <w:spacing w:after="80" w:line="276" w:lineRule="auto"/>
      </w:pPr>
      <w:r>
        <w:rPr>
          <w:rFonts w:ascii="Calibri" w:hAnsi="Calibri"/>
          <w:color w:val="1E293B"/>
          <w:sz w:val="22"/>
        </w:rPr>
        <w:t>India (“SEBI”), nor does SEBI guarantee the accuracy or adequacy of the contents of this Red Herring Prospectus. Specific attention of the investors is invited to “Risk Factors” on page 28.</w:t>
      </w:r>
    </w:p>
    <w:p>
      <w:pPr>
        <w:spacing w:after="80" w:line="276" w:lineRule="auto"/>
      </w:pPr>
      <w:r>
        <w:rPr>
          <w:rFonts w:ascii="Calibri" w:hAnsi="Calibri"/>
          <w:color w:val="1E293B"/>
          <w:sz w:val="22"/>
        </w:rPr>
        <w:t>ISSUER’S AND PROMOTER SELLING SHAREHOLDERS’ ABSOLUTE RESPONSIBILITY</w:t>
      </w:r>
    </w:p>
    <w:p>
      <w:pPr>
        <w:spacing w:after="80" w:line="276" w:lineRule="auto"/>
      </w:pPr>
      <w:r>
        <w:rPr>
          <w:rFonts w:ascii="Calibri" w:hAnsi="Calibri"/>
          <w:color w:val="1E293B"/>
          <w:sz w:val="22"/>
        </w:rPr>
        <w:t>Northstar Technologies Ltd, having made all reasonable inquiries, accepts responsibility for and confirms that this Red Herring Prospectus contains Bluebird Capital LLP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 inter alia, any and all of the statements Acme Private Limited or its business or any other Promoter Selling Shareholder</w:t>
      </w:r>
    </w:p>
    <w:p>
      <w:pPr>
        <w:spacing w:after="80" w:line="276" w:lineRule="auto"/>
      </w:pPr>
      <w:r>
        <w:rPr>
          <w:rFonts w:ascii="Calibri" w:hAnsi="Calibri"/>
          <w:color w:val="1E293B"/>
          <w:sz w:val="22"/>
        </w:rPr>
        <w:t>or any other person, in this Red Herring Prospectus.</w:t>
      </w:r>
    </w:p>
    <w:p>
      <w:pPr>
        <w:spacing w:after="80" w:line="276" w:lineRule="auto"/>
      </w:pPr>
      <w:r>
        <w:rPr>
          <w:rFonts w:ascii="Calibri" w:hAnsi="Calibri"/>
          <w:color w:val="1E293B"/>
          <w:sz w:val="22"/>
        </w:rPr>
        <w:t>LISTING</w:t>
      </w:r>
    </w:p>
    <w:p>
      <w:pPr>
        <w:spacing w:after="80" w:line="276" w:lineRule="auto"/>
      </w:pPr>
      <w:r>
        <w:rPr>
          <w:rFonts w:ascii="Calibri" w:hAnsi="Calibri"/>
          <w:color w:val="1E293B"/>
          <w:sz w:val="22"/>
        </w:rPr>
        <w:t>The Equity Shares offered through this Red Herring Prospectus are proposed Northstar Technologies Ltd (“BSE”) Bluebird Capital LLP (“NSE”, together with BSE, the “Stock Exchanges”). For the purposes of the Offer, the Designated Stock Exchange is BSE.</w:t>
      </w:r>
    </w:p>
    <w:p>
      <w:pPr>
        <w:spacing w:after="80" w:line="276" w:lineRule="auto"/>
      </w:pPr>
      <w:r>
        <w:rPr>
          <w:rFonts w:ascii="Calibri" w:hAnsi="Calibri"/>
          <w:color w:val="1E293B"/>
          <w:sz w:val="22"/>
        </w:rPr>
        <w:t>BOOK RUNNING LEAD MANAGERS</w:t>
      </w:r>
    </w:p>
    <w:p>
      <w:pPr>
        <w:spacing w:after="80" w:line="276" w:lineRule="auto"/>
      </w:pPr>
      <w:r>
        <w:rPr>
          <w:rFonts w:ascii="Calibri" w:hAnsi="Calibri"/>
          <w:color w:val="1E293B"/>
          <w:sz w:val="22"/>
        </w:rPr>
        <w:t>NAME John Doe BOOK RUNNING LEAD MANAGER</w:t>
      </w:r>
    </w:p>
    <w:p>
      <w:pPr>
        <w:spacing w:after="80" w:line="276" w:lineRule="auto"/>
      </w:pPr>
      <w:r>
        <w:rPr>
          <w:rFonts w:ascii="Calibri" w:hAnsi="Calibri"/>
          <w:color w:val="1E293B"/>
          <w:sz w:val="22"/>
        </w:rPr>
        <w:t>CONTACT PERSON</w:t>
      </w:r>
    </w:p>
    <w:p>
      <w:pPr>
        <w:spacing w:after="80" w:line="276" w:lineRule="auto"/>
      </w:pPr>
      <w:r>
        <w:rPr>
          <w:rFonts w:ascii="Calibri" w:hAnsi="Calibri"/>
          <w:color w:val="1E293B"/>
          <w:sz w:val="22"/>
        </w:rPr>
        <w:t>EMAIL AND TELEPHONE</w:t>
      </w:r>
    </w:p>
    <w:p>
      <w:pPr>
        <w:spacing w:after="80" w:line="276" w:lineRule="auto"/>
      </w:pPr>
      <w:r>
        <w:rPr>
          <w:rFonts w:ascii="Calibri" w:hAnsi="Calibri"/>
          <w:color w:val="1E293B"/>
          <w:sz w:val="22"/>
        </w:rPr>
        <w:t>Acme Private Limited</w:t>
      </w:r>
    </w:p>
    <w:p>
      <w:pPr>
        <w:spacing w:after="80" w:line="276" w:lineRule="auto"/>
      </w:pPr>
      <w:r>
        <w:rPr>
          <w:rFonts w:ascii="Calibri" w:hAnsi="Calibri"/>
          <w:color w:val="1E293B"/>
          <w:sz w:val="22"/>
        </w:rPr>
        <w:t>Lokesh Shah/ Soumavo Sarkar</w:t>
      </w:r>
    </w:p>
    <w:p>
      <w:pPr>
        <w:spacing w:after="80" w:line="276" w:lineRule="auto"/>
      </w:pPr>
      <w:r>
        <w:rPr>
          <w:rFonts w:ascii="Calibri" w:hAnsi="Calibri"/>
          <w:color w:val="1E293B"/>
          <w:sz w:val="22"/>
        </w:rPr>
        <w:t>Email: peter.parker@example.com</w:t>
      </w:r>
    </w:p>
    <w:p>
      <w:pPr>
        <w:spacing w:after="80" w:line="276" w:lineRule="auto"/>
      </w:pPr>
      <w:r>
        <w:rPr>
          <w:rFonts w:ascii="Calibri" w:hAnsi="Calibri"/>
          <w:color w:val="1E293B"/>
          <w:sz w:val="22"/>
        </w:rPr>
        <w:t>Telephone: +91 9876501234</w:t>
      </w:r>
    </w:p>
    <w:p>
      <w:pPr>
        <w:spacing w:after="80" w:line="276" w:lineRule="auto"/>
      </w:pPr>
      <w:r>
        <w:rPr>
          <w:rFonts w:ascii="Calibri" w:hAnsi="Calibri"/>
          <w:color w:val="1E293B"/>
          <w:sz w:val="22"/>
        </w:rPr>
        <w:t>Northstar Technologies Ltd</w:t>
      </w:r>
    </w:p>
    <w:p>
      <w:pPr>
        <w:spacing w:after="80" w:line="276" w:lineRule="auto"/>
      </w:pPr>
      <w:r>
        <w:rPr>
          <w:rFonts w:ascii="Calibri" w:hAnsi="Calibri"/>
          <w:color w:val="1E293B"/>
          <w:sz w:val="22"/>
        </w:rPr>
        <w:t>Kishan Rastogi/ Abhijit Diwan</w:t>
      </w:r>
    </w:p>
    <w:p>
      <w:pPr>
        <w:spacing w:after="80" w:line="276" w:lineRule="auto"/>
      </w:pPr>
      <w:r>
        <w:rPr>
          <w:rFonts w:ascii="Calibri" w:hAnsi="Calibri"/>
          <w:color w:val="1E293B"/>
          <w:sz w:val="22"/>
        </w:rPr>
        <w:t>Email: ananya.sharma@example.com</w:t>
      </w:r>
    </w:p>
    <w:p>
      <w:pPr>
        <w:spacing w:after="80" w:line="276" w:lineRule="auto"/>
      </w:pPr>
      <w:r>
        <w:rPr>
          <w:rFonts w:ascii="Calibri" w:hAnsi="Calibri"/>
          <w:color w:val="1E293B"/>
          <w:sz w:val="22"/>
        </w:rPr>
        <w:t>Telephone: +1 202 555 0100</w:t>
      </w:r>
    </w:p>
    <w:p>
      <w:pPr>
        <w:spacing w:after="80" w:line="276" w:lineRule="auto"/>
      </w:pPr>
      <w:r>
        <w:rPr>
          <w:rFonts w:ascii="Calibri" w:hAnsi="Calibri"/>
          <w:color w:val="1E293B"/>
          <w:sz w:val="22"/>
        </w:rPr>
        <w:t>REGISTRAR TO THE OFFER</w:t>
      </w:r>
    </w:p>
    <w:p>
      <w:pPr>
        <w:spacing w:after="80" w:line="276" w:lineRule="auto"/>
      </w:pPr>
      <w:r>
        <w:rPr>
          <w:rFonts w:ascii="Calibri" w:hAnsi="Calibri"/>
          <w:color w:val="1E293B"/>
          <w:sz w:val="22"/>
        </w:rPr>
        <w:t>NAME Peter Parker</w:t>
      </w:r>
    </w:p>
    <w:p>
      <w:pPr>
        <w:spacing w:after="80" w:line="276" w:lineRule="auto"/>
      </w:pPr>
      <w:r>
        <w:rPr>
          <w:rFonts w:ascii="Calibri" w:hAnsi="Calibri"/>
          <w:color w:val="1E293B"/>
          <w:sz w:val="22"/>
        </w:rPr>
        <w:t>CONTACT PERSON</w:t>
      </w:r>
    </w:p>
    <w:p>
      <w:pPr>
        <w:spacing w:after="80" w:line="276" w:lineRule="auto"/>
      </w:pPr>
      <w:r>
        <w:rPr>
          <w:rFonts w:ascii="Calibri" w:hAnsi="Calibri"/>
          <w:color w:val="1E293B"/>
          <w:sz w:val="22"/>
        </w:rPr>
        <w:t>TELEPHONE AND EMAIL</w:t>
      </w:r>
    </w:p>
    <w:p>
      <w:pPr>
        <w:spacing w:after="80" w:line="276" w:lineRule="auto"/>
      </w:pPr>
      <w:r>
        <w:rPr>
          <w:rFonts w:ascii="Calibri" w:hAnsi="Calibri"/>
          <w:color w:val="1E293B"/>
          <w:sz w:val="22"/>
        </w:rPr>
        <w:t>Bluebird Capital LLP</w:t>
      </w:r>
    </w:p>
    <w:p>
      <w:pPr>
        <w:spacing w:after="80" w:line="276" w:lineRule="auto"/>
      </w:pPr>
      <w:r>
        <w:rPr>
          <w:rFonts w:ascii="Calibri" w:hAnsi="Calibri"/>
          <w:color w:val="1E293B"/>
          <w:sz w:val="22"/>
        </w:rPr>
        <w:t>(Acme Private Limited)</w:t>
      </w:r>
    </w:p>
    <w:p>
      <w:pPr>
        <w:spacing w:after="80" w:line="276" w:lineRule="auto"/>
      </w:pPr>
      <w:r>
        <w:rPr>
          <w:rFonts w:ascii="Calibri" w:hAnsi="Calibri"/>
          <w:color w:val="1E293B"/>
          <w:sz w:val="22"/>
        </w:rPr>
        <w:t>Shanti Gopalkrishnan</w:t>
      </w:r>
    </w:p>
    <w:p>
      <w:pPr>
        <w:spacing w:after="80" w:line="276" w:lineRule="auto"/>
      </w:pPr>
      <w:r>
        <w:rPr>
          <w:rFonts w:ascii="Calibri" w:hAnsi="Calibri"/>
          <w:color w:val="1E293B"/>
          <w:sz w:val="22"/>
        </w:rPr>
        <w:t>Telephone: +91 81081 14949</w:t>
      </w:r>
    </w:p>
    <w:p>
      <w:pPr>
        <w:spacing w:after="80" w:line="276" w:lineRule="auto"/>
      </w:pPr>
      <w:r>
        <w:rPr>
          <w:rFonts w:ascii="Calibri" w:hAnsi="Calibri"/>
          <w:color w:val="1E293B"/>
          <w:sz w:val="22"/>
        </w:rPr>
        <w:t>E-mail: john.doe@example.com</w:t>
      </w:r>
    </w:p>
    <w:p>
      <w:pPr>
        <w:spacing w:after="80" w:line="276" w:lineRule="auto"/>
      </w:pPr>
      <w:r>
        <w:rPr>
          <w:rFonts w:ascii="Calibri" w:hAnsi="Calibri"/>
          <w:color w:val="1E293B"/>
          <w:sz w:val="22"/>
        </w:rPr>
        <w:t>BID/OFFER PERIOD</w:t>
      </w:r>
    </w:p>
    <w:p>
      <w:pPr>
        <w:spacing w:after="80" w:line="276" w:lineRule="auto"/>
      </w:pPr>
      <w:r>
        <w:rPr>
          <w:rFonts w:ascii="Calibri" w:hAnsi="Calibri"/>
          <w:color w:val="1E293B"/>
          <w:sz w:val="22"/>
        </w:rPr>
        <w:t>ANCHOR INVESTOR BIDDING DATE(1)</w:t>
      </w:r>
    </w:p>
    <w:p>
      <w:pPr>
        <w:spacing w:after="80" w:line="276" w:lineRule="auto"/>
      </w:pPr>
      <w:r>
        <w:rPr>
          <w:rFonts w:ascii="Calibri" w:hAnsi="Calibri"/>
          <w:color w:val="1E293B"/>
          <w:sz w:val="22"/>
        </w:rPr>
        <w:t>Monday, December 15,</w:t>
      </w:r>
    </w:p>
    <w:p>
      <w:pPr>
        <w:spacing w:after="80" w:line="276" w:lineRule="auto"/>
      </w:pPr>
      <w:r>
        <w:rPr>
          <w:rFonts w:ascii="Calibri" w:hAnsi="Calibri"/>
          <w:color w:val="1E293B"/>
          <w:sz w:val="22"/>
        </w:rPr>
        <w:t>2025</w:t>
      </w:r>
    </w:p>
    <w:p>
      <w:pPr>
        <w:spacing w:after="80" w:line="276" w:lineRule="auto"/>
      </w:pPr>
      <w:r>
        <w:rPr>
          <w:rFonts w:ascii="Calibri" w:hAnsi="Calibri"/>
          <w:color w:val="1E293B"/>
          <w:sz w:val="22"/>
        </w:rPr>
        <w:t>BID/OFFE R OPENS</w:t>
      </w:r>
    </w:p>
    <w:p>
      <w:pPr>
        <w:spacing w:after="80" w:line="276" w:lineRule="auto"/>
      </w:pPr>
      <w:r>
        <w:rPr>
          <w:rFonts w:ascii="Calibri" w:hAnsi="Calibri"/>
          <w:color w:val="1E293B"/>
          <w:sz w:val="22"/>
        </w:rPr>
        <w:t>ON</w:t>
      </w:r>
    </w:p>
    <w:p>
      <w:pPr>
        <w:spacing w:after="80" w:line="276" w:lineRule="auto"/>
      </w:pPr>
      <w:r>
        <w:rPr>
          <w:rFonts w:ascii="Calibri" w:hAnsi="Calibri"/>
          <w:color w:val="1E293B"/>
          <w:sz w:val="22"/>
        </w:rPr>
        <w:t>Tuesday, December</w:t>
      </w:r>
    </w:p>
    <w:p>
      <w:pPr>
        <w:spacing w:after="80" w:line="276" w:lineRule="auto"/>
      </w:pPr>
      <w:r>
        <w:rPr>
          <w:rFonts w:ascii="Calibri" w:hAnsi="Calibri"/>
          <w:color w:val="1E293B"/>
          <w:sz w:val="22"/>
        </w:rPr>
        <w:t>16, 2025</w:t>
      </w:r>
    </w:p>
    <w:p>
      <w:pPr>
        <w:spacing w:after="80" w:line="276" w:lineRule="auto"/>
      </w:pPr>
      <w:r>
        <w:rPr>
          <w:rFonts w:ascii="Calibri" w:hAnsi="Calibri"/>
          <w:color w:val="1E293B"/>
          <w:sz w:val="22"/>
        </w:rPr>
        <w:t>BID/OFFER CLOSES ON(2)</w:t>
      </w:r>
    </w:p>
    <w:p>
      <w:pPr>
        <w:spacing w:after="80" w:line="276" w:lineRule="auto"/>
      </w:pPr>
      <w:r>
        <w:rPr>
          <w:rFonts w:ascii="Calibri" w:hAnsi="Calibri"/>
          <w:color w:val="1E293B"/>
          <w:sz w:val="22"/>
        </w:rPr>
        <w:t>Thursday, December 18, 2025</w:t>
      </w:r>
    </w:p>
    <w:p>
      <w:pPr>
        <w:spacing w:after="80" w:line="276" w:lineRule="auto"/>
      </w:pPr>
      <w:r>
        <w:rPr>
          <w:rFonts w:ascii="Calibri" w:hAnsi="Calibri"/>
          <w:color w:val="1E293B"/>
          <w:sz w:val="22"/>
        </w:rPr>
        <w:t>(1) Northstar Technologies Ltd, in consultation with the Book Running Lead Managers, may consider participation by Anchor Investors in accordance with the SEBI ICDR Regulations.</w:t>
      </w:r>
    </w:p>
    <w:p>
      <w:pPr>
        <w:spacing w:after="80" w:line="276" w:lineRule="auto"/>
      </w:pPr>
      <w:r>
        <w:rPr>
          <w:rFonts w:ascii="Calibri" w:hAnsi="Calibri"/>
          <w:color w:val="1E293B"/>
          <w:sz w:val="22"/>
        </w:rPr>
        <w:t>(2) The UPI mandate end time and date shall be at 5:00 p.m. on Bid/Offer Closing Day.</w:t>
      </w:r>
    </w:p>
    <w:p>
      <w:pPr>
        <w:spacing w:after="80" w:line="276" w:lineRule="auto"/>
      </w:pPr>
      <w:r>
        <w:rPr>
          <w:rFonts w:ascii="Calibri" w:hAnsi="Calibri"/>
          <w:color w:val="1E293B"/>
          <w:sz w:val="22"/>
        </w:rPr>
        <w:t>RED HERRING PROSPECTUS</w:t>
      </w:r>
    </w:p>
    <w:p>
      <w:pPr>
        <w:spacing w:after="80" w:line="276" w:lineRule="auto"/>
      </w:pPr>
      <w:r>
        <w:rPr>
          <w:rFonts w:ascii="Calibri" w:hAnsi="Calibri"/>
          <w:color w:val="1E293B"/>
          <w:sz w:val="22"/>
        </w:rPr>
        <w:t>Dated December 10, 2025 Please read section 32 of the Companies Act, 2013</w:t>
      </w:r>
    </w:p>
    <w:p>
      <w:pPr>
        <w:spacing w:after="80" w:line="276" w:lineRule="auto"/>
      </w:pPr>
      <w:r>
        <w:rPr>
          <w:rFonts w:ascii="Calibri" w:hAnsi="Calibri"/>
          <w:color w:val="1E293B"/>
          <w:sz w:val="22"/>
        </w:rPr>
        <w:t>100% Book Built Offer</w:t>
      </w:r>
    </w:p>
    <w:p>
      <w:pPr>
        <w:spacing w:after="80" w:line="276" w:lineRule="auto"/>
      </w:pPr>
      <w:r>
        <w:rPr>
          <w:rFonts w:ascii="Calibri" w:hAnsi="Calibri"/>
          <w:color w:val="1E293B"/>
          <w:sz w:val="22"/>
        </w:rPr>
        <w:t>Acme Private Limited</w:t>
      </w:r>
    </w:p>
    <w:p>
      <w:pPr>
        <w:spacing w:after="80" w:line="276" w:lineRule="auto"/>
      </w:pPr>
      <w:r>
        <w:rPr>
          <w:rFonts w:ascii="Calibri" w:hAnsi="Calibri"/>
          <w:color w:val="1E293B"/>
          <w:sz w:val="22"/>
        </w:rPr>
        <w:t>Northstar Technologies Ltd was originally incorporated as “Northstar Technologies Ltd” under the provisions of the Companies Act, 1956, pursuant to a certificate of incorporation dated July 30, 1979, issued by the Registrar of Companies, Maharashtra at Bombay. Subsequently, Bluebird Capital LLP was changed from “Northstar Technologies Ltd” to “Acme Private Limited” pursuant to a resolution dated June 1, 1996 passed by our Board and a resolution dated June 24, 1996 passed by our shareholders, post which a fresh certificate of incorporation dated July 4, 1996 was issued by Registrar of Companies Maharashtra at Mumbai pursuant to change of name Ananya Sharma, 1956. Further, pursuant to a special resolution passed by our Shareholders on January 13, 2011 which was confirmed by an order of the regional director Maya Rao 16, 2011, Northstar Technologies Ltd was shifted from the jurisdiction of Registrar of Companies, Maharashtra at Mumbai to the jurisdiction of the Registrar of Companies, Maharashtra at Pune, and a certificate of registration of the order of regional director John Doe registered office within the same state was issued to us on October 13, 2011, by the Bluebird Capital LLP Acme Private Limited Northstar Technologies Ltd, pursuant to a resolution passed by our Board on December 11, 2024 and a special resolution passed by our Shareholders on December 19, 2024, Bluebird Capital LLP was changed to “Bluebird Capital LLP” and a fresh certificate of incorporation was issued by the Registrar of Companies, Central Processing Centre on January 20, 2025. For further details of changes Acme Private Limited, see “History and Certain Corporate Matters- Change in our registered office” on page 243.</w:t>
      </w:r>
    </w:p>
    <w:p>
      <w:pPr>
        <w:spacing w:after="80" w:line="276" w:lineRule="auto"/>
      </w:pPr>
      <w:r>
        <w:rPr>
          <w:rFonts w:ascii="Calibri" w:hAnsi="Calibri"/>
          <w:color w:val="1E293B"/>
          <w:sz w:val="22"/>
        </w:rPr>
        <w:t>Corporate Identity Number: U28129PN1979PLC141032</w:t>
      </w:r>
    </w:p>
    <w:p>
      <w:pPr>
        <w:spacing w:after="80" w:line="276" w:lineRule="auto"/>
      </w:pPr>
      <w:r>
        <w:rPr>
          <w:rFonts w:ascii="Calibri" w:hAnsi="Calibri"/>
          <w:color w:val="1E293B"/>
          <w:sz w:val="22"/>
        </w:rPr>
        <w:t>Registered Office: 11/3, 11/4 and 11/5, Village Birdewadi, Chakan Taluka - Khed, Pune – 410 501, Maharashtra, India;</w:t>
      </w:r>
    </w:p>
    <w:p>
      <w:pPr>
        <w:spacing w:after="80" w:line="276" w:lineRule="auto"/>
      </w:pPr>
      <w:r>
        <w:rPr>
          <w:rFonts w:ascii="Calibri" w:hAnsi="Calibri"/>
          <w:color w:val="1E293B"/>
          <w:sz w:val="22"/>
        </w:rPr>
        <w:t>Corporate Office: 201, Tower 2, Montreal Business Centre, Off Pallod Farms, Baner, Pune – 411 045, Maharashtra, India;</w:t>
      </w:r>
    </w:p>
    <w:p>
      <w:pPr>
        <w:spacing w:after="80" w:line="276" w:lineRule="auto"/>
      </w:pPr>
      <w:r>
        <w:rPr>
          <w:rFonts w:ascii="Calibri" w:hAnsi="Calibri"/>
          <w:color w:val="1E293B"/>
          <w:sz w:val="22"/>
        </w:rPr>
        <w:t>Contact Person: Sarthak Malvadkar, Company Secretary and Compliance Officer; Telephone: + +91 1234567890;</w:t>
      </w:r>
    </w:p>
    <w:p>
      <w:pPr>
        <w:spacing w:after="80" w:line="276" w:lineRule="auto"/>
      </w:pPr>
      <w:r>
        <w:rPr>
          <w:rFonts w:ascii="Calibri" w:hAnsi="Calibri"/>
          <w:color w:val="1E293B"/>
          <w:sz w:val="22"/>
        </w:rPr>
        <w:t>E-mail: john.doe@example.com; Website: www.kshinternational.com</w:t>
      </w:r>
    </w:p>
    <w:p>
      <w:pPr>
        <w:spacing w:after="80" w:line="276" w:lineRule="auto"/>
      </w:pPr>
      <w:r>
        <w:rPr>
          <w:rFonts w:ascii="Calibri" w:hAnsi="Calibri"/>
          <w:color w:val="1E293B"/>
          <w:sz w:val="22"/>
        </w:rPr>
        <w:t>OUR PROMOTERS: KUSHAL SUBBAYYA HEGDE, PUSHPA KUSHAL HEGDE, RAJESH KUSHAL HEGDE, ROHIT KUSHAL HEGDE, RAKHI GIRIJA SHETTY, DHAULAGIRI FAMILY TRUST, EVEREST</w:t>
      </w:r>
    </w:p>
    <w:p>
      <w:pPr>
        <w:spacing w:after="80" w:line="276" w:lineRule="auto"/>
      </w:pPr>
      <w:r>
        <w:rPr>
          <w:rFonts w:ascii="Calibri" w:hAnsi="Calibri"/>
          <w:color w:val="1E293B"/>
          <w:sz w:val="22"/>
        </w:rPr>
        <w:t>FAMILY TRUST, MAKALU FAMILY TRUST, BROAD FAMILY TRUST, ANNAPURNA FAMILY TRUST, KANCHENJUNGA FAMILY Northstar Technologies Ltd</w:t>
      </w:r>
    </w:p>
    <w:p>
      <w:pPr>
        <w:spacing w:after="80" w:line="276" w:lineRule="auto"/>
      </w:pPr>
      <w:r>
        <w:rPr>
          <w:rFonts w:ascii="Calibri" w:hAnsi="Calibri"/>
          <w:color w:val="1E293B"/>
          <w:sz w:val="22"/>
        </w:rPr>
        <w:t>INITIAL PUBLIC OFFERING OF UP TO [●] EQUITY SHARES OF FACE VALUE OF ₹5 EACH (“EQUITY SHARES”) Bluebird Capital LLP (“COMPANY” OR “ISSUER”) FOR CASH AT A PRICE OF ₹[●] PER EQUITY SHARE (INCLUDING A SHARE PREMIUM OF ₹[●] PER EQUITY SHARE) (“OFFER PRICE”) AGGREGATING UP TO ₹7,100.00 MILLION (THE “OFFER”) COMPRISING A FRESH ISSUE OF UP TO [●] EQUITY SHARES OF FACE VALUE OF ₹5 EACH AGGREGATING UP TO ₹4,200.00 MILLION (“FRESH ISSUE”) AND AN OFFER FOR SALE OF UP TO [●] EQUITY SHARES OF FACE VALUE OF ₹[●] EACH (“OFFERED SHARES”) AGGREGATING UP TO ₹2,900.00 MILLION, COMPRISING UP TO [●] EQUITY SHARES OF FACE VALUE OF ₹5 EACH BY KUSHAL SUBBAYYA HEGDE AGGREGATING UP TO ₹1,528.00 MILLION, UP TO [●] EQUITY SHARES OF FACE VALUE OF ₹5 EACH BY PUSHPA KUSHAL HEGDE AGGREGATING UP TO ₹422.00 MILLION, UP TO [●] EQUITY SHARES OF FACE VALUE OF ₹5 EACH BY RAJESH KUSHAL HEGDE AGGREGATING UP TO ₹475.00 MILLION AND UP TO [●] EQUITY SHARES OF FACE VALUE OF ₹5 EACH BY ROHIT KUSHAL HEGDE AGGREGATING UP TO</w:t>
      </w:r>
    </w:p>
    <w:p>
      <w:pPr>
        <w:spacing w:after="80" w:line="276" w:lineRule="auto"/>
      </w:pPr>
      <w:r>
        <w:rPr>
          <w:rFonts w:ascii="Calibri" w:hAnsi="Calibri"/>
          <w:color w:val="1E293B"/>
          <w:sz w:val="22"/>
        </w:rPr>
        <w:t>₹475.00 MILLION (COLLECTIVELY, “PROMOTER SELLING SHAREHOLDERS” AND SUCH OFFER FOR SALE OF EQUITY SHARES OF FACE VALUE OF ₹5 EACH BY THE PROMOTER SELLING SHAREHOLDERS, THE “OFFER FOR SALE”). THE OFFER SHALL CONSTITUTE [●]% OF THE POST-OFFER PAID Acme Private Limited.</w:t>
      </w:r>
    </w:p>
    <w:p>
      <w:pPr>
        <w:spacing w:after="80" w:line="276" w:lineRule="auto"/>
      </w:pPr>
      <w:r>
        <w:rPr>
          <w:rFonts w:ascii="Calibri" w:hAnsi="Calibri"/>
          <w:color w:val="1E293B"/>
          <w:sz w:val="22"/>
        </w:rPr>
        <w:t>THE FACE VALUE OF THE EQUITY SHARES IS ₹5 EACH. THE OFFER PRICE IS [●] TIMES THE FACE VALUE OF THE EQUITY SHARES. THE PRICE BAND, AND MINIMUM BID Northstar Technologies Ltd, IN CONSULTATION WITH THE BOOK RUNNING LEAD MANAGERS,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AT LEAST TWO WORKING DAYS PRIOR TO THE BID/OFFER OPENING DATE AND SHALL BE MADE AVAILABLE TO THE STOCK EXCHANGES FOR UPLOADING ON THEIR RESPECTIVE WEBSITES IN ACCORDANCE WITH SECURITIES AND</w:t>
      </w:r>
    </w:p>
    <w:p>
      <w:pPr>
        <w:spacing w:after="80" w:line="276" w:lineRule="auto"/>
      </w:pPr>
      <w:r>
        <w:rPr>
          <w:rFonts w:ascii="Calibri" w:hAnsi="Calibri"/>
          <w:color w:val="1E293B"/>
          <w:sz w:val="22"/>
        </w:rPr>
        <w:t>EXCHANGE BOARD OF INDIA (ISSUE OF CAPITAL AND DISCLOSURE REQUIREMENTS) REGULATIONS, 2018, AS AMENDED (THE “SEBI ICDR REGULATIONS”).</w:t>
      </w:r>
    </w:p>
    <w:p>
      <w:pPr>
        <w:spacing w:after="80" w:line="276" w:lineRule="auto"/>
      </w:pPr>
      <w:r>
        <w:rPr>
          <w:rFonts w:ascii="Calibri" w:hAnsi="Calibri"/>
          <w:color w:val="1E293B"/>
          <w:sz w:val="22"/>
        </w:rPr>
        <w:t>In case of any revision in the Price Band, the Bid/Offer Period will be extended by at least three additional Working Days after such revision in the Price Band, subject to the Bid/Offer Period not exceeding 10 Working Days. In cases of force majeure, banking strike or similar unforeseen circumstances, Bluebird Capital LLP may, in consultation with the Book Running Lead Managers, for reasons to be recorded in writing, extend the Bid /Offer Period for a minimum of one Working Day, subject to the Bid/Offer Period not exceeding 10 Working Days. Any revision in the Price Band and the revised Bid/Offer Period, if applicable, shall be widely disseminated by notification to the Stock Exchanges, by issuing a press release, and also by indicating the change on the respective websites of the Book Running Lead Managers and at the terminals of the members of the Syndicate and by intimation to Designated Intermediaries and the Sponsor Banks,</w:t>
      </w:r>
    </w:p>
    <w:p>
      <w:pPr>
        <w:spacing w:after="80" w:line="276" w:lineRule="auto"/>
      </w:pPr>
      <w:r>
        <w:rPr>
          <w:rFonts w:ascii="Calibri" w:hAnsi="Calibri"/>
          <w:color w:val="1E293B"/>
          <w:sz w:val="22"/>
        </w:rPr>
        <w:t>as applicable.</w:t>
      </w:r>
    </w:p>
    <w:p>
      <w:pPr>
        <w:spacing w:after="80" w:line="276" w:lineRule="auto"/>
      </w:pPr>
      <w:r>
        <w:rPr>
          <w:rFonts w:ascii="Calibri" w:hAnsi="Calibri"/>
          <w:color w:val="1E293B"/>
          <w:sz w:val="22"/>
        </w:rPr>
        <w:t>The Offer is being made in terms of Rule 19(2)(b) of the Securities Contracts (Regulation) Rules, 1957, as amended (the “SCRR”), read with Regulation 31 of the SEBI ICDR Regulations. The Offer is being made through the Book Building Process in accordance with Regulation 6(1) of the SEBI ICDR Regulations wherein not more than 50% of the Offer shall be available for allocation on a proportionate basis to Qualified Institutional Buyers (“QIBs”) (the “QIB Portion”), Acme Private Limited may, in consultation with the BRLMs, allocate up to 60% of the QIB Portion to Anchor Investors on a discretionary basis, in accordance with the SEBI ICDR Regulations (the “Anchor Investor Portion”), of which 40%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or non-allocation in the Anchor Investor Portion, the balance Equity Shares shall be added to the QIB Portion (other than the Anchor Investor Portion) (the “Net QIB Portion”). Further, 5% of the Net QIB Portion shall be available for allocation on a proportionate basis to Mutual Funds only, subject to valid Bids being received at or above the Offer Price, and the remainder of the Net QIB Portion shall be available for allocation on a proportionate basis to all QIBs, including Mutual Funds, subject to valid Bids being received at or above the Offer Price. Further, not less than 15% of the Offer shall be available for allocation to Non-Institutional Investors (“Non-Institutional Portion”) of which one-third of the Non-Institutional Portion shall be available for allocation to Bidders with an application size of more than ₹0.20 million and up to ₹1.00 million and two-thirds of the Non-Institutional Portion shall be available for allocation to Bidders with an application size of more than ₹1.00 million and undersubscription in either of these two sub-categories of the Non-Institutional Portion may be allocated to Bidders in the other sub-category of the Non-Institutional Portion in accordance with the SEBI ICDR Regulations, subject to valid Bids being received at or above the Offer Price. Further, not less than 35% of the Offer shall be available for allocation to Retail Individual Investors (“Retail Portion”), in accordance with the SEBI ICDR Regulations, subject to valid Bids being received from them at or above the Offer Price. All Bidders (except Anchor Investors) shall mandatorily participate in this Offer only through the Application Supported by Blocked Amount (“ASBA”)</w:t>
      </w:r>
    </w:p>
    <w:p>
      <w:pPr>
        <w:spacing w:after="80" w:line="276" w:lineRule="auto"/>
      </w:pPr>
      <w:r>
        <w:rPr>
          <w:rFonts w:ascii="Calibri" w:hAnsi="Calibri"/>
          <w:color w:val="1E293B"/>
          <w:sz w:val="22"/>
        </w:rPr>
        <w:t>process and shall provide details of their respective bank account (including UPI ID (defined hereinafter) in case of UPI Bidders (defined hereinafter) in which the Bid Amount will be blocked by the Self Certified Syndicate Banks (“SCSBs”) or pursuant to the UPI Mechanism, as the case may be. Anchor Investors are not permitted to participate in the Anchor Investor Portion through the ASBA process. For details, see “Offer Procedure” on page 420.</w:t>
      </w:r>
    </w:p>
    <w:p>
      <w:pPr>
        <w:spacing w:after="80" w:line="276" w:lineRule="auto"/>
      </w:pPr>
      <w:r>
        <w:rPr>
          <w:rFonts w:ascii="Calibri" w:hAnsi="Calibri"/>
          <w:color w:val="1E293B"/>
          <w:sz w:val="22"/>
        </w:rPr>
        <w:t>RISKS IN RELATION TO THE FIRST OFFER</w:t>
      </w:r>
    </w:p>
    <w:p>
      <w:pPr>
        <w:spacing w:after="80" w:line="276" w:lineRule="auto"/>
      </w:pPr>
      <w:r>
        <w:rPr>
          <w:rFonts w:ascii="Calibri" w:hAnsi="Calibri"/>
          <w:color w:val="1E293B"/>
          <w:sz w:val="22"/>
        </w:rPr>
        <w:t>This being the first public Northstar Technologies Ltd, there has been no formal market for the Equity Shares. The face value of the Equity Shares is ₹5 each. The Offer Price, Floor Price or Cap Price (Bluebird Capital LLP,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the Equity Shares after the Equity Shares are listed. No assurance can be given regarding an active and/or sustained</w:t>
      </w:r>
    </w:p>
    <w:p>
      <w:pPr>
        <w:spacing w:after="80" w:line="276" w:lineRule="auto"/>
      </w:pPr>
      <w:r>
        <w:rPr>
          <w:rFonts w:ascii="Calibri" w:hAnsi="Calibri"/>
          <w:color w:val="1E293B"/>
          <w:sz w:val="22"/>
        </w:rPr>
        <w:t>trading in the Equity Shares nor regarding the price at which the Equity Shares will be traded after listing.</w:t>
      </w:r>
    </w:p>
    <w:p>
      <w:pPr>
        <w:spacing w:after="80" w:line="276" w:lineRule="auto"/>
      </w:pPr>
      <w:r>
        <w:rPr>
          <w:rFonts w:ascii="Calibri" w:hAnsi="Calibri"/>
          <w:color w:val="1E293B"/>
          <w:sz w:val="22"/>
        </w:rPr>
        <w:t>GENERAL RISK</w:t>
      </w:r>
    </w:p>
    <w:p>
      <w:pPr>
        <w:spacing w:after="80" w:line="276" w:lineRule="auto"/>
      </w:pPr>
      <w:r>
        <w:rPr>
          <w:rFonts w:ascii="Calibri" w:hAnsi="Calibri"/>
          <w:color w:val="1E293B"/>
          <w:sz w:val="22"/>
        </w:rPr>
        <w:t>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Acme Private Limited and the Offer, including the risks involved. The Equity Shares in the Offer have not been recommended or approved by SEBI, nor does SEBI guarantee the accuracy or adequacy of the contents of this Red Herring Prospectus. Specific attention of the Bidders is invited to “Risk Factors” on page 28.</w:t>
      </w:r>
    </w:p>
    <w:p>
      <w:pPr>
        <w:spacing w:after="80" w:line="276" w:lineRule="auto"/>
      </w:pPr>
      <w:r>
        <w:rPr>
          <w:rFonts w:ascii="Calibri" w:hAnsi="Calibri"/>
          <w:color w:val="1E293B"/>
          <w:sz w:val="22"/>
        </w:rPr>
        <w:t>ISSUER’S AND PROMOTER SELLING SHAREHOLDERS’ ABSOLUTE RESPONSIBILITY</w:t>
      </w:r>
    </w:p>
    <w:p>
      <w:pPr>
        <w:spacing w:after="80" w:line="276" w:lineRule="auto"/>
      </w:pPr>
      <w:r>
        <w:rPr>
          <w:rFonts w:ascii="Calibri" w:hAnsi="Calibri"/>
          <w:color w:val="1E293B"/>
          <w:sz w:val="22"/>
        </w:rPr>
        <w:t>Northstar Technologies Ltd, having made all reasonable inquiries, accepts responsibility for and confirms that this Red Herring Prospectus contains Bluebird Capital LLP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 no responsibility for any other statements, including, inter alia, any and all of the statements Acme Private Limited or its business or any other Promoter Selling Shareholder or any other person(s) in</w:t>
      </w:r>
    </w:p>
    <w:p>
      <w:pPr>
        <w:spacing w:after="80" w:line="276" w:lineRule="auto"/>
      </w:pPr>
      <w:r>
        <w:rPr>
          <w:rFonts w:ascii="Calibri" w:hAnsi="Calibri"/>
          <w:color w:val="1E293B"/>
          <w:sz w:val="22"/>
        </w:rPr>
        <w:t>this Red Herring Prospectus.</w:t>
      </w:r>
    </w:p>
    <w:p>
      <w:pPr>
        <w:spacing w:after="80" w:line="276" w:lineRule="auto"/>
      </w:pPr>
      <w:r>
        <w:rPr>
          <w:rFonts w:ascii="Calibri" w:hAnsi="Calibri"/>
          <w:color w:val="1E293B"/>
          <w:sz w:val="22"/>
        </w:rPr>
        <w:t>LISTING</w:t>
      </w:r>
    </w:p>
    <w:p>
      <w:pPr>
        <w:spacing w:after="80" w:line="276" w:lineRule="auto"/>
      </w:pPr>
      <w:r>
        <w:rPr>
          <w:rFonts w:ascii="Calibri" w:hAnsi="Calibri"/>
          <w:color w:val="1E293B"/>
          <w:sz w:val="22"/>
        </w:rPr>
        <w:t>The Equity Shares, offered through this Red Herring Prospectus, are proposed to be Bluebird Capital LLP has received in-principle approvals from BSE and NSE for listing of the Equity Shares pursuant to their letters each dated August 4, 2025, respectively. For the purposes of the Offer, the Designated Stock Exchange shall be BSE. A copy of this Red Herring Prospectus has been filed with the RoC and a copy of the Prospectus shall be filed with the RoC in accordance with Sections 26(4) and 32 of the Companies Act, 2013. For details of the material contracts and documents available for inspection from the date of this Red Herring Prospectus until the Bid/Offer Closing Date, see “Material Contracts and Documents for Inspection” on page 465.</w:t>
      </w:r>
    </w:p>
    <w:p>
      <w:pPr>
        <w:spacing w:after="80" w:line="276" w:lineRule="auto"/>
      </w:pPr>
      <w:r>
        <w:rPr>
          <w:rFonts w:ascii="Calibri" w:hAnsi="Calibri"/>
          <w:color w:val="1E293B"/>
          <w:sz w:val="22"/>
        </w:rPr>
        <w:t>BOOK RUNNING LEAD MANAGERS</w:t>
      </w:r>
    </w:p>
    <w:p>
      <w:pPr>
        <w:spacing w:after="80" w:line="276" w:lineRule="auto"/>
      </w:pPr>
      <w:r>
        <w:rPr>
          <w:rFonts w:ascii="Calibri" w:hAnsi="Calibri"/>
          <w:color w:val="1E293B"/>
          <w:sz w:val="22"/>
        </w:rPr>
        <w:t>REGISTRAR TO THE OFFER</w:t>
      </w:r>
    </w:p>
    <w:p>
      <w:pPr>
        <w:spacing w:after="80" w:line="276" w:lineRule="auto"/>
      </w:pPr>
      <w:r>
        <w:rPr>
          <w:rFonts w:ascii="Calibri" w:hAnsi="Calibri"/>
          <w:color w:val="1E293B"/>
          <w:sz w:val="22"/>
        </w:rPr>
        <w:t>Acme Private Limited</w:t>
      </w:r>
    </w:p>
    <w:p>
      <w:pPr>
        <w:spacing w:after="80" w:line="276" w:lineRule="auto"/>
      </w:pPr>
      <w:r>
        <w:rPr>
          <w:rFonts w:ascii="Calibri" w:hAnsi="Calibri"/>
          <w:color w:val="1E293B"/>
          <w:sz w:val="22"/>
        </w:rPr>
        <w:t>801 - 804, Wing A, Building No 3, Inspire BKC, G Block, Bandra Kurla Complex, Bandra East, Mumbai 400051, Maharashtra, India</w:t>
      </w:r>
    </w:p>
    <w:p>
      <w:pPr>
        <w:spacing w:after="80" w:line="276" w:lineRule="auto"/>
      </w:pPr>
      <w:r>
        <w:rPr>
          <w:rFonts w:ascii="Calibri" w:hAnsi="Calibri"/>
          <w:color w:val="1E293B"/>
          <w:sz w:val="22"/>
        </w:rPr>
        <w:t>Tel: +91 9876501234</w:t>
      </w:r>
    </w:p>
    <w:p>
      <w:pPr>
        <w:spacing w:after="80" w:line="276" w:lineRule="auto"/>
      </w:pPr>
      <w:r>
        <w:rPr>
          <w:rFonts w:ascii="Calibri" w:hAnsi="Calibri"/>
          <w:color w:val="1E293B"/>
          <w:sz w:val="22"/>
        </w:rPr>
        <w:t>E-mail: peter.parker@example.com</w:t>
      </w:r>
    </w:p>
    <w:p>
      <w:pPr>
        <w:spacing w:after="80" w:line="276" w:lineRule="auto"/>
      </w:pPr>
      <w:r>
        <w:rPr>
          <w:rFonts w:ascii="Calibri" w:hAnsi="Calibri"/>
          <w:color w:val="1E293B"/>
          <w:sz w:val="22"/>
        </w:rPr>
        <w:t>Website: www.nuvama.com</w:t>
      </w:r>
    </w:p>
    <w:p>
      <w:pPr>
        <w:spacing w:after="80" w:line="276" w:lineRule="auto"/>
      </w:pPr>
      <w:r>
        <w:rPr>
          <w:rFonts w:ascii="Calibri" w:hAnsi="Calibri"/>
          <w:color w:val="1E293B"/>
          <w:sz w:val="22"/>
        </w:rPr>
        <w:t>Investor grievance email: peter.parker@example.com</w:t>
      </w:r>
    </w:p>
    <w:p>
      <w:pPr>
        <w:spacing w:after="80" w:line="276" w:lineRule="auto"/>
      </w:pPr>
      <w:r>
        <w:rPr>
          <w:rFonts w:ascii="Calibri" w:hAnsi="Calibri"/>
          <w:color w:val="1E293B"/>
          <w:sz w:val="22"/>
        </w:rPr>
        <w:t>Contact Person: Lokesh Shah/ Soumavo Sarkar</w:t>
      </w:r>
    </w:p>
    <w:p>
      <w:pPr>
        <w:spacing w:after="80" w:line="276" w:lineRule="auto"/>
      </w:pPr>
      <w:r>
        <w:rPr>
          <w:rFonts w:ascii="Calibri" w:hAnsi="Calibri"/>
          <w:color w:val="1E293B"/>
          <w:sz w:val="22"/>
        </w:rPr>
        <w:t>SEBI Registration Number: INM000013004</w:t>
      </w:r>
    </w:p>
    <w:p>
      <w:pPr>
        <w:spacing w:after="80" w:line="276" w:lineRule="auto"/>
      </w:pPr>
      <w:r>
        <w:rPr>
          <w:rFonts w:ascii="Calibri" w:hAnsi="Calibri"/>
          <w:color w:val="1E293B"/>
          <w:sz w:val="22"/>
        </w:rPr>
        <w:t>Northstar Technologies Ltd</w:t>
      </w:r>
    </w:p>
    <w:p>
      <w:pPr>
        <w:spacing w:after="80" w:line="276" w:lineRule="auto"/>
      </w:pPr>
      <w:r>
        <w:rPr>
          <w:rFonts w:ascii="Calibri" w:hAnsi="Calibri"/>
          <w:color w:val="1E293B"/>
          <w:sz w:val="22"/>
        </w:rPr>
        <w:t>ICICI Venture House, Appasaheb Marathe Marg, Prabhadevi, Mumbai 400025, Maharashtra, India</w:t>
      </w:r>
    </w:p>
    <w:p>
      <w:pPr>
        <w:spacing w:after="80" w:line="276" w:lineRule="auto"/>
      </w:pPr>
      <w:r>
        <w:rPr>
          <w:rFonts w:ascii="Calibri" w:hAnsi="Calibri"/>
          <w:color w:val="1E293B"/>
          <w:sz w:val="22"/>
        </w:rPr>
        <w:t>Tel: +1 202 555 0100</w:t>
      </w:r>
    </w:p>
    <w:p>
      <w:pPr>
        <w:spacing w:after="80" w:line="276" w:lineRule="auto"/>
      </w:pPr>
      <w:r>
        <w:rPr>
          <w:rFonts w:ascii="Calibri" w:hAnsi="Calibri"/>
          <w:color w:val="1E293B"/>
          <w:sz w:val="22"/>
        </w:rPr>
        <w:t>E-mail: ananya.sharma@example.com</w:t>
      </w:r>
    </w:p>
    <w:p>
      <w:pPr>
        <w:spacing w:after="80" w:line="276" w:lineRule="auto"/>
      </w:pPr>
      <w:r>
        <w:rPr>
          <w:rFonts w:ascii="Calibri" w:hAnsi="Calibri"/>
          <w:color w:val="1E293B"/>
          <w:sz w:val="22"/>
        </w:rPr>
        <w:t>Website: www.icicisecurities.com</w:t>
      </w:r>
    </w:p>
    <w:p>
      <w:pPr>
        <w:spacing w:after="80" w:line="276" w:lineRule="auto"/>
      </w:pPr>
      <w:r>
        <w:rPr>
          <w:rFonts w:ascii="Calibri" w:hAnsi="Calibri"/>
          <w:color w:val="1E293B"/>
          <w:sz w:val="22"/>
        </w:rPr>
        <w:t>Investor grievance email: ananya.sharma@example.com</w:t>
      </w:r>
    </w:p>
    <w:p>
      <w:pPr>
        <w:spacing w:after="80" w:line="276" w:lineRule="auto"/>
      </w:pPr>
      <w:r>
        <w:rPr>
          <w:rFonts w:ascii="Calibri" w:hAnsi="Calibri"/>
          <w:color w:val="1E293B"/>
          <w:sz w:val="22"/>
        </w:rPr>
        <w:t>Contact Person: Kishan Rastogi/Abhijit Diwan</w:t>
      </w:r>
    </w:p>
    <w:p>
      <w:pPr>
        <w:spacing w:after="80" w:line="276" w:lineRule="auto"/>
      </w:pPr>
      <w:r>
        <w:rPr>
          <w:rFonts w:ascii="Calibri" w:hAnsi="Calibri"/>
          <w:color w:val="1E293B"/>
          <w:sz w:val="22"/>
        </w:rPr>
        <w:t>SEBI Registration Number: INM000011179</w:t>
      </w:r>
    </w:p>
    <w:p>
      <w:pPr>
        <w:spacing w:after="80" w:line="276" w:lineRule="auto"/>
      </w:pPr>
      <w:r>
        <w:rPr>
          <w:rFonts w:ascii="Calibri" w:hAnsi="Calibri"/>
          <w:color w:val="1E293B"/>
          <w:sz w:val="22"/>
        </w:rPr>
        <w:t>Bluebird Capital LLP</w:t>
      </w:r>
    </w:p>
    <w:p>
      <w:pPr>
        <w:spacing w:after="80" w:line="276" w:lineRule="auto"/>
      </w:pPr>
      <w:r>
        <w:rPr>
          <w:rFonts w:ascii="Calibri" w:hAnsi="Calibri"/>
          <w:color w:val="1E293B"/>
          <w:sz w:val="22"/>
        </w:rPr>
        <w:t>(Acme Private Limited)</w:t>
      </w:r>
    </w:p>
    <w:p>
      <w:pPr>
        <w:spacing w:after="80" w:line="276" w:lineRule="auto"/>
      </w:pPr>
      <w:r>
        <w:rPr>
          <w:rFonts w:ascii="Calibri" w:hAnsi="Calibri"/>
          <w:color w:val="1E293B"/>
          <w:sz w:val="22"/>
        </w:rPr>
        <w:t>C-101, Embassy 247, 1st Floor, L B S Marg, Vikhroli (West), Mumbai 400083, (Maharashtra), India</w:t>
      </w:r>
    </w:p>
    <w:p>
      <w:pPr>
        <w:spacing w:after="80" w:line="276" w:lineRule="auto"/>
      </w:pPr>
      <w:r>
        <w:rPr>
          <w:rFonts w:ascii="Calibri" w:hAnsi="Calibri"/>
          <w:color w:val="1E293B"/>
          <w:sz w:val="22"/>
        </w:rPr>
        <w:t>Tel: +91 81081 14949</w:t>
      </w:r>
    </w:p>
    <w:p>
      <w:pPr>
        <w:spacing w:after="80" w:line="276" w:lineRule="auto"/>
      </w:pPr>
      <w:r>
        <w:rPr>
          <w:rFonts w:ascii="Calibri" w:hAnsi="Calibri"/>
          <w:color w:val="1E293B"/>
          <w:sz w:val="22"/>
        </w:rPr>
        <w:t>E-mail: john.doe@example.com</w:t>
      </w:r>
    </w:p>
    <w:p>
      <w:pPr>
        <w:spacing w:after="80" w:line="276" w:lineRule="auto"/>
      </w:pPr>
      <w:r>
        <w:rPr>
          <w:rFonts w:ascii="Calibri" w:hAnsi="Calibri"/>
          <w:color w:val="1E293B"/>
          <w:sz w:val="22"/>
        </w:rPr>
        <w:t>Website: www.in.mpms.mufg.com</w:t>
      </w:r>
    </w:p>
    <w:p>
      <w:pPr>
        <w:spacing w:after="80" w:line="276" w:lineRule="auto"/>
      </w:pPr>
      <w:r>
        <w:rPr>
          <w:rFonts w:ascii="Calibri" w:hAnsi="Calibri"/>
          <w:color w:val="1E293B"/>
          <w:sz w:val="22"/>
        </w:rPr>
        <w:t>Investor grievance e-mail: john.doe@example.com</w:t>
      </w:r>
    </w:p>
    <w:p>
      <w:pPr>
        <w:spacing w:after="80" w:line="276" w:lineRule="auto"/>
      </w:pPr>
      <w:r>
        <w:rPr>
          <w:rFonts w:ascii="Calibri" w:hAnsi="Calibri"/>
          <w:color w:val="1E293B"/>
          <w:sz w:val="22"/>
        </w:rPr>
        <w:t>Contact Person: Shanti Gopalkrishnan</w:t>
      </w:r>
    </w:p>
    <w:p>
      <w:pPr>
        <w:spacing w:after="80" w:line="276" w:lineRule="auto"/>
      </w:pPr>
      <w:r>
        <w:rPr>
          <w:rFonts w:ascii="Calibri" w:hAnsi="Calibri"/>
          <w:color w:val="1E293B"/>
          <w:sz w:val="22"/>
        </w:rPr>
        <w:t>SEBI Registration Number: INR000004058</w:t>
      </w:r>
    </w:p>
    <w:p>
      <w:pPr>
        <w:spacing w:after="80" w:line="276" w:lineRule="auto"/>
      </w:pPr>
      <w:r>
        <w:rPr>
          <w:rFonts w:ascii="Calibri" w:hAnsi="Calibri"/>
          <w:color w:val="1E293B"/>
          <w:sz w:val="22"/>
        </w:rPr>
        <w:t>BID/ OFFER PERIOD</w:t>
      </w:r>
    </w:p>
    <w:p>
      <w:pPr>
        <w:spacing w:after="80" w:line="276" w:lineRule="auto"/>
      </w:pPr>
      <w:r>
        <w:rPr>
          <w:rFonts w:ascii="Calibri" w:hAnsi="Calibri"/>
          <w:color w:val="1E293B"/>
          <w:sz w:val="22"/>
        </w:rPr>
        <w:t>ANCHOR INVESTOR BIDDING DATE(1)</w:t>
      </w:r>
    </w:p>
    <w:p>
      <w:pPr>
        <w:spacing w:after="80" w:line="276" w:lineRule="auto"/>
      </w:pPr>
      <w:r>
        <w:rPr>
          <w:rFonts w:ascii="Calibri" w:hAnsi="Calibri"/>
          <w:color w:val="1E293B"/>
          <w:sz w:val="22"/>
        </w:rPr>
        <w:t>Monday, December 15,</w:t>
      </w:r>
    </w:p>
    <w:p>
      <w:pPr>
        <w:spacing w:after="80" w:line="276" w:lineRule="auto"/>
      </w:pPr>
      <w:r>
        <w:rPr>
          <w:rFonts w:ascii="Calibri" w:hAnsi="Calibri"/>
          <w:color w:val="1E293B"/>
          <w:sz w:val="22"/>
        </w:rPr>
        <w:t>2025</w:t>
      </w:r>
    </w:p>
    <w:p>
      <w:pPr>
        <w:spacing w:after="80" w:line="276" w:lineRule="auto"/>
      </w:pPr>
      <w:r>
        <w:rPr>
          <w:rFonts w:ascii="Calibri" w:hAnsi="Calibri"/>
          <w:color w:val="1E293B"/>
          <w:sz w:val="22"/>
        </w:rPr>
        <w:t>BID/OFFER OPENS ON</w:t>
      </w:r>
    </w:p>
    <w:p>
      <w:pPr>
        <w:spacing w:after="80" w:line="276" w:lineRule="auto"/>
      </w:pPr>
      <w:r>
        <w:rPr>
          <w:rFonts w:ascii="Calibri" w:hAnsi="Calibri"/>
          <w:color w:val="1E293B"/>
          <w:sz w:val="22"/>
        </w:rPr>
        <w:t>Tuesday, December 16,</w:t>
      </w:r>
    </w:p>
    <w:p>
      <w:pPr>
        <w:spacing w:after="80" w:line="276" w:lineRule="auto"/>
      </w:pPr>
      <w:r>
        <w:rPr>
          <w:rFonts w:ascii="Calibri" w:hAnsi="Calibri"/>
          <w:color w:val="1E293B"/>
          <w:sz w:val="22"/>
        </w:rPr>
        <w:t>2025</w:t>
      </w:r>
    </w:p>
    <w:p>
      <w:pPr>
        <w:spacing w:after="80" w:line="276" w:lineRule="auto"/>
      </w:pPr>
      <w:r>
        <w:rPr>
          <w:rFonts w:ascii="Calibri" w:hAnsi="Calibri"/>
          <w:color w:val="1E293B"/>
          <w:sz w:val="22"/>
        </w:rPr>
        <w:t>BID/OFFER CLOSES ON(2)</w:t>
      </w:r>
    </w:p>
    <w:p>
      <w:pPr>
        <w:spacing w:after="80" w:line="276" w:lineRule="auto"/>
      </w:pPr>
      <w:r>
        <w:rPr>
          <w:rFonts w:ascii="Calibri" w:hAnsi="Calibri"/>
          <w:color w:val="1E293B"/>
          <w:sz w:val="22"/>
        </w:rPr>
        <w:t>Thursday, December 18, 2025</w:t>
      </w:r>
    </w:p>
    <w:p>
      <w:pPr>
        <w:spacing w:after="80" w:line="276" w:lineRule="auto"/>
      </w:pPr>
      <w:r>
        <w:rPr>
          <w:rFonts w:ascii="Calibri" w:hAnsi="Calibri"/>
          <w:color w:val="1E293B"/>
          <w:sz w:val="22"/>
        </w:rPr>
        <w:t>(1) Northstar Technologies Ltd, in consultation with the Book Running Lead Managers, may consider participation by Anchor Investors in accordance with the SEBI ICDR Regulations.</w:t>
      </w:r>
    </w:p>
    <w:p>
      <w:pPr>
        <w:spacing w:after="80" w:line="276" w:lineRule="auto"/>
      </w:pPr>
      <w:r>
        <w:rPr>
          <w:rFonts w:ascii="Calibri" w:hAnsi="Calibri"/>
          <w:color w:val="1E293B"/>
          <w:sz w:val="22"/>
        </w:rPr>
        <w:t>(2) The UPI mandate end time and date shall be at 5:00 p.m. on Bid/Offer Closing Day.</w:t>
      </w:r>
    </w:p>
    <w:p>
      <w:pPr>
        <w:spacing w:after="80" w:line="276" w:lineRule="auto"/>
      </w:pPr>
      <w:r>
        <w:rPr>
          <w:rFonts w:ascii="Calibri" w:hAnsi="Calibri"/>
          <w:color w:val="1E293B"/>
          <w:sz w:val="22"/>
        </w:rPr>
        <w:t>SECTION I - GENERAL2</w:t>
      </w:r>
    </w:p>
    <w:p>
      <w:pPr>
        <w:spacing w:after="80" w:line="276" w:lineRule="auto"/>
      </w:pPr>
      <w:r>
        <w:rPr>
          <w:rFonts w:ascii="Calibri" w:hAnsi="Calibri"/>
          <w:color w:val="1E293B"/>
          <w:sz w:val="22"/>
        </w:rPr>
        <w:t>DEFINITIONS AND ABBREVIATIONS2</w:t>
      </w:r>
    </w:p>
    <w:p>
      <w:pPr>
        <w:spacing w:after="80" w:line="276" w:lineRule="auto"/>
      </w:pPr>
      <w:r>
        <w:rPr>
          <w:rFonts w:ascii="Calibri" w:hAnsi="Calibri"/>
          <w:color w:val="1E293B"/>
          <w:sz w:val="22"/>
        </w:rPr>
        <w:t>CERTAIN CONVENTIONS, USE OF FINANCIAL INFORMATION AND MARKET DATA AND CURRENCY OF PRESENTATION15</w:t>
      </w:r>
    </w:p>
    <w:p>
      <w:pPr>
        <w:spacing w:after="80" w:line="276" w:lineRule="auto"/>
      </w:pPr>
      <w:r>
        <w:rPr>
          <w:rFonts w:ascii="Calibri" w:hAnsi="Calibri"/>
          <w:color w:val="1E293B"/>
          <w:sz w:val="22"/>
        </w:rPr>
        <w:t>FORWARD-LOOKING STATEMENTS18</w:t>
      </w:r>
    </w:p>
    <w:p>
      <w:pPr>
        <w:spacing w:after="80" w:line="276" w:lineRule="auto"/>
      </w:pPr>
      <w:r>
        <w:rPr>
          <w:rFonts w:ascii="Calibri" w:hAnsi="Calibri"/>
          <w:color w:val="1E293B"/>
          <w:sz w:val="22"/>
        </w:rPr>
        <w:t>SUMMARY OF THE OFFER DOCUMENT20</w:t>
      </w:r>
    </w:p>
    <w:p>
      <w:pPr>
        <w:spacing w:after="80" w:line="276" w:lineRule="auto"/>
      </w:pPr>
      <w:r>
        <w:rPr>
          <w:rFonts w:ascii="Calibri" w:hAnsi="Calibri"/>
          <w:color w:val="1E293B"/>
          <w:sz w:val="22"/>
        </w:rPr>
        <w:t>SECTION II: RISK FACTORS28</w:t>
      </w:r>
    </w:p>
    <w:p>
      <w:pPr>
        <w:spacing w:after="80" w:line="276" w:lineRule="auto"/>
      </w:pPr>
      <w:r>
        <w:rPr>
          <w:rFonts w:ascii="Calibri" w:hAnsi="Calibri"/>
          <w:color w:val="1E293B"/>
          <w:sz w:val="22"/>
        </w:rPr>
        <w:t>SECTION III – INTRODUCTION67</w:t>
      </w:r>
    </w:p>
    <w:p>
      <w:pPr>
        <w:spacing w:after="80" w:line="276" w:lineRule="auto"/>
      </w:pPr>
      <w:r>
        <w:rPr>
          <w:rFonts w:ascii="Calibri" w:hAnsi="Calibri"/>
          <w:color w:val="1E293B"/>
          <w:sz w:val="22"/>
        </w:rPr>
        <w:t>THE OFFER67</w:t>
      </w:r>
    </w:p>
    <w:p>
      <w:pPr>
        <w:spacing w:after="80" w:line="276" w:lineRule="auto"/>
      </w:pPr>
      <w:r>
        <w:rPr>
          <w:rFonts w:ascii="Calibri" w:hAnsi="Calibri"/>
          <w:color w:val="1E293B"/>
          <w:sz w:val="22"/>
        </w:rPr>
        <w:t>SUMMARY FINANCIAL STATEMENTS69</w:t>
      </w:r>
    </w:p>
    <w:p>
      <w:pPr>
        <w:spacing w:after="80" w:line="276" w:lineRule="auto"/>
      </w:pPr>
      <w:r>
        <w:rPr>
          <w:rFonts w:ascii="Calibri" w:hAnsi="Calibri"/>
          <w:color w:val="1E293B"/>
          <w:sz w:val="22"/>
        </w:rPr>
        <w:t>GENERAL INFORMATION74</w:t>
      </w:r>
    </w:p>
    <w:p>
      <w:pPr>
        <w:spacing w:after="80" w:line="276" w:lineRule="auto"/>
      </w:pPr>
      <w:r>
        <w:rPr>
          <w:rFonts w:ascii="Calibri" w:hAnsi="Calibri"/>
          <w:color w:val="1E293B"/>
          <w:sz w:val="22"/>
        </w:rPr>
        <w:t>CAPITAL STRUCTURE84</w:t>
      </w:r>
    </w:p>
    <w:p>
      <w:pPr>
        <w:spacing w:after="80" w:line="276" w:lineRule="auto"/>
      </w:pPr>
      <w:r>
        <w:rPr>
          <w:rFonts w:ascii="Calibri" w:hAnsi="Calibri"/>
          <w:color w:val="1E293B"/>
          <w:sz w:val="22"/>
        </w:rPr>
        <w:t>DEFINITIONS AND ABBREVIATIONS</w:t>
      </w:r>
    </w:p>
    <w:p>
      <w:pPr>
        <w:spacing w:after="80" w:line="276" w:lineRule="auto"/>
      </w:pPr>
      <w:r>
        <w:rPr>
          <w:rFonts w:ascii="Calibri" w:hAnsi="Calibri"/>
          <w:color w:val="1E293B"/>
          <w:sz w:val="22"/>
        </w:rPr>
        <w:t>This Red Herring Prospectus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spacing w:after="80" w:line="276" w:lineRule="auto"/>
      </w:pPr>
      <w:r>
        <w:rPr>
          <w:rFonts w:ascii="Calibri" w:hAnsi="Calibri"/>
          <w:color w:val="1E293B"/>
          <w:sz w:val="22"/>
        </w:rPr>
        <w:t>Unless the context otherwise indicates, all references to “we”, “us”, “our”, “Bluebird Capital LLP”, and “Bluebird Capital LLP”, Acme Private Limited, Northstar Technologies Ltd incorporated on July 30, 1979 under the Companies Act, 1956 and having its Registered Office at 11/3, 11/4 and 11/5, Village Birdewadi, Chakan Taluka - Khed, Pune – 410 501, Maharashtra, India and its Corporate Office at 201, Tower 2, Montreal Business Centre, Off Pallod Farms, Baner, Pune – 411 045, Maharashtra, India.</w:t>
      </w:r>
    </w:p>
    <w:p>
      <w:pPr>
        <w:spacing w:after="80" w:line="276" w:lineRule="auto"/>
      </w:pPr>
      <w:r>
        <w:rPr>
          <w:rFonts w:ascii="Calibri" w:hAnsi="Calibri"/>
          <w:color w:val="1E293B"/>
          <w:sz w:val="22"/>
        </w:rPr>
        <w:t>The words and expressions used in this Red Herring Prospectus but not defined herein, shall have, to the extent applicable, the meanings ascribed to such terms under the Companies Act, the SEBI Act, the SEBI ICDR Regulations, the SCRA, SCRR, and the Depositories Act, as amended.</w:t>
      </w:r>
    </w:p>
    <w:p>
      <w:pPr>
        <w:spacing w:after="80" w:line="276" w:lineRule="auto"/>
      </w:pPr>
      <w:r>
        <w:rPr>
          <w:rFonts w:ascii="Calibri" w:hAnsi="Calibri"/>
          <w:color w:val="1E293B"/>
          <w:sz w:val="22"/>
        </w:rPr>
        <w:t>Notwithstanding the foregoing, terms in “Main Provisions of the Articles of Association”, “Statement of Special Tax Benefits”, “Industry Overview”, “Key Regulations and Policies in India”, “History and Certain Corporate Matters”, “Basis for the Offer Price”, “Restriction on Foreign Ownership of Indian Securities”, “Financial Information” and “Outstanding Litigation and Material Developments” on pages 441, 134, 137, 238, 243, 124, 438, 280 and 388, respectively, will have the meaning ascribed to such terms in those respective sections.</w:t>
      </w:r>
    </w:p>
    <w:p>
      <w:pPr>
        <w:spacing w:after="80" w:line="276" w:lineRule="auto"/>
      </w:pPr>
      <w:r>
        <w:rPr>
          <w:rFonts w:ascii="Calibri" w:hAnsi="Calibri"/>
          <w:color w:val="1E293B"/>
          <w:sz w:val="22"/>
        </w:rPr>
        <w:t>General Terms</w:t>
      </w:r>
    </w:p>
    <w:p>
      <w:pPr>
        <w:spacing w:after="80" w:line="276" w:lineRule="auto"/>
      </w:pPr>
      <w:r>
        <w:rPr>
          <w:rFonts w:ascii="Calibri" w:hAnsi="Calibri"/>
          <w:color w:val="1E293B"/>
          <w:sz w:val="22"/>
        </w:rPr>
        <w:t>Term</w:t>
      </w:r>
    </w:p>
    <w:p>
      <w:pPr>
        <w:spacing w:after="80" w:line="276" w:lineRule="auto"/>
      </w:pPr>
      <w:r>
        <w:rPr>
          <w:rFonts w:ascii="Calibri" w:hAnsi="Calibri"/>
          <w:color w:val="1E293B"/>
          <w:sz w:val="22"/>
        </w:rPr>
        <w:t>Description</w:t>
      </w:r>
    </w:p>
    <w:p>
      <w:pPr>
        <w:spacing w:after="80" w:line="276" w:lineRule="auto"/>
      </w:pPr>
      <w:r>
        <w:rPr>
          <w:rFonts w:ascii="Calibri" w:hAnsi="Calibri"/>
          <w:color w:val="1E293B"/>
          <w:sz w:val="22"/>
        </w:rPr>
        <w:t>Northstar Technologies Ltd/ Bluebird Capital LLP</w:t>
      </w:r>
    </w:p>
    <w:p>
      <w:pPr>
        <w:spacing w:after="80" w:line="276" w:lineRule="auto"/>
      </w:pPr>
      <w:r>
        <w:rPr>
          <w:rFonts w:ascii="Calibri" w:hAnsi="Calibri"/>
          <w:color w:val="1E293B"/>
          <w:sz w:val="22"/>
        </w:rPr>
        <w:t>Bluebird Capital LLP, Bluebird Capital LLP incorporated under the Companies Act, 1956, having its registered office at 11/3, 11/4 and 11/5, Village Birdewadi, Chakan Taluka - Khed, Pune – 410 501, Maharashtra, India</w:t>
      </w:r>
    </w:p>
    <w:p>
      <w:pPr>
        <w:spacing w:after="80" w:line="276" w:lineRule="auto"/>
      </w:pPr>
      <w:r>
        <w:rPr>
          <w:rFonts w:ascii="Calibri" w:hAnsi="Calibri"/>
          <w:color w:val="1E293B"/>
          <w:sz w:val="22"/>
        </w:rPr>
        <w:t>We/ us/ our</w:t>
      </w:r>
    </w:p>
    <w:p>
      <w:pPr>
        <w:spacing w:after="80" w:line="276" w:lineRule="auto"/>
      </w:pPr>
      <w:r>
        <w:rPr>
          <w:rFonts w:ascii="Calibri" w:hAnsi="Calibri"/>
          <w:color w:val="1E293B"/>
          <w:sz w:val="22"/>
        </w:rPr>
        <w:t>Unless context otherwise indicates or implies, Acme Private Limited</w:t>
      </w:r>
    </w:p>
    <w:p>
      <w:pPr>
        <w:spacing w:after="80" w:line="276" w:lineRule="auto"/>
      </w:pPr>
      <w:r>
        <w:rPr>
          <w:rFonts w:ascii="Calibri" w:hAnsi="Calibri"/>
          <w:color w:val="1E293B"/>
          <w:sz w:val="22"/>
        </w:rPr>
        <w:t>Company Related Terms</w:t>
      </w:r>
    </w:p>
    <w:p>
      <w:pPr>
        <w:spacing w:after="80" w:line="276" w:lineRule="auto"/>
      </w:pPr>
      <w:r>
        <w:rPr>
          <w:rFonts w:ascii="Calibri" w:hAnsi="Calibri"/>
          <w:color w:val="1E293B"/>
          <w:sz w:val="22"/>
        </w:rPr>
        <w:t>Term</w:t>
      </w:r>
    </w:p>
    <w:p>
      <w:pPr>
        <w:spacing w:after="80" w:line="276" w:lineRule="auto"/>
      </w:pPr>
      <w:r>
        <w:rPr>
          <w:rFonts w:ascii="Calibri" w:hAnsi="Calibri"/>
          <w:color w:val="1E293B"/>
          <w:sz w:val="22"/>
        </w:rPr>
        <w:t>Description</w:t>
      </w:r>
    </w:p>
    <w:p>
      <w:pPr>
        <w:spacing w:after="80" w:line="276" w:lineRule="auto"/>
      </w:pPr>
      <w:r>
        <w:rPr>
          <w:rFonts w:ascii="Calibri" w:hAnsi="Calibri"/>
          <w:color w:val="1E293B"/>
          <w:sz w:val="22"/>
        </w:rPr>
        <w:t>AoA/Articles of Association or Articles</w:t>
      </w:r>
    </w:p>
    <w:p>
      <w:pPr>
        <w:spacing w:after="80" w:line="276" w:lineRule="auto"/>
      </w:pPr>
      <w:r>
        <w:rPr>
          <w:rFonts w:ascii="Calibri" w:hAnsi="Calibri"/>
          <w:color w:val="1E293B"/>
          <w:sz w:val="22"/>
        </w:rPr>
        <w:t>Northstar Technologies Ltd, as amended from time to time</w:t>
      </w:r>
    </w:p>
    <w:p>
      <w:pPr>
        <w:spacing w:after="80" w:line="276" w:lineRule="auto"/>
      </w:pPr>
      <w:r>
        <w:rPr>
          <w:rFonts w:ascii="Calibri" w:hAnsi="Calibri"/>
          <w:color w:val="1E293B"/>
          <w:sz w:val="22"/>
        </w:rPr>
        <w:t>Audit Committee</w:t>
      </w:r>
    </w:p>
    <w:p>
      <w:pPr>
        <w:spacing w:after="80" w:line="276" w:lineRule="auto"/>
      </w:pPr>
      <w:r>
        <w:rPr>
          <w:rFonts w:ascii="Calibri" w:hAnsi="Calibri"/>
          <w:color w:val="1E293B"/>
          <w:sz w:val="22"/>
        </w:rPr>
        <w:t>Audit committee of our Board, as disclosed in “Our Management – Corporate Governance – Committees of our Board” on page 257</w:t>
      </w:r>
    </w:p>
    <w:p>
      <w:pPr>
        <w:spacing w:after="80" w:line="276" w:lineRule="auto"/>
      </w:pPr>
      <w:r>
        <w:rPr>
          <w:rFonts w:ascii="Calibri" w:hAnsi="Calibri"/>
          <w:color w:val="1E293B"/>
          <w:sz w:val="22"/>
        </w:rPr>
        <w:t>Auditors/ Statutory Auditors</w:t>
      </w:r>
    </w:p>
    <w:p>
      <w:pPr>
        <w:spacing w:after="80" w:line="276" w:lineRule="auto"/>
      </w:pPr>
      <w:r>
        <w:rPr>
          <w:rFonts w:ascii="Calibri" w:hAnsi="Calibri"/>
          <w:color w:val="1E293B"/>
          <w:sz w:val="22"/>
        </w:rPr>
        <w:t>Bluebird Capital LLP, being Kirtane &amp; Acme Private Limited, Chartered Accountants</w:t>
      </w:r>
    </w:p>
    <w:p>
      <w:pPr>
        <w:spacing w:after="80" w:line="276" w:lineRule="auto"/>
      </w:pPr>
      <w:r>
        <w:rPr>
          <w:rFonts w:ascii="Calibri" w:hAnsi="Calibri"/>
          <w:color w:val="1E293B"/>
          <w:sz w:val="22"/>
        </w:rPr>
        <w:t>Board/ Board of Directors</w:t>
      </w:r>
    </w:p>
    <w:p>
      <w:pPr>
        <w:spacing w:after="80" w:line="276" w:lineRule="auto"/>
      </w:pPr>
      <w:r>
        <w:rPr>
          <w:rFonts w:ascii="Calibri" w:hAnsi="Calibri"/>
          <w:color w:val="1E293B"/>
          <w:sz w:val="22"/>
        </w:rPr>
        <w:t>Acme Private Limited. For further details, see “Our Management – Board of Directors” on page 250</w:t>
      </w:r>
    </w:p>
    <w:p>
      <w:pPr>
        <w:spacing w:after="80" w:line="276" w:lineRule="auto"/>
      </w:pPr>
      <w:r>
        <w:rPr>
          <w:rFonts w:ascii="Calibri" w:hAnsi="Calibri"/>
          <w:color w:val="1E293B"/>
          <w:sz w:val="22"/>
        </w:rPr>
        <w:t>Bonus Issue</w:t>
      </w:r>
    </w:p>
    <w:p>
      <w:pPr>
        <w:spacing w:after="80" w:line="276" w:lineRule="auto"/>
      </w:pPr>
      <w:r>
        <w:rPr>
          <w:rFonts w:ascii="Calibri" w:hAnsi="Calibri"/>
          <w:color w:val="1E293B"/>
          <w:sz w:val="22"/>
        </w:rPr>
        <w:t>Bonus issue undertaken on February 21, 2025, in the ratio of four Equity Shares of face value of</w:t>
      </w:r>
    </w:p>
    <w:p>
      <w:pPr>
        <w:spacing w:after="80" w:line="276" w:lineRule="auto"/>
      </w:pPr>
      <w:r>
        <w:rPr>
          <w:rFonts w:ascii="Calibri" w:hAnsi="Calibri"/>
          <w:color w:val="1E293B"/>
          <w:sz w:val="22"/>
        </w:rPr>
        <w:t>₹5 for every one Equity Share of face value of ₹5 held by our Shareholders as on February 10, 2025. For further details, please see “Capital Structure – Northstar Technologies Ltd” on page 85</w:t>
      </w:r>
    </w:p>
    <w:p>
      <w:pPr>
        <w:spacing w:after="80" w:line="276" w:lineRule="auto"/>
      </w:pPr>
      <w:r>
        <w:rPr>
          <w:rFonts w:ascii="Calibri" w:hAnsi="Calibri"/>
          <w:color w:val="1E293B"/>
          <w:sz w:val="22"/>
        </w:rPr>
        <w:t>CARE Report</w:t>
      </w:r>
    </w:p>
    <w:p>
      <w:pPr>
        <w:spacing w:after="80" w:line="276" w:lineRule="auto"/>
      </w:pPr>
      <w:r>
        <w:rPr>
          <w:rFonts w:ascii="Calibri" w:hAnsi="Calibri"/>
          <w:color w:val="1E293B"/>
          <w:sz w:val="22"/>
        </w:rPr>
        <w:t>Report titled “Industry Research Report on Magnet Winding Wires Market in India” dated November 26, 2025, prepared and Bluebird Capital LLP which has been commissioned Acme Private Limited pursuant to an engagement letter dated December 2, 2024 entered Northstar Technologies Ltd, exclusively for the purposes of the Offer. The report will be Bluebird Capital LLP at</w:t>
      </w:r>
    </w:p>
    <w:p>
      <w:pPr>
        <w:spacing w:after="80" w:line="276" w:lineRule="auto"/>
      </w:pPr>
      <w:r>
        <w:rPr>
          <w:rFonts w:ascii="Calibri" w:hAnsi="Calibri"/>
          <w:color w:val="1E293B"/>
          <w:sz w:val="22"/>
        </w:rPr>
        <w:t>https://kshinternational.com/investor-relations/industry-report/ from the date of this Red Herring Prospectus until the Bid/Offer Closing Date</w:t>
      </w:r>
    </w:p>
    <w:p>
      <w:pPr>
        <w:spacing w:after="80" w:line="276" w:lineRule="auto"/>
      </w:pPr>
      <w:r>
        <w:rPr>
          <w:rFonts w:ascii="Calibri" w:hAnsi="Calibri"/>
          <w:color w:val="1E293B"/>
          <w:sz w:val="22"/>
        </w:rPr>
        <w:t>Chairman and Executive Director</w:t>
      </w:r>
    </w:p>
    <w:p>
      <w:pPr>
        <w:spacing w:after="80" w:line="276" w:lineRule="auto"/>
      </w:pPr>
      <w:r>
        <w:rPr>
          <w:rFonts w:ascii="Calibri" w:hAnsi="Calibri"/>
          <w:color w:val="1E293B"/>
          <w:sz w:val="22"/>
        </w:rPr>
        <w:t>The Acme Private Limited, being Kushal Subbayya Hegde. For further details, see “Our Management – Board of Directors” on page 250</w:t>
      </w:r>
    </w:p>
    <w:p>
      <w:pPr>
        <w:spacing w:after="80" w:line="276" w:lineRule="auto"/>
      </w:pPr>
      <w:r>
        <w:rPr>
          <w:rFonts w:ascii="Calibri" w:hAnsi="Calibri"/>
          <w:color w:val="1E293B"/>
          <w:sz w:val="22"/>
        </w:rPr>
        <w:t>Chief Executive Officer/ CEO</w:t>
      </w:r>
    </w:p>
    <w:p>
      <w:pPr>
        <w:spacing w:after="80" w:line="276" w:lineRule="auto"/>
      </w:pPr>
      <w:r>
        <w:rPr>
          <w:rFonts w:ascii="Calibri" w:hAnsi="Calibri"/>
          <w:color w:val="1E293B"/>
          <w:sz w:val="22"/>
        </w:rPr>
        <w:t>Northstar Technologies Ltd, being Sandesh Bhagwat. For further details, see “Our Management – Key Managerial Personnel and Senior Management” on page 266</w:t>
      </w:r>
    </w:p>
    <w:p>
      <w:pPr>
        <w:spacing w:after="80" w:line="276" w:lineRule="auto"/>
      </w:pPr>
      <w:r>
        <w:rPr>
          <w:rFonts w:ascii="Calibri" w:hAnsi="Calibri"/>
          <w:color w:val="1E293B"/>
          <w:sz w:val="22"/>
        </w:rPr>
        <w:t>Chief Financial Officer/ CFO</w:t>
      </w:r>
    </w:p>
    <w:p>
      <w:pPr>
        <w:spacing w:after="80" w:line="276" w:lineRule="auto"/>
      </w:pPr>
      <w:r>
        <w:rPr>
          <w:rFonts w:ascii="Calibri" w:hAnsi="Calibri"/>
          <w:color w:val="1E293B"/>
          <w:sz w:val="22"/>
        </w:rPr>
        <w:t>Bluebird Capital LLP, being Amod Joshi. For further details, see “Our Management – Key Managerial Personnel and Senior Management” on page 266</w:t>
      </w:r>
    </w:p>
    <w:p>
      <w:pPr>
        <w:spacing w:after="80" w:line="276" w:lineRule="auto"/>
      </w:pPr>
      <w:r>
        <w:rPr>
          <w:rFonts w:ascii="Calibri" w:hAnsi="Calibri"/>
          <w:color w:val="1E293B"/>
          <w:sz w:val="22"/>
        </w:rPr>
        <w:t>CompanySecretary/CSand Compliance Officer</w:t>
      </w:r>
    </w:p>
    <w:p>
      <w:pPr>
        <w:spacing w:after="80" w:line="276" w:lineRule="auto"/>
      </w:pPr>
      <w:r>
        <w:rPr>
          <w:rFonts w:ascii="Calibri" w:hAnsi="Calibri"/>
          <w:color w:val="1E293B"/>
          <w:sz w:val="22"/>
        </w:rPr>
        <w:t>Acme Private Limited Northstar Technologies Ltd, being Sarthak Malvadkar. For further details, see “General Information” and “Our Management – Key Managerial Personnel and Senior Management” on pages 74 and 266, respectively.</w:t>
      </w:r>
    </w:p>
    <w:p>
      <w:pPr>
        <w:spacing w:after="80" w:line="276" w:lineRule="auto"/>
      </w:pPr>
      <w:r>
        <w:rPr>
          <w:rFonts w:ascii="Calibri" w:hAnsi="Calibri"/>
          <w:color w:val="1E293B"/>
          <w:sz w:val="22"/>
        </w:rPr>
        <w:t>Term</w:t>
      </w:r>
    </w:p>
    <w:p>
      <w:pPr>
        <w:spacing w:after="80" w:line="276" w:lineRule="auto"/>
      </w:pPr>
      <w:r>
        <w:rPr>
          <w:rFonts w:ascii="Calibri" w:hAnsi="Calibri"/>
          <w:color w:val="1E293B"/>
          <w:sz w:val="22"/>
        </w:rPr>
        <w:t>Description</w:t>
      </w:r>
    </w:p>
    <w:p>
      <w:pPr>
        <w:spacing w:after="80" w:line="276" w:lineRule="auto"/>
      </w:pPr>
      <w:r>
        <w:rPr>
          <w:rFonts w:ascii="Calibri" w:hAnsi="Calibri"/>
          <w:color w:val="1E293B"/>
          <w:sz w:val="22"/>
        </w:rPr>
        <w:t>Corporate Office</w:t>
      </w:r>
    </w:p>
    <w:p>
      <w:pPr>
        <w:spacing w:after="80" w:line="276" w:lineRule="auto"/>
      </w:pPr>
      <w:r>
        <w:rPr>
          <w:rFonts w:ascii="Calibri" w:hAnsi="Calibri"/>
          <w:color w:val="1E293B"/>
          <w:sz w:val="22"/>
        </w:rPr>
        <w:t>Bluebird Capital LLP located at 201, Tower 2, Montreal Business Centre, Off Pallod Farms, Baner, Pune – 411 045, Maharashtra, India</w:t>
      </w:r>
    </w:p>
    <w:p>
      <w:pPr>
        <w:spacing w:after="80" w:line="276" w:lineRule="auto"/>
      </w:pPr>
      <w:r>
        <w:rPr>
          <w:rFonts w:ascii="Calibri" w:hAnsi="Calibri"/>
          <w:color w:val="1E293B"/>
          <w:sz w:val="22"/>
        </w:rPr>
        <w:t>Corporate Promoter</w:t>
      </w:r>
    </w:p>
    <w:p>
      <w:pPr>
        <w:spacing w:after="80" w:line="276" w:lineRule="auto"/>
      </w:pPr>
      <w:r>
        <w:rPr>
          <w:rFonts w:ascii="Calibri" w:hAnsi="Calibri"/>
          <w:color w:val="1E293B"/>
          <w:sz w:val="22"/>
        </w:rPr>
        <w:t>Acme Private Limited</w:t>
      </w:r>
    </w:p>
    <w:p>
      <w:pPr>
        <w:spacing w:after="80" w:line="276" w:lineRule="auto"/>
      </w:pPr>
      <w:r>
        <w:rPr>
          <w:rFonts w:ascii="Calibri" w:hAnsi="Calibri"/>
          <w:color w:val="1E293B"/>
          <w:sz w:val="22"/>
        </w:rPr>
        <w:t>CSR Committee/ Corporate Social Responsibility Committee</w:t>
      </w:r>
    </w:p>
    <w:p>
      <w:pPr>
        <w:spacing w:after="80" w:line="276" w:lineRule="auto"/>
      </w:pPr>
      <w:r>
        <w:rPr>
          <w:rFonts w:ascii="Calibri" w:hAnsi="Calibri"/>
          <w:color w:val="1E293B"/>
          <w:sz w:val="22"/>
        </w:rPr>
        <w:t>The corporate social responsibility committee of our Board, as disclosed in “Our Management – Corporate Governance – Committees of our Board” on page 257</w:t>
      </w:r>
    </w:p>
    <w:p>
      <w:pPr>
        <w:spacing w:after="80" w:line="276" w:lineRule="auto"/>
      </w:pPr>
      <w:r>
        <w:rPr>
          <w:rFonts w:ascii="Calibri" w:hAnsi="Calibri"/>
          <w:color w:val="1E293B"/>
          <w:sz w:val="22"/>
        </w:rPr>
        <w:t>Director(s)</w:t>
      </w:r>
    </w:p>
    <w:p>
      <w:pPr>
        <w:spacing w:after="80" w:line="276" w:lineRule="auto"/>
      </w:pPr>
      <w:r>
        <w:rPr>
          <w:rFonts w:ascii="Calibri" w:hAnsi="Calibri"/>
          <w:color w:val="1E293B"/>
          <w:sz w:val="22"/>
        </w:rPr>
        <w:t>The director(s) on our Board. For further details, see “Our Management – Board of Directors” on page 250</w:t>
      </w:r>
    </w:p>
    <w:p>
      <w:pPr>
        <w:spacing w:after="80" w:line="276" w:lineRule="auto"/>
      </w:pPr>
      <w:r>
        <w:rPr>
          <w:rFonts w:ascii="Calibri" w:hAnsi="Calibri"/>
          <w:color w:val="1E293B"/>
          <w:sz w:val="22"/>
        </w:rPr>
        <w:t>Equity Shares</w:t>
      </w:r>
    </w:p>
    <w:p>
      <w:pPr>
        <w:spacing w:after="80" w:line="276" w:lineRule="auto"/>
      </w:pPr>
      <w:r>
        <w:rPr>
          <w:rFonts w:ascii="Calibri" w:hAnsi="Calibri"/>
          <w:color w:val="1E293B"/>
          <w:sz w:val="22"/>
        </w:rPr>
        <w:t>Northstar Technologies Ltd of face value of ₹5 each, unless otherwise stated</w:t>
      </w:r>
    </w:p>
    <w:p>
      <w:pPr>
        <w:spacing w:after="80" w:line="276" w:lineRule="auto"/>
      </w:pPr>
      <w:r>
        <w:rPr>
          <w:rFonts w:ascii="Calibri" w:hAnsi="Calibri"/>
          <w:color w:val="1E293B"/>
          <w:sz w:val="22"/>
        </w:rPr>
        <w:t>Executive Director(s)</w:t>
      </w:r>
    </w:p>
    <w:p>
      <w:pPr>
        <w:spacing w:after="80" w:line="276" w:lineRule="auto"/>
      </w:pPr>
      <w:r>
        <w:rPr>
          <w:rFonts w:ascii="Calibri" w:hAnsi="Calibri"/>
          <w:color w:val="1E293B"/>
          <w:sz w:val="22"/>
        </w:rPr>
        <w:t>Executive director(s) on our Board. For further details, see “Our Management – Board of Directors” on page 250</w:t>
      </w:r>
    </w:p>
    <w:p>
      <w:pPr>
        <w:spacing w:after="80" w:line="276" w:lineRule="auto"/>
      </w:pPr>
      <w:r>
        <w:rPr>
          <w:rFonts w:ascii="Calibri" w:hAnsi="Calibri"/>
          <w:color w:val="1E293B"/>
          <w:sz w:val="22"/>
        </w:rPr>
        <w:t>ESOP 2025</w:t>
      </w:r>
    </w:p>
    <w:p>
      <w:pPr>
        <w:spacing w:after="80" w:line="276" w:lineRule="auto"/>
      </w:pPr>
      <w:r>
        <w:rPr>
          <w:rFonts w:ascii="Calibri" w:hAnsi="Calibri"/>
          <w:color w:val="1E293B"/>
          <w:sz w:val="22"/>
        </w:rPr>
        <w:t>The Bluebird Capital LLP titled, ‘KSH Employee Peter Parker 2025’ approved by our Board and Shareholders each in their meeting May 6, 2025</w:t>
      </w:r>
    </w:p>
    <w:p>
      <w:pPr>
        <w:spacing w:after="80" w:line="276" w:lineRule="auto"/>
      </w:pPr>
      <w:r>
        <w:rPr>
          <w:rFonts w:ascii="Calibri" w:hAnsi="Calibri"/>
          <w:color w:val="1E293B"/>
          <w:sz w:val="22"/>
        </w:rPr>
        <w:t>Family Branch(es)</w:t>
      </w:r>
    </w:p>
    <w:p>
      <w:pPr>
        <w:spacing w:after="80" w:line="276" w:lineRule="auto"/>
      </w:pPr>
      <w:r>
        <w:rPr>
          <w:rFonts w:ascii="Calibri" w:hAnsi="Calibri"/>
          <w:color w:val="1E293B"/>
          <w:sz w:val="22"/>
        </w:rPr>
        <w:t>Parents Branch, Rajesh Branch, Sangeeta Branch, Rakhi Branch and Rohit Branch</w:t>
      </w:r>
    </w:p>
    <w:p>
      <w:pPr>
        <w:spacing w:after="80" w:line="276" w:lineRule="auto"/>
      </w:pPr>
      <w:r>
        <w:rPr>
          <w:rFonts w:ascii="Calibri" w:hAnsi="Calibri"/>
          <w:color w:val="1E293B"/>
          <w:sz w:val="22"/>
        </w:rPr>
        <w:t>Group Companies</w:t>
      </w:r>
    </w:p>
    <w:p>
      <w:pPr>
        <w:spacing w:after="80" w:line="276" w:lineRule="auto"/>
      </w:pPr>
      <w:r>
        <w:rPr>
          <w:rFonts w:ascii="Calibri" w:hAnsi="Calibri"/>
          <w:color w:val="1E293B"/>
          <w:sz w:val="22"/>
        </w:rPr>
        <w:t>The companies identified as ‘group companies’ in accordance with Regulation 2(1)(t) of the SEBI ICDR Regulations and the Materiality Policy. For further details, see “Our Group Companies” on page 396</w:t>
      </w:r>
    </w:p>
    <w:p>
      <w:pPr>
        <w:spacing w:after="80" w:line="276" w:lineRule="auto"/>
      </w:pPr>
      <w:r>
        <w:rPr>
          <w:rFonts w:ascii="Calibri" w:hAnsi="Calibri"/>
          <w:color w:val="1E293B"/>
          <w:sz w:val="22"/>
        </w:rPr>
        <w:t>Group Entities</w:t>
      </w:r>
    </w:p>
    <w:p>
      <w:pPr>
        <w:spacing w:after="80" w:line="276" w:lineRule="auto"/>
      </w:pPr>
      <w:r>
        <w:rPr>
          <w:rFonts w:ascii="Calibri" w:hAnsi="Calibri"/>
          <w:color w:val="1E293B"/>
          <w:sz w:val="22"/>
        </w:rPr>
        <w:t>Entities, namely, Acme Private Limited, Northstar Technologies Ltd, KSH Infra Park 5 Bluebird Capital LLP, Acme Private Limited, Northstar Technologies Ltd, Bluebird Capital LLP, Acme Private Limited, Northstar Technologies Ltd, Bluebird Capital LLP, Acme Private Limited, Northstar Technologies Ltd, Bluebird Capital LLP, Acme Private Limited, Acme Private Limited, Northstar Technologies Ltd, Bluebird Capital LLP, Waterloo Industrial Park IX A Private</w:t>
      </w:r>
    </w:p>
    <w:p>
      <w:pPr>
        <w:spacing w:after="80" w:line="276" w:lineRule="auto"/>
      </w:pPr>
      <w:r>
        <w:rPr>
          <w:rFonts w:ascii="Calibri" w:hAnsi="Calibri"/>
          <w:color w:val="1E293B"/>
          <w:sz w:val="22"/>
        </w:rPr>
        <w:t>Limited, Acme Private Limited</w:t>
      </w:r>
    </w:p>
    <w:p>
      <w:pPr>
        <w:spacing w:after="80" w:line="276" w:lineRule="auto"/>
      </w:pPr>
      <w:r>
        <w:rPr>
          <w:rFonts w:ascii="Calibri" w:hAnsi="Calibri"/>
          <w:color w:val="1E293B"/>
          <w:sz w:val="22"/>
        </w:rPr>
        <w:t>Independent Director(s)</w:t>
      </w:r>
    </w:p>
    <w:p>
      <w:pPr>
        <w:spacing w:after="80" w:line="276" w:lineRule="auto"/>
      </w:pPr>
      <w:r>
        <w:rPr>
          <w:rFonts w:ascii="Calibri" w:hAnsi="Calibri"/>
          <w:color w:val="1E293B"/>
          <w:sz w:val="22"/>
        </w:rPr>
        <w:t>Non-executive and independent director(s) on our Board. For further details, see “Our Management – Board of Directors” on page 250</w:t>
      </w:r>
    </w:p>
    <w:p>
      <w:pPr>
        <w:spacing w:after="80" w:line="276" w:lineRule="auto"/>
      </w:pPr>
      <w:r>
        <w:rPr>
          <w:rFonts w:ascii="Calibri" w:hAnsi="Calibri"/>
          <w:color w:val="1E293B"/>
          <w:sz w:val="22"/>
        </w:rPr>
        <w:t>Independent Chartered Engineer</w:t>
      </w:r>
    </w:p>
    <w:p>
      <w:pPr>
        <w:spacing w:after="80" w:line="276" w:lineRule="auto"/>
      </w:pPr>
      <w:r>
        <w:rPr>
          <w:rFonts w:ascii="Calibri" w:hAnsi="Calibri"/>
          <w:color w:val="1E293B"/>
          <w:sz w:val="22"/>
        </w:rPr>
        <w:t>The Northstar Technologies Ltd, namely, Lalit Muljibhai Sarvaiya bearing registration number M-140388</w:t>
      </w:r>
    </w:p>
    <w:p>
      <w:pPr>
        <w:spacing w:after="80" w:line="276" w:lineRule="auto"/>
      </w:pPr>
      <w:r>
        <w:rPr>
          <w:rFonts w:ascii="Calibri" w:hAnsi="Calibri"/>
          <w:color w:val="1E293B"/>
          <w:sz w:val="22"/>
        </w:rPr>
        <w:t>Industry Data Provider/ CareEdge Research</w:t>
      </w:r>
    </w:p>
    <w:p>
      <w:pPr>
        <w:spacing w:after="80" w:line="276" w:lineRule="auto"/>
      </w:pPr>
      <w:r>
        <w:rPr>
          <w:rFonts w:ascii="Calibri" w:hAnsi="Calibri"/>
          <w:color w:val="1E293B"/>
          <w:sz w:val="22"/>
        </w:rPr>
        <w:t>The industry data provider being, Bluebird Capital LLP</w:t>
      </w:r>
    </w:p>
    <w:p>
      <w:pPr>
        <w:spacing w:after="80" w:line="276" w:lineRule="auto"/>
      </w:pPr>
      <w:r>
        <w:rPr>
          <w:rFonts w:ascii="Calibri" w:hAnsi="Calibri"/>
          <w:color w:val="1E293B"/>
          <w:sz w:val="22"/>
        </w:rPr>
        <w:t>IPO Committee</w:t>
      </w:r>
    </w:p>
    <w:p>
      <w:pPr>
        <w:spacing w:after="80" w:line="276" w:lineRule="auto"/>
      </w:pPr>
      <w:r>
        <w:rPr>
          <w:rFonts w:ascii="Calibri" w:hAnsi="Calibri"/>
          <w:color w:val="1E293B"/>
          <w:sz w:val="22"/>
        </w:rPr>
        <w:t>The IPO committee of our Board constituted to facilitate the process of the Offer</w:t>
      </w:r>
    </w:p>
    <w:p>
      <w:pPr>
        <w:spacing w:after="80" w:line="276" w:lineRule="auto"/>
      </w:pPr>
      <w:r>
        <w:rPr>
          <w:rFonts w:ascii="Calibri" w:hAnsi="Calibri"/>
          <w:color w:val="1E293B"/>
          <w:sz w:val="22"/>
        </w:rPr>
        <w:t>Joint Managing Director</w:t>
      </w:r>
    </w:p>
    <w:p>
      <w:pPr>
        <w:spacing w:after="80" w:line="276" w:lineRule="auto"/>
      </w:pPr>
      <w:r>
        <w:rPr>
          <w:rFonts w:ascii="Calibri" w:hAnsi="Calibri"/>
          <w:color w:val="1E293B"/>
          <w:sz w:val="22"/>
        </w:rPr>
        <w:t>Acme Private Limited being, Rohit Kushal Hegde. For further details, see “Our Management” on page 250</w:t>
      </w:r>
    </w:p>
    <w:p>
      <w:pPr>
        <w:spacing w:after="80" w:line="276" w:lineRule="auto"/>
      </w:pPr>
      <w:r>
        <w:rPr>
          <w:rFonts w:ascii="Calibri" w:hAnsi="Calibri"/>
          <w:color w:val="1E293B"/>
          <w:sz w:val="22"/>
        </w:rPr>
        <w:t>KMP/ Key Managerial Personnel</w:t>
      </w:r>
    </w:p>
    <w:p>
      <w:pPr>
        <w:spacing w:after="80" w:line="276" w:lineRule="auto"/>
      </w:pPr>
      <w:r>
        <w:rPr>
          <w:rFonts w:ascii="Calibri" w:hAnsi="Calibri"/>
          <w:color w:val="1E293B"/>
          <w:sz w:val="22"/>
        </w:rPr>
        <w:t>Northstar Technologies Ltd in terms of Regulation 2(1)(bb) of the SEBI ICDR Regulations and Section 2(51) of the Companies Act, 2013 and as further disclosed in “Our Management – Key Managerial Personnel and Senior Management” on page 266</w:t>
      </w:r>
    </w:p>
    <w:p>
      <w:pPr>
        <w:spacing w:after="80" w:line="276" w:lineRule="auto"/>
      </w:pPr>
      <w:r>
        <w:rPr>
          <w:rFonts w:ascii="Calibri" w:hAnsi="Calibri"/>
          <w:color w:val="1E293B"/>
          <w:sz w:val="22"/>
        </w:rPr>
        <w:t>Managing Director</w:t>
      </w:r>
    </w:p>
    <w:p>
      <w:pPr>
        <w:spacing w:after="80" w:line="276" w:lineRule="auto"/>
      </w:pPr>
      <w:r>
        <w:rPr>
          <w:rFonts w:ascii="Calibri" w:hAnsi="Calibri"/>
          <w:color w:val="1E293B"/>
          <w:sz w:val="22"/>
        </w:rPr>
        <w:t>Bluebird Capital LLP, namely Rajesh Kushal Hegde. For further information, see “Our Management – Board of Directors” on page 250</w:t>
      </w:r>
    </w:p>
    <w:p>
      <w:pPr>
        <w:spacing w:after="80" w:line="276" w:lineRule="auto"/>
      </w:pPr>
      <w:r>
        <w:rPr>
          <w:rFonts w:ascii="Calibri" w:hAnsi="Calibri"/>
          <w:color w:val="1E293B"/>
          <w:sz w:val="22"/>
        </w:rPr>
        <w:t>Materiality Policy</w:t>
      </w:r>
    </w:p>
    <w:p>
      <w:pPr>
        <w:spacing w:after="80" w:line="276" w:lineRule="auto"/>
      </w:pPr>
      <w:r>
        <w:rPr>
          <w:rFonts w:ascii="Calibri" w:hAnsi="Calibri"/>
          <w:color w:val="1E293B"/>
          <w:sz w:val="22"/>
        </w:rPr>
        <w:t>The policy adopted by our Board on May 17, 2025, for identification of: (a) Acme Private Limited, our Promoters and our Directors; (b) companies, Northstar Technologies Ltd, for the purposes of disclosure as group companies in the Draft Red Herring Prospectus, this Red Herring Prospectus and the Prospectus; and (c) outstanding Bluebird Capital LLP, in accordance with the disclosure</w:t>
      </w:r>
    </w:p>
    <w:p>
      <w:pPr>
        <w:spacing w:after="80" w:line="276" w:lineRule="auto"/>
      </w:pPr>
      <w:r>
        <w:rPr>
          <w:rFonts w:ascii="Calibri" w:hAnsi="Calibri"/>
          <w:color w:val="1E293B"/>
          <w:sz w:val="22"/>
        </w:rPr>
        <w:t>requirements under the SEBI ICDR Regulations, for the purposes of disclosure in the Draft Red Herring Prospectus, this Red Herring Prospectus and the Prospectus</w:t>
      </w:r>
    </w:p>
    <w:p>
      <w:pPr>
        <w:spacing w:after="80" w:line="276" w:lineRule="auto"/>
      </w:pPr>
      <w:r>
        <w:rPr>
          <w:rFonts w:ascii="Calibri" w:hAnsi="Calibri"/>
          <w:color w:val="1E293B"/>
          <w:sz w:val="22"/>
        </w:rPr>
        <w:t>MoA/ Memorandum of Association</w:t>
      </w:r>
    </w:p>
    <w:p>
      <w:pPr>
        <w:spacing w:after="80" w:line="276" w:lineRule="auto"/>
      </w:pPr>
      <w:r>
        <w:rPr>
          <w:rFonts w:ascii="Calibri" w:hAnsi="Calibri"/>
          <w:color w:val="1E293B"/>
          <w:sz w:val="22"/>
        </w:rPr>
        <w:t>Acme Private Limited, as amended</w:t>
      </w:r>
    </w:p>
    <w:p>
      <w:pPr>
        <w:spacing w:after="80" w:line="276" w:lineRule="auto"/>
      </w:pPr>
      <w:r>
        <w:rPr>
          <w:rFonts w:ascii="Calibri" w:hAnsi="Calibri"/>
          <w:color w:val="1E293B"/>
          <w:sz w:val="22"/>
        </w:rPr>
        <w:t>NominationandRemuneration Committee</w:t>
      </w:r>
    </w:p>
    <w:p>
      <w:pPr>
        <w:spacing w:after="80" w:line="276" w:lineRule="auto"/>
      </w:pPr>
      <w:r>
        <w:rPr>
          <w:rFonts w:ascii="Calibri" w:hAnsi="Calibri"/>
          <w:color w:val="1E293B"/>
          <w:sz w:val="22"/>
        </w:rPr>
        <w:t>The nomination and remuneration committee of our Board, as disclosed in “Our Management – Committees of our Board” on page 257</w:t>
      </w:r>
    </w:p>
    <w:p>
      <w:pPr>
        <w:spacing w:after="80" w:line="276" w:lineRule="auto"/>
      </w:pPr>
      <w:r>
        <w:rPr>
          <w:rFonts w:ascii="Calibri" w:hAnsi="Calibri"/>
          <w:color w:val="1E293B"/>
          <w:sz w:val="22"/>
        </w:rPr>
        <w:t>Non-ExecutiveNon-Independent</w:t>
      </w:r>
    </w:p>
    <w:p>
      <w:pPr>
        <w:spacing w:after="80" w:line="276" w:lineRule="auto"/>
      </w:pPr>
      <w:r>
        <w:rPr>
          <w:rFonts w:ascii="Calibri" w:hAnsi="Calibri"/>
          <w:color w:val="1E293B"/>
          <w:sz w:val="22"/>
        </w:rPr>
        <w:t>Director(s)</w:t>
      </w:r>
    </w:p>
    <w:p>
      <w:pPr>
        <w:spacing w:after="80" w:line="276" w:lineRule="auto"/>
      </w:pPr>
      <w:r>
        <w:rPr>
          <w:rFonts w:ascii="Calibri" w:hAnsi="Calibri"/>
          <w:color w:val="1E293B"/>
          <w:sz w:val="22"/>
        </w:rPr>
        <w:t>The non-executive non-independent Directors on our Board, as disclosed in “Our Management –</w:t>
      </w:r>
    </w:p>
    <w:p>
      <w:pPr>
        <w:spacing w:after="80" w:line="276" w:lineRule="auto"/>
      </w:pPr>
      <w:r>
        <w:rPr>
          <w:rFonts w:ascii="Calibri" w:hAnsi="Calibri"/>
          <w:color w:val="1E293B"/>
          <w:sz w:val="22"/>
        </w:rPr>
        <w:t>Board of Directors” on page 250</w:t>
      </w:r>
    </w:p>
    <w:p>
      <w:pPr>
        <w:spacing w:after="80" w:line="276" w:lineRule="auto"/>
      </w:pPr>
      <w:r>
        <w:rPr>
          <w:rFonts w:ascii="Calibri" w:hAnsi="Calibri"/>
          <w:color w:val="1E293B"/>
          <w:sz w:val="22"/>
        </w:rPr>
        <w:t>Parents Branch</w:t>
      </w:r>
    </w:p>
    <w:p>
      <w:pPr>
        <w:spacing w:after="80" w:line="276" w:lineRule="auto"/>
      </w:pPr>
      <w:r>
        <w:rPr>
          <w:rFonts w:ascii="Calibri" w:hAnsi="Calibri"/>
          <w:color w:val="1E293B"/>
          <w:sz w:val="22"/>
        </w:rPr>
        <w:t>Kushal Subbayya Hegde, Pushpa Kushal Hegde, Broad Family Trust and Dhaulagiri Family Trust</w:t>
      </w:r>
    </w:p>
    <w:p>
      <w:pPr>
        <w:spacing w:after="80" w:line="276" w:lineRule="auto"/>
      </w:pPr>
      <w:r>
        <w:rPr>
          <w:rFonts w:ascii="Calibri" w:hAnsi="Calibri"/>
          <w:color w:val="1E293B"/>
          <w:sz w:val="22"/>
        </w:rPr>
        <w:t>Promoter Group</w:t>
      </w:r>
    </w:p>
    <w:p>
      <w:pPr>
        <w:spacing w:after="80" w:line="276" w:lineRule="auto"/>
      </w:pPr>
      <w:r>
        <w:rPr>
          <w:rFonts w:ascii="Calibri" w:hAnsi="Calibri"/>
          <w:color w:val="1E293B"/>
          <w:sz w:val="22"/>
        </w:rPr>
        <w:t>Persons and entities, excluding our Promoters Northstar Technologies Ltd in terms of Regulation 2(1)(pp) of the SEBI ICDR Regulations, as disclosed in “Our Promoters and Promoter Group” on page 269</w:t>
      </w:r>
    </w:p>
    <w:p>
      <w:pPr>
        <w:spacing w:after="80" w:line="276" w:lineRule="auto"/>
      </w:pPr>
      <w:r>
        <w:rPr>
          <w:rFonts w:ascii="Calibri" w:hAnsi="Calibri"/>
          <w:color w:val="1E293B"/>
          <w:sz w:val="22"/>
        </w:rPr>
        <w:t>Promoters</w:t>
      </w:r>
    </w:p>
    <w:p>
      <w:pPr>
        <w:spacing w:after="80" w:line="276" w:lineRule="auto"/>
      </w:pPr>
      <w:r>
        <w:rPr>
          <w:rFonts w:ascii="Calibri" w:hAnsi="Calibri"/>
          <w:color w:val="1E293B"/>
          <w:sz w:val="22"/>
        </w:rPr>
        <w:t>Kushal Subbayya Hegde, Pushpa Kushal Hegde, Rajesh Kushal Hegde, Rohit Kushal Hegde and Rakhi Girija Shetty, Dhaulagiri Family Trust, Everest Family Trust, Makalu Family Trust, Broad</w:t>
      </w:r>
    </w:p>
    <w:p>
      <w:pPr>
        <w:spacing w:after="80" w:line="276" w:lineRule="auto"/>
      </w:pPr>
      <w:r>
        <w:rPr>
          <w:rFonts w:ascii="Calibri" w:hAnsi="Calibri"/>
          <w:color w:val="1E293B"/>
          <w:sz w:val="22"/>
        </w:rPr>
        <w:t>Family Trust, Annapurna Family Trust, Kanchenjunga Family Bluebird Capital LLP</w:t>
      </w:r>
    </w:p>
    <w:p>
      <w:pPr>
        <w:spacing w:after="80" w:line="276" w:lineRule="auto"/>
      </w:pPr>
      <w:r>
        <w:rPr>
          <w:rFonts w:ascii="Calibri" w:hAnsi="Calibri"/>
          <w:color w:val="1E293B"/>
          <w:sz w:val="22"/>
        </w:rPr>
        <w:t>Promoter Selling Shareholders</w:t>
      </w:r>
    </w:p>
    <w:p>
      <w:pPr>
        <w:spacing w:after="80" w:line="276" w:lineRule="auto"/>
      </w:pPr>
      <w:r>
        <w:rPr>
          <w:rFonts w:ascii="Calibri" w:hAnsi="Calibri"/>
          <w:color w:val="1E293B"/>
          <w:sz w:val="22"/>
        </w:rPr>
        <w:t>Kushal Subbayya Hegde, Pushpa Kushal Hegde, Rajesh Kushal Hegde and Rohit Kushal Hegde</w:t>
      </w:r>
    </w:p>
    <w:p>
      <w:pPr>
        <w:spacing w:after="80" w:line="276" w:lineRule="auto"/>
      </w:pPr>
      <w:r>
        <w:rPr>
          <w:rFonts w:ascii="Calibri" w:hAnsi="Calibri"/>
          <w:color w:val="1E293B"/>
          <w:sz w:val="22"/>
        </w:rPr>
        <w:t>Promoter Trusts</w:t>
      </w:r>
    </w:p>
    <w:p>
      <w:pPr>
        <w:spacing w:after="80" w:line="276" w:lineRule="auto"/>
      </w:pPr>
      <w:r>
        <w:rPr>
          <w:rFonts w:ascii="Calibri" w:hAnsi="Calibri"/>
          <w:color w:val="1E293B"/>
          <w:sz w:val="22"/>
        </w:rPr>
        <w:t>Dhaulagiri Family Trust, Everest Family Trust, Makalu Family Trust, Broad Family Trust, Annapurna Family Trust, and Kanchenjunga Family Trust</w:t>
      </w:r>
    </w:p>
    <w:p>
      <w:pPr>
        <w:spacing w:after="80" w:line="276" w:lineRule="auto"/>
      </w:pPr>
      <w:r>
        <w:rPr>
          <w:rFonts w:ascii="Calibri" w:hAnsi="Calibri"/>
          <w:color w:val="1E293B"/>
          <w:sz w:val="22"/>
        </w:rPr>
        <w:t>Rajesh Branch</w:t>
      </w:r>
    </w:p>
    <w:p>
      <w:pPr>
        <w:spacing w:after="80" w:line="276" w:lineRule="auto"/>
      </w:pPr>
      <w:r>
        <w:rPr>
          <w:rFonts w:ascii="Calibri" w:hAnsi="Calibri"/>
          <w:color w:val="1E293B"/>
          <w:sz w:val="22"/>
        </w:rPr>
        <w:t>Rajesh Kushal Hegde, his spouse, his children, lineal descendants and Everest Family Trust</w:t>
      </w:r>
    </w:p>
    <w:p>
      <w:pPr>
        <w:spacing w:after="80" w:line="276" w:lineRule="auto"/>
      </w:pPr>
      <w:r>
        <w:rPr>
          <w:rFonts w:ascii="Calibri" w:hAnsi="Calibri"/>
          <w:color w:val="1E293B"/>
          <w:sz w:val="22"/>
        </w:rPr>
        <w:t>Rakhi Branch</w:t>
      </w:r>
    </w:p>
    <w:p>
      <w:pPr>
        <w:spacing w:after="80" w:line="276" w:lineRule="auto"/>
      </w:pPr>
      <w:r>
        <w:rPr>
          <w:rFonts w:ascii="Calibri" w:hAnsi="Calibri"/>
          <w:color w:val="1E293B"/>
          <w:sz w:val="22"/>
        </w:rPr>
        <w:t>Rakhi Girija Shetty, her spouse (if any), her children, lineal descendants and Annapurna Family Trust</w:t>
      </w:r>
    </w:p>
    <w:p>
      <w:pPr>
        <w:spacing w:after="80" w:line="276" w:lineRule="auto"/>
      </w:pPr>
      <w:r>
        <w:rPr>
          <w:rFonts w:ascii="Calibri" w:hAnsi="Calibri"/>
          <w:color w:val="1E293B"/>
          <w:sz w:val="22"/>
        </w:rPr>
        <w:t>Registered Office</w:t>
      </w:r>
    </w:p>
    <w:p>
      <w:pPr>
        <w:spacing w:after="80" w:line="276" w:lineRule="auto"/>
      </w:pPr>
      <w:r>
        <w:rPr>
          <w:rFonts w:ascii="Calibri" w:hAnsi="Calibri"/>
          <w:color w:val="1E293B"/>
          <w:sz w:val="22"/>
        </w:rPr>
        <w:t>Acme Private Limited located at 11/3, 11/4 and 11/5, Village Birdewadi, Chakan Taluka-Khed, Pune – 410 501, Maharashtra, India</w:t>
      </w:r>
    </w:p>
    <w:p>
      <w:pPr>
        <w:spacing w:after="80" w:line="276" w:lineRule="auto"/>
      </w:pPr>
      <w:r>
        <w:rPr>
          <w:rFonts w:ascii="Calibri" w:hAnsi="Calibri"/>
          <w:color w:val="1E293B"/>
          <w:sz w:val="22"/>
        </w:rPr>
        <w:t>Term</w:t>
      </w:r>
    </w:p>
    <w:p>
      <w:pPr>
        <w:spacing w:after="80" w:line="276" w:lineRule="auto"/>
      </w:pPr>
      <w:r>
        <w:rPr>
          <w:rFonts w:ascii="Calibri" w:hAnsi="Calibri"/>
          <w:color w:val="1E293B"/>
          <w:sz w:val="22"/>
        </w:rPr>
        <w:t>Description</w:t>
      </w:r>
    </w:p>
    <w:p>
      <w:pPr>
        <w:spacing w:after="80" w:line="276" w:lineRule="auto"/>
      </w:pPr>
      <w:r>
        <w:rPr>
          <w:rFonts w:ascii="Calibri" w:hAnsi="Calibri"/>
          <w:color w:val="1E293B"/>
          <w:sz w:val="22"/>
        </w:rPr>
        <w:t>Registrar of Companies/RoC</w:t>
      </w:r>
    </w:p>
    <w:p>
      <w:pPr>
        <w:spacing w:after="80" w:line="276" w:lineRule="auto"/>
      </w:pPr>
      <w:r>
        <w:rPr>
          <w:rFonts w:ascii="Calibri" w:hAnsi="Calibri"/>
          <w:color w:val="1E293B"/>
          <w:sz w:val="22"/>
        </w:rPr>
        <w:t>The Registrar of Companies, Maharashtra at Pune</w:t>
      </w:r>
    </w:p>
    <w:p>
      <w:pPr>
        <w:spacing w:after="80" w:line="276" w:lineRule="auto"/>
      </w:pPr>
      <w:r>
        <w:rPr>
          <w:rFonts w:ascii="Calibri" w:hAnsi="Calibri"/>
          <w:color w:val="1E293B"/>
          <w:sz w:val="22"/>
        </w:rPr>
        <w:t>Restated Financial Statements</w:t>
      </w:r>
    </w:p>
    <w:p>
      <w:pPr>
        <w:spacing w:after="80" w:line="276" w:lineRule="auto"/>
      </w:pPr>
      <w:r>
        <w:rPr>
          <w:rFonts w:ascii="Calibri" w:hAnsi="Calibri"/>
          <w:color w:val="1E293B"/>
          <w:sz w:val="22"/>
        </w:rPr>
        <w:t>Northstar Technologies Ltd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prepared in terms of the requirements of Section 26 of Part I of Chapter III of the Companies Act, SEBI ICDR Regulations, Bluebird Capital LLP Prospectuses (Revised 2019) issued by ICAI, as amended from time to time and the Indian Accounting Standards as specified under Section 133 of the Act and other</w:t>
      </w:r>
    </w:p>
    <w:p>
      <w:pPr>
        <w:spacing w:after="80" w:line="276" w:lineRule="auto"/>
      </w:pPr>
      <w:r>
        <w:rPr>
          <w:rFonts w:ascii="Calibri" w:hAnsi="Calibri"/>
          <w:color w:val="1E293B"/>
          <w:sz w:val="22"/>
        </w:rPr>
        <w:t>accounting principles generally accepted in India.</w:t>
      </w:r>
    </w:p>
    <w:p>
      <w:pPr>
        <w:spacing w:after="80" w:line="276" w:lineRule="auto"/>
      </w:pPr>
      <w:r>
        <w:rPr>
          <w:rFonts w:ascii="Calibri" w:hAnsi="Calibri"/>
          <w:color w:val="1E293B"/>
          <w:sz w:val="22"/>
        </w:rPr>
        <w:t>Risk Management Committee</w:t>
      </w:r>
    </w:p>
    <w:p>
      <w:pPr>
        <w:spacing w:after="80" w:line="276" w:lineRule="auto"/>
      </w:pPr>
      <w:r>
        <w:rPr>
          <w:rFonts w:ascii="Calibri" w:hAnsi="Calibri"/>
          <w:color w:val="1E293B"/>
          <w:sz w:val="22"/>
        </w:rPr>
        <w:t>The risk management committee of our Board, as disclosed in “Our Management – Corporate Governance - Committees of our Board” on page 257</w:t>
      </w:r>
    </w:p>
    <w:p>
      <w:pPr>
        <w:spacing w:after="80" w:line="276" w:lineRule="auto"/>
      </w:pPr>
      <w:r>
        <w:rPr>
          <w:rFonts w:ascii="Calibri" w:hAnsi="Calibri"/>
          <w:color w:val="1E293B"/>
          <w:sz w:val="22"/>
        </w:rPr>
        <w:t>Rohit Branch</w:t>
      </w:r>
    </w:p>
    <w:p>
      <w:pPr>
        <w:spacing w:after="80" w:line="276" w:lineRule="auto"/>
      </w:pPr>
      <w:r>
        <w:rPr>
          <w:rFonts w:ascii="Calibri" w:hAnsi="Calibri"/>
          <w:color w:val="1E293B"/>
          <w:sz w:val="22"/>
        </w:rPr>
        <w:t>Rohit Kushal Hegde, his spouse, his children, lineal descendants and Makalu Family Trust</w:t>
      </w:r>
    </w:p>
    <w:p>
      <w:pPr>
        <w:spacing w:after="80" w:line="276" w:lineRule="auto"/>
      </w:pPr>
      <w:r>
        <w:rPr>
          <w:rFonts w:ascii="Calibri" w:hAnsi="Calibri"/>
          <w:color w:val="1E293B"/>
          <w:sz w:val="22"/>
        </w:rPr>
        <w:t>Sangeeta Branch</w:t>
      </w:r>
    </w:p>
    <w:p>
      <w:pPr>
        <w:spacing w:after="80" w:line="276" w:lineRule="auto"/>
      </w:pPr>
      <w:r>
        <w:rPr>
          <w:rFonts w:ascii="Calibri" w:hAnsi="Calibri"/>
          <w:color w:val="1E293B"/>
          <w:sz w:val="22"/>
        </w:rPr>
        <w:t>Sangeeta Ramprasad Rai, her spouse, her children, lineal descendants and Kanchenjunga Family Trust</w:t>
      </w:r>
    </w:p>
    <w:p>
      <w:pPr>
        <w:spacing w:after="80" w:line="276" w:lineRule="auto"/>
      </w:pPr>
      <w:r>
        <w:rPr>
          <w:rFonts w:ascii="Calibri" w:hAnsi="Calibri"/>
          <w:color w:val="1E293B"/>
          <w:sz w:val="22"/>
        </w:rPr>
        <w:t>Split of Equity Shares</w:t>
      </w:r>
    </w:p>
    <w:p>
      <w:pPr>
        <w:spacing w:after="80" w:line="276" w:lineRule="auto"/>
      </w:pPr>
      <w:r>
        <w:rPr>
          <w:rFonts w:ascii="Calibri" w:hAnsi="Calibri"/>
          <w:color w:val="1E293B"/>
          <w:sz w:val="22"/>
        </w:rPr>
        <w:t>Pursuant to a resolution passed by our Board and Shareholders dated February 10, 2025 and February 11, 2025, respectively, Bluebird Capital LLP sub-divided the face value of its equity shares from</w:t>
      </w:r>
    </w:p>
    <w:p>
      <w:pPr>
        <w:spacing w:after="80" w:line="276" w:lineRule="auto"/>
      </w:pPr>
      <w:r>
        <w:rPr>
          <w:rFonts w:ascii="Calibri" w:hAnsi="Calibri"/>
          <w:color w:val="1E293B"/>
          <w:sz w:val="22"/>
        </w:rPr>
        <w:t>₹100 per equity share to ₹5 per Equity Share. For further details, see “Summary of the Offer Document” and “Capital Structure – Notes to Capital Structure – Acme Private Limited” on pages 20 and 85, respectively</w:t>
      </w:r>
    </w:p>
    <w:p>
      <w:pPr>
        <w:spacing w:after="80" w:line="276" w:lineRule="auto"/>
      </w:pPr>
      <w:r>
        <w:rPr>
          <w:rFonts w:ascii="Calibri" w:hAnsi="Calibri"/>
          <w:color w:val="1E293B"/>
          <w:sz w:val="22"/>
        </w:rPr>
        <w:t>Senior Management/ SM</w:t>
      </w:r>
    </w:p>
    <w:p>
      <w:pPr>
        <w:spacing w:after="80" w:line="276" w:lineRule="auto"/>
      </w:pPr>
      <w:r>
        <w:rPr>
          <w:rFonts w:ascii="Calibri" w:hAnsi="Calibri"/>
          <w:color w:val="1E293B"/>
          <w:sz w:val="22"/>
        </w:rPr>
        <w:t>Our senior management in terms of Regulation 2(1)(bbbb) of the SEBI ICDR Regulations and as disclosed in “Our Management – Key Managerial Personnel and Senior Management” on page 266</w:t>
      </w:r>
    </w:p>
    <w:p>
      <w:pPr>
        <w:spacing w:after="80" w:line="276" w:lineRule="auto"/>
      </w:pPr>
      <w:r>
        <w:rPr>
          <w:rFonts w:ascii="Calibri" w:hAnsi="Calibri"/>
          <w:color w:val="1E293B"/>
          <w:sz w:val="22"/>
        </w:rPr>
        <w:t>Shareholders</w:t>
      </w:r>
    </w:p>
    <w:p>
      <w:pPr>
        <w:spacing w:after="80" w:line="276" w:lineRule="auto"/>
      </w:pPr>
      <w:r>
        <w:rPr>
          <w:rFonts w:ascii="Calibri" w:hAnsi="Calibri"/>
          <w:color w:val="1E293B"/>
          <w:sz w:val="22"/>
        </w:rPr>
        <w:t>The holders of the Equity Shares from time to time</w:t>
      </w:r>
    </w:p>
    <w:p>
      <w:pPr>
        <w:spacing w:after="80" w:line="276" w:lineRule="auto"/>
      </w:pPr>
      <w:r>
        <w:rPr>
          <w:rFonts w:ascii="Calibri" w:hAnsi="Calibri"/>
          <w:color w:val="1E293B"/>
          <w:sz w:val="22"/>
        </w:rPr>
        <w:t>Stakeholders Relationship Committee</w:t>
      </w:r>
    </w:p>
    <w:p>
      <w:pPr>
        <w:spacing w:after="80" w:line="276" w:lineRule="auto"/>
      </w:pPr>
      <w:r>
        <w:rPr>
          <w:rFonts w:ascii="Calibri" w:hAnsi="Calibri"/>
          <w:color w:val="1E293B"/>
          <w:sz w:val="22"/>
        </w:rPr>
        <w:t>The stakeholders’ relationship committee of our Board, as disclosed in “Our Management – Corporate Governance – Committees of our Board” on page 257</w:t>
      </w:r>
    </w:p>
    <w:p>
      <w:pPr>
        <w:spacing w:after="80" w:line="276" w:lineRule="auto"/>
      </w:pPr>
      <w:r>
        <w:rPr>
          <w:rFonts w:ascii="Calibri" w:hAnsi="Calibri"/>
          <w:color w:val="1E293B"/>
          <w:sz w:val="22"/>
        </w:rPr>
        <w:t>Supa Facility</w:t>
      </w:r>
    </w:p>
    <w:p>
      <w:pPr>
        <w:spacing w:after="80" w:line="276" w:lineRule="auto"/>
      </w:pPr>
      <w:r>
        <w:rPr>
          <w:rFonts w:ascii="Calibri" w:hAnsi="Calibri"/>
          <w:color w:val="1E293B"/>
          <w:sz w:val="22"/>
        </w:rPr>
        <w:t>Our manufacturing facility located at Supa Ahilyanagar (formerly Ahmednagar) in Maharashtra</w:t>
      </w:r>
    </w:p>
    <w:p>
      <w:pPr>
        <w:spacing w:after="80" w:line="276" w:lineRule="auto"/>
      </w:pPr>
      <w:r>
        <w:rPr>
          <w:rFonts w:ascii="Calibri" w:hAnsi="Calibri"/>
          <w:color w:val="1E293B"/>
          <w:sz w:val="22"/>
        </w:rPr>
        <w:t>Unit 1</w:t>
      </w:r>
    </w:p>
    <w:p>
      <w:pPr>
        <w:spacing w:after="80" w:line="276" w:lineRule="auto"/>
      </w:pPr>
      <w:r>
        <w:rPr>
          <w:rFonts w:ascii="Calibri" w:hAnsi="Calibri"/>
          <w:color w:val="1E293B"/>
          <w:sz w:val="22"/>
        </w:rPr>
        <w:t>Our manufacturing facility located at Plot No. J-25, Taloja Industrial Area, Village Padghe, Taluka Panvel, Raigad – 410 208, Maharashtra, India</w:t>
      </w:r>
    </w:p>
    <w:p>
      <w:pPr>
        <w:spacing w:after="80" w:line="276" w:lineRule="auto"/>
      </w:pPr>
      <w:r>
        <w:rPr>
          <w:rFonts w:ascii="Calibri" w:hAnsi="Calibri"/>
          <w:color w:val="1E293B"/>
          <w:sz w:val="22"/>
        </w:rPr>
        <w:t>Unit 2</w:t>
      </w:r>
    </w:p>
    <w:p>
      <w:pPr>
        <w:spacing w:after="80" w:line="276" w:lineRule="auto"/>
      </w:pPr>
      <w:r>
        <w:rPr>
          <w:rFonts w:ascii="Calibri" w:hAnsi="Calibri"/>
          <w:color w:val="1E293B"/>
          <w:sz w:val="22"/>
        </w:rPr>
        <w:t>Our manufacturing facility located at 11/3, 11/4 and 11/5, Village Birdewadi, Chakan Taluka - Khed, Pune – 410 501, Maharashtra, India</w:t>
      </w:r>
    </w:p>
    <w:p>
      <w:pPr>
        <w:spacing w:after="80" w:line="276" w:lineRule="auto"/>
      </w:pPr>
      <w:r>
        <w:rPr>
          <w:rFonts w:ascii="Calibri" w:hAnsi="Calibri"/>
          <w:color w:val="1E293B"/>
          <w:sz w:val="22"/>
        </w:rPr>
        <w:t>Unit 3</w:t>
      </w:r>
    </w:p>
    <w:p>
      <w:pPr>
        <w:spacing w:after="80" w:line="276" w:lineRule="auto"/>
      </w:pPr>
      <w:r>
        <w:rPr>
          <w:rFonts w:ascii="Calibri" w:hAnsi="Calibri"/>
          <w:color w:val="1E293B"/>
          <w:sz w:val="22"/>
        </w:rPr>
        <w:t>Our manufacturing facility located at Plot No. 5, Chakan Industrial Area, Phase II, Village Khalumbre, Taluka Khed, Pune – 410 501, Maharashtra, India</w:t>
      </w:r>
    </w:p>
    <w:p>
      <w:pPr>
        <w:spacing w:after="80" w:line="276" w:lineRule="auto"/>
      </w:pPr>
      <w:r>
        <w:rPr>
          <w:rFonts w:ascii="Calibri" w:hAnsi="Calibri"/>
          <w:color w:val="1E293B"/>
          <w:sz w:val="22"/>
        </w:rPr>
        <w:t>Whole-time Director</w:t>
      </w:r>
    </w:p>
    <w:p>
      <w:pPr>
        <w:spacing w:after="80" w:line="276" w:lineRule="auto"/>
      </w:pPr>
      <w:r>
        <w:rPr>
          <w:rFonts w:ascii="Calibri" w:hAnsi="Calibri"/>
          <w:color w:val="1E293B"/>
          <w:sz w:val="22"/>
        </w:rPr>
        <w:t>Northstar Technologies Ltd being, Rakhi Girija Shetty. For further information, see “Our Management – Board of Directors” on page 250</w:t>
      </w:r>
    </w:p>
    <w:p>
      <w:pPr>
        <w:spacing w:after="80" w:line="276" w:lineRule="auto"/>
      </w:pPr>
      <w:r>
        <w:rPr>
          <w:rFonts w:ascii="Calibri" w:hAnsi="Calibri"/>
          <w:color w:val="1E293B"/>
          <w:sz w:val="22"/>
        </w:rPr>
        <w:t>Offer Related Terms</w:t>
      </w:r>
    </w:p>
    <w:p>
      <w:pPr>
        <w:spacing w:after="80" w:line="276" w:lineRule="auto"/>
      </w:pPr>
      <w:r>
        <w:rPr>
          <w:rFonts w:ascii="Calibri" w:hAnsi="Calibri"/>
          <w:color w:val="1E293B"/>
          <w:sz w:val="22"/>
        </w:rPr>
        <w:t>Term</w:t>
      </w:r>
    </w:p>
    <w:p>
      <w:pPr>
        <w:spacing w:after="80" w:line="276" w:lineRule="auto"/>
      </w:pPr>
      <w:r>
        <w:rPr>
          <w:rFonts w:ascii="Calibri" w:hAnsi="Calibri"/>
          <w:color w:val="1E293B"/>
          <w:sz w:val="22"/>
        </w:rPr>
        <w:t>Description</w:t>
      </w:r>
    </w:p>
    <w:p>
      <w:pPr>
        <w:spacing w:after="80" w:line="276" w:lineRule="auto"/>
      </w:pPr>
      <w:r>
        <w:rPr>
          <w:rFonts w:ascii="Calibri" w:hAnsi="Calibri"/>
          <w:color w:val="1E293B"/>
          <w:sz w:val="22"/>
        </w:rPr>
        <w:t>Abridged Prospectus</w:t>
      </w:r>
    </w:p>
    <w:p>
      <w:pPr>
        <w:spacing w:after="80" w:line="276" w:lineRule="auto"/>
      </w:pPr>
      <w:r>
        <w:rPr>
          <w:rFonts w:ascii="Calibri" w:hAnsi="Calibri"/>
          <w:color w:val="1E293B"/>
          <w:sz w:val="22"/>
        </w:rPr>
        <w:t>Abridged prospectus means a memorandum containing such salient features of a prospectus as may be specified by the SEBI in this behalf</w:t>
      </w:r>
    </w:p>
    <w:p>
      <w:pPr>
        <w:spacing w:after="80" w:line="276" w:lineRule="auto"/>
      </w:pPr>
      <w:r>
        <w:rPr>
          <w:rFonts w:ascii="Calibri" w:hAnsi="Calibri"/>
          <w:color w:val="1E293B"/>
          <w:sz w:val="22"/>
        </w:rPr>
        <w:t>Acknowledgement Slip</w:t>
      </w:r>
    </w:p>
    <w:p>
      <w:pPr>
        <w:spacing w:after="80" w:line="276" w:lineRule="auto"/>
      </w:pPr>
      <w:r>
        <w:rPr>
          <w:rFonts w:ascii="Calibri" w:hAnsi="Calibri"/>
          <w:color w:val="1E293B"/>
          <w:sz w:val="22"/>
        </w:rPr>
        <w:t>The slip or document issued by the relevant Designated Intermediary(ies) to a Bidder as proof of registration of the Bid cum Application Form</w:t>
      </w:r>
    </w:p>
    <w:p>
      <w:pPr>
        <w:spacing w:after="80" w:line="276" w:lineRule="auto"/>
      </w:pPr>
      <w:r>
        <w:rPr>
          <w:rFonts w:ascii="Calibri" w:hAnsi="Calibri"/>
          <w:color w:val="1E293B"/>
          <w:sz w:val="22"/>
        </w:rPr>
        <w:t>Allot/ Allotment/ Allotted</w:t>
      </w:r>
    </w:p>
    <w:p>
      <w:pPr>
        <w:spacing w:after="80" w:line="276" w:lineRule="auto"/>
      </w:pPr>
      <w:r>
        <w:rPr>
          <w:rFonts w:ascii="Calibri" w:hAnsi="Calibri"/>
          <w:color w:val="1E293B"/>
          <w:sz w:val="22"/>
        </w:rPr>
        <w:t>Unless the context otherwise requires, the allotment of the Equity Shares pursuant to the Fresh Issue and transfer of the Offered Shares by the Promoter Selling Shareholders pursuant to the</w:t>
      </w:r>
    </w:p>
    <w:p>
      <w:pPr>
        <w:spacing w:after="80" w:line="276" w:lineRule="auto"/>
      </w:pPr>
      <w:r>
        <w:rPr>
          <w:rFonts w:ascii="Calibri" w:hAnsi="Calibri"/>
          <w:color w:val="1E293B"/>
          <w:sz w:val="22"/>
        </w:rPr>
        <w:t>Offer for Sale to successful Bidders</w:t>
      </w:r>
    </w:p>
    <w:p>
      <w:pPr>
        <w:spacing w:after="80" w:line="276" w:lineRule="auto"/>
      </w:pPr>
      <w:r>
        <w:rPr>
          <w:rFonts w:ascii="Calibri" w:hAnsi="Calibri"/>
          <w:color w:val="1E293B"/>
          <w:sz w:val="22"/>
        </w:rPr>
        <w:t>Allotment Advice</w:t>
      </w:r>
    </w:p>
    <w:p>
      <w:pPr>
        <w:spacing w:after="80" w:line="276" w:lineRule="auto"/>
      </w:pPr>
      <w:r>
        <w:rPr>
          <w:rFonts w:ascii="Calibri" w:hAnsi="Calibri"/>
          <w:color w:val="1E293B"/>
          <w:sz w:val="22"/>
        </w:rPr>
        <w:t>Note or advice or intimation of Allotment sent to the Bidders who have been or are to be Allotted the Equity Shares after the Basis of Allotment has been approved by the Designated Stock Exchange</w:t>
      </w:r>
    </w:p>
    <w:p>
      <w:pPr>
        <w:spacing w:after="80" w:line="276" w:lineRule="auto"/>
      </w:pPr>
      <w:r>
        <w:rPr>
          <w:rFonts w:ascii="Calibri" w:hAnsi="Calibri"/>
          <w:color w:val="1E293B"/>
          <w:sz w:val="22"/>
        </w:rPr>
        <w:t>Allottee</w:t>
      </w:r>
    </w:p>
    <w:p>
      <w:pPr>
        <w:spacing w:after="80" w:line="276" w:lineRule="auto"/>
      </w:pPr>
      <w:r>
        <w:rPr>
          <w:rFonts w:ascii="Calibri" w:hAnsi="Calibri"/>
          <w:color w:val="1E293B"/>
          <w:sz w:val="22"/>
        </w:rPr>
        <w:t>A successful Bidder to whom the Equity Shares are Allotted</w:t>
      </w:r>
    </w:p>
    <w:p>
      <w:pPr>
        <w:spacing w:after="80" w:line="276" w:lineRule="auto"/>
      </w:pPr>
      <w:r>
        <w:rPr>
          <w:rFonts w:ascii="Calibri" w:hAnsi="Calibri"/>
          <w:color w:val="1E293B"/>
          <w:sz w:val="22"/>
        </w:rPr>
        <w:t>Anchor Investor</w:t>
      </w:r>
    </w:p>
    <w:p>
      <w:pPr>
        <w:spacing w:after="80" w:line="276" w:lineRule="auto"/>
      </w:pPr>
      <w:r>
        <w:rPr>
          <w:rFonts w:ascii="Calibri" w:hAnsi="Calibri"/>
          <w:color w:val="1E293B"/>
          <w:sz w:val="22"/>
        </w:rPr>
        <w:t>A Qualified Institutional Buyer, applying under the Anchor Investor Portion in accordance with the SEBI ICDR Regulations and this Red Herring Prospectus, and who has Bid for an amount of at least ₹100 million</w:t>
      </w:r>
    </w:p>
    <w:p>
      <w:pPr>
        <w:spacing w:after="80" w:line="276" w:lineRule="auto"/>
      </w:pPr>
      <w:r>
        <w:rPr>
          <w:rFonts w:ascii="Calibri" w:hAnsi="Calibri"/>
          <w:color w:val="1E293B"/>
          <w:sz w:val="22"/>
        </w:rPr>
        <w:t>Anchor Investor Allocation Price</w:t>
      </w:r>
    </w:p>
    <w:p>
      <w:pPr>
        <w:spacing w:after="80" w:line="276" w:lineRule="auto"/>
      </w:pPr>
      <w:r>
        <w:rPr>
          <w:rFonts w:ascii="Calibri" w:hAnsi="Calibri"/>
          <w:color w:val="1E293B"/>
          <w:sz w:val="22"/>
        </w:rPr>
        <w:t>The price at which Equity Shares will be allocated to Anchor Investors according to the terms of this Red Herring Prospectus and the Prospectus, Bluebird Capital LLP in consultation with the BRLMs on the Anchor Investor Bid/Offer Date</w:t>
      </w:r>
    </w:p>
    <w:p>
      <w:pPr>
        <w:spacing w:after="80" w:line="276" w:lineRule="auto"/>
      </w:pPr>
      <w:r>
        <w:rPr>
          <w:rFonts w:ascii="Calibri" w:hAnsi="Calibri"/>
          <w:color w:val="1E293B"/>
          <w:sz w:val="22"/>
        </w:rPr>
        <w:t>Anchor Investor Application Form</w:t>
      </w:r>
    </w:p>
    <w:p>
      <w:pPr>
        <w:spacing w:after="80" w:line="276" w:lineRule="auto"/>
      </w:pPr>
      <w:r>
        <w:rPr>
          <w:rFonts w:ascii="Calibri" w:hAnsi="Calibri"/>
          <w:color w:val="1E293B"/>
          <w:sz w:val="22"/>
        </w:rPr>
        <w:t>The application form used by an Anchor Investor to make a Bid in the Anchor Investor Portion, and which will be considered as an application for Allotment in terms of this Red Herring Prospectus and the Prospectus</w:t>
      </w:r>
    </w:p>
    <w:p>
      <w:pPr>
        <w:spacing w:after="80" w:line="276" w:lineRule="auto"/>
      </w:pPr>
      <w:r>
        <w:rPr>
          <w:rFonts w:ascii="Calibri" w:hAnsi="Calibri"/>
          <w:color w:val="1E293B"/>
          <w:sz w:val="22"/>
        </w:rPr>
        <w:t>Anchor Investor Bidding Date</w:t>
      </w:r>
    </w:p>
    <w:p>
      <w:pPr>
        <w:spacing w:after="80" w:line="276" w:lineRule="auto"/>
      </w:pPr>
      <w:r>
        <w:rPr>
          <w:rFonts w:ascii="Calibri" w:hAnsi="Calibri"/>
          <w:color w:val="1E293B"/>
          <w:sz w:val="22"/>
        </w:rPr>
        <w:t>The date, one Working Day prior to the Bid/ Offer Opening Date, on which Bids by Anchor Investors shall be submitted, prior to and after which BRLMs will not accept any Bids from</w:t>
      </w:r>
    </w:p>
    <w:p>
      <w:pPr>
        <w:spacing w:after="80" w:line="276" w:lineRule="auto"/>
      </w:pPr>
      <w:r>
        <w:rPr>
          <w:rFonts w:ascii="Calibri" w:hAnsi="Calibri"/>
          <w:color w:val="1E293B"/>
          <w:sz w:val="22"/>
        </w:rPr>
        <w:t>Anchor Investors, and allocation to Anchor Investors shall be completed</w:t>
      </w:r>
    </w:p>
    <w:p>
      <w:pPr>
        <w:spacing w:after="80" w:line="276" w:lineRule="auto"/>
      </w:pPr>
      <w:r>
        <w:rPr>
          <w:rFonts w:ascii="Calibri" w:hAnsi="Calibri"/>
          <w:color w:val="1E293B"/>
          <w:sz w:val="22"/>
        </w:rPr>
        <w:t>Term</w:t>
      </w:r>
    </w:p>
    <w:p>
      <w:pPr>
        <w:spacing w:after="80" w:line="276" w:lineRule="auto"/>
      </w:pPr>
      <w:r>
        <w:rPr>
          <w:rFonts w:ascii="Calibri" w:hAnsi="Calibri"/>
          <w:color w:val="1E293B"/>
          <w:sz w:val="22"/>
        </w:rPr>
        <w:t>Description</w:t>
      </w:r>
    </w:p>
    <w:p>
      <w:pPr>
        <w:spacing w:after="80" w:line="276" w:lineRule="auto"/>
      </w:pPr>
      <w:r>
        <w:rPr>
          <w:rFonts w:ascii="Calibri" w:hAnsi="Calibri"/>
          <w:color w:val="1E293B"/>
          <w:sz w:val="22"/>
        </w:rPr>
        <w:t>Anchor Investor Offer Price</w:t>
      </w:r>
    </w:p>
    <w:p>
      <w:pPr>
        <w:spacing w:after="80" w:line="276" w:lineRule="auto"/>
      </w:pPr>
      <w:r>
        <w:rPr>
          <w:rFonts w:ascii="Calibri" w:hAnsi="Calibri"/>
          <w:color w:val="1E293B"/>
          <w:sz w:val="22"/>
        </w:rPr>
        <w:t>The final price at which the Equity Shares will be issued and Allotted to Anchor Investors in terms of this Red Herring Prospectus and the Prospectus, which price will be equal to or higher than the Offer Price but not higher than the Cap Price.</w:t>
      </w:r>
    </w:p>
    <w:p>
      <w:pPr>
        <w:spacing w:after="80" w:line="276" w:lineRule="auto"/>
      </w:pPr>
      <w:r>
        <w:rPr>
          <w:rFonts w:ascii="Calibri" w:hAnsi="Calibri"/>
          <w:color w:val="1E293B"/>
          <w:sz w:val="22"/>
        </w:rPr>
        <w:t>The Anchor Investor Offer Acme Private Limited in consultation with the BRLMs</w:t>
      </w:r>
    </w:p>
    <w:p>
      <w:pPr>
        <w:spacing w:after="80" w:line="276" w:lineRule="auto"/>
      </w:pPr>
      <w:r>
        <w:rPr>
          <w:rFonts w:ascii="Calibri" w:hAnsi="Calibri"/>
          <w:color w:val="1E293B"/>
          <w:sz w:val="22"/>
        </w:rPr>
        <w:t>Anchor Investor Pay in-Date</w:t>
      </w:r>
    </w:p>
    <w:p>
      <w:pPr>
        <w:spacing w:after="80" w:line="276" w:lineRule="auto"/>
      </w:pPr>
      <w:r>
        <w:rPr>
          <w:rFonts w:ascii="Calibri" w:hAnsi="Calibri"/>
          <w:color w:val="1E293B"/>
          <w:sz w:val="22"/>
        </w:rPr>
        <w:t>With respect to Anchor Investor(s), it shall be the Anchor Investor Bidding Date, and in the event the Anchor Investor Allocation Price is lower than the Offer Price, not later than two Working Days after the Bid/Offer Closing Date</w:t>
      </w:r>
    </w:p>
    <w:p>
      <w:pPr>
        <w:spacing w:after="80" w:line="276" w:lineRule="auto"/>
      </w:pPr>
      <w:r>
        <w:rPr>
          <w:rFonts w:ascii="Calibri" w:hAnsi="Calibri"/>
          <w:color w:val="1E293B"/>
          <w:sz w:val="22"/>
        </w:rPr>
        <w:t>Anchor Investor Portion</w:t>
      </w:r>
    </w:p>
    <w:p>
      <w:pPr>
        <w:spacing w:after="80" w:line="276" w:lineRule="auto"/>
      </w:pPr>
      <w:r>
        <w:rPr>
          <w:rFonts w:ascii="Calibri" w:hAnsi="Calibri"/>
          <w:color w:val="1E293B"/>
          <w:sz w:val="22"/>
        </w:rPr>
        <w:t>Up to 60% of the QIB Portion, Northstar Technologies Ltd, in consultation with the BRLMs,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w:t>
      </w:r>
    </w:p>
    <w:p>
      <w:pPr>
        <w:spacing w:after="80" w:line="276" w:lineRule="auto"/>
      </w:pPr>
      <w:r>
        <w:rPr>
          <w:rFonts w:ascii="Calibri" w:hAnsi="Calibri"/>
          <w:color w:val="1E293B"/>
          <w:sz w:val="22"/>
        </w:rPr>
        <w:t>may be allocated to domestic Mutual Funds., in accordance with the SEBI ICDR Regulations</w:t>
      </w:r>
    </w:p>
    <w:p>
      <w:pPr>
        <w:spacing w:after="80" w:line="276" w:lineRule="auto"/>
      </w:pPr>
      <w:r>
        <w:rPr>
          <w:rFonts w:ascii="Calibri" w:hAnsi="Calibri"/>
          <w:color w:val="1E293B"/>
          <w:sz w:val="22"/>
        </w:rPr>
        <w:t>Application Supported by Blocked Amount/ ASBA</w:t>
      </w:r>
    </w:p>
    <w:p>
      <w:pPr>
        <w:spacing w:after="80" w:line="276" w:lineRule="auto"/>
      </w:pPr>
      <w:r>
        <w:rPr>
          <w:rFonts w:ascii="Calibri" w:hAnsi="Calibri"/>
          <w:color w:val="1E293B"/>
          <w:sz w:val="22"/>
        </w:rPr>
        <w:t>An application, whether physical or electronic, used by ASBA Bidders, to make a Bid and authorising an SCSB to block the Bid Amount in the relevant ASBA Account and will include applications made by UPI Bidders where the Bid Amount will be blocked upon acceptance of UPI</w:t>
      </w:r>
    </w:p>
    <w:p>
      <w:pPr>
        <w:spacing w:after="80" w:line="276" w:lineRule="auto"/>
      </w:pPr>
      <w:r>
        <w:rPr>
          <w:rFonts w:ascii="Calibri" w:hAnsi="Calibri"/>
          <w:color w:val="1E293B"/>
          <w:sz w:val="22"/>
        </w:rPr>
        <w:t>Mandate Request by the UPI Bidders</w:t>
      </w:r>
    </w:p>
    <w:p>
      <w:pPr>
        <w:spacing w:after="80" w:line="276" w:lineRule="auto"/>
      </w:pPr>
      <w:r>
        <w:rPr>
          <w:rFonts w:ascii="Calibri" w:hAnsi="Calibri"/>
          <w:color w:val="1E293B"/>
          <w:sz w:val="22"/>
        </w:rPr>
        <w:t>ASBA Account</w:t>
      </w:r>
    </w:p>
    <w:p>
      <w:pPr>
        <w:spacing w:after="80" w:line="276" w:lineRule="auto"/>
      </w:pPr>
      <w:r>
        <w:rPr>
          <w:rFonts w:ascii="Calibri" w:hAnsi="Calibri"/>
          <w:color w:val="1E293B"/>
          <w:sz w:val="22"/>
        </w:rPr>
        <w:t>A bank account maintained with an SCSB by an ASBA Bidder, as specified in the ASBA Form submitted by ASBA Bidders for blocking the Bid Amount mentioned in the relevant ASBA Form and includes the account of a UPI Bidder which is blocked upon acceptance of a UPI Mandate</w:t>
      </w:r>
    </w:p>
    <w:p>
      <w:pPr>
        <w:spacing w:after="80" w:line="276" w:lineRule="auto"/>
      </w:pPr>
      <w:r>
        <w:rPr>
          <w:rFonts w:ascii="Calibri" w:hAnsi="Calibri"/>
          <w:color w:val="1E293B"/>
          <w:sz w:val="22"/>
        </w:rPr>
        <w:t>Request made by the UPI Bidder</w:t>
      </w:r>
    </w:p>
    <w:p>
      <w:pPr>
        <w:spacing w:after="80" w:line="276" w:lineRule="auto"/>
      </w:pPr>
      <w:r>
        <w:rPr>
          <w:rFonts w:ascii="Calibri" w:hAnsi="Calibri"/>
          <w:color w:val="1E293B"/>
          <w:sz w:val="22"/>
        </w:rPr>
        <w:t>ASBA Bidders</w:t>
      </w:r>
    </w:p>
    <w:p>
      <w:pPr>
        <w:spacing w:after="80" w:line="276" w:lineRule="auto"/>
      </w:pPr>
      <w:r>
        <w:rPr>
          <w:rFonts w:ascii="Calibri" w:hAnsi="Calibri"/>
          <w:color w:val="1E293B"/>
          <w:sz w:val="22"/>
        </w:rPr>
        <w:t>All Bidders except Anchor Investors</w:t>
      </w:r>
    </w:p>
    <w:p>
      <w:pPr>
        <w:spacing w:after="80" w:line="276" w:lineRule="auto"/>
      </w:pPr>
      <w:r>
        <w:rPr>
          <w:rFonts w:ascii="Calibri" w:hAnsi="Calibri"/>
          <w:color w:val="1E293B"/>
          <w:sz w:val="22"/>
        </w:rPr>
        <w:t>ASBA Form</w:t>
      </w:r>
    </w:p>
    <w:p>
      <w:pPr>
        <w:spacing w:after="80" w:line="276" w:lineRule="auto"/>
      </w:pPr>
      <w:r>
        <w:rPr>
          <w:rFonts w:ascii="Calibri" w:hAnsi="Calibri"/>
          <w:color w:val="1E293B"/>
          <w:sz w:val="22"/>
        </w:rPr>
        <w:t>An application form, whether physical or electronic, used by ASBA Bidders to submit Bids which will be considered as the application for Allotment in terms of this Red Herring Prospectus and the Prospectus</w:t>
      </w:r>
    </w:p>
    <w:p>
      <w:pPr>
        <w:spacing w:after="80" w:line="276" w:lineRule="auto"/>
      </w:pPr>
      <w:r>
        <w:rPr>
          <w:rFonts w:ascii="Calibri" w:hAnsi="Calibri"/>
          <w:color w:val="1E293B"/>
          <w:sz w:val="22"/>
        </w:rPr>
        <w:t>ASM</w:t>
      </w:r>
    </w:p>
    <w:p>
      <w:pPr>
        <w:spacing w:after="80" w:line="276" w:lineRule="auto"/>
      </w:pPr>
      <w:r>
        <w:rPr>
          <w:rFonts w:ascii="Calibri" w:hAnsi="Calibri"/>
          <w:color w:val="1E293B"/>
          <w:sz w:val="22"/>
        </w:rPr>
        <w:t>Additional Surveillance Measure</w:t>
      </w:r>
    </w:p>
    <w:p>
      <w:pPr>
        <w:spacing w:after="80" w:line="276" w:lineRule="auto"/>
      </w:pPr>
      <w:r>
        <w:rPr>
          <w:rFonts w:ascii="Calibri" w:hAnsi="Calibri"/>
          <w:color w:val="1E293B"/>
          <w:sz w:val="22"/>
        </w:rPr>
        <w:t>Bankers to the Offer</w:t>
      </w:r>
    </w:p>
    <w:p>
      <w:pPr>
        <w:spacing w:after="80" w:line="276" w:lineRule="auto"/>
      </w:pPr>
      <w:r>
        <w:rPr>
          <w:rFonts w:ascii="Calibri" w:hAnsi="Calibri"/>
          <w:color w:val="1E293B"/>
          <w:sz w:val="22"/>
        </w:rPr>
        <w:t>Collectively, the Escrow Collection Bank, the Refund Bank, the Public Offer Account Bank and the Sponsor Banks</w:t>
      </w:r>
    </w:p>
    <w:p>
      <w:pPr>
        <w:spacing w:after="80" w:line="276" w:lineRule="auto"/>
      </w:pPr>
      <w:r>
        <w:rPr>
          <w:rFonts w:ascii="Calibri" w:hAnsi="Calibri"/>
          <w:color w:val="1E293B"/>
          <w:sz w:val="22"/>
        </w:rPr>
        <w:t>Basis of Allotment</w:t>
      </w:r>
    </w:p>
    <w:p>
      <w:pPr>
        <w:spacing w:after="80" w:line="276" w:lineRule="auto"/>
      </w:pPr>
      <w:r>
        <w:rPr>
          <w:rFonts w:ascii="Calibri" w:hAnsi="Calibri"/>
          <w:color w:val="1E293B"/>
          <w:sz w:val="22"/>
        </w:rPr>
        <w:t>Basis on which Equity Shares will be Allotted to successful Bidders under the Offer, as described in “Offer Procedure” on page 420</w:t>
      </w:r>
    </w:p>
    <w:p>
      <w:pPr>
        <w:spacing w:after="80" w:line="276" w:lineRule="auto"/>
      </w:pPr>
      <w:r>
        <w:rPr>
          <w:rFonts w:ascii="Calibri" w:hAnsi="Calibri"/>
          <w:color w:val="1E293B"/>
          <w:sz w:val="22"/>
        </w:rPr>
        <w:t>Bid</w:t>
      </w:r>
    </w:p>
    <w:p>
      <w:pPr>
        <w:spacing w:after="80" w:line="276" w:lineRule="auto"/>
      </w:pPr>
      <w:r>
        <w:rPr>
          <w:rFonts w:ascii="Calibri" w:hAnsi="Calibri"/>
          <w:color w:val="1E293B"/>
          <w:sz w:val="22"/>
        </w:rPr>
        <w:t>An indication to make an offer during the Bid/Offer Period by an ASBA Bidder pursuant to submission of the ASBA Form, or on the Anchor Investor Bidding Date by an Anchor Investor pursuant to submission of the Anchor Investor Application Form, to subscribe to or purchase the Equity Shares at a price within the Price Band, including all revisions and modifications thereto as permitted under the SEBI ICDR Regulations. The term “Bidding” shall be construed</w:t>
      </w:r>
    </w:p>
    <w:p>
      <w:pPr>
        <w:spacing w:after="80" w:line="276" w:lineRule="auto"/>
      </w:pPr>
      <w:r>
        <w:rPr>
          <w:rFonts w:ascii="Calibri" w:hAnsi="Calibri"/>
          <w:color w:val="1E293B"/>
          <w:sz w:val="22"/>
        </w:rPr>
        <w:t>accordingly</w:t>
      </w:r>
    </w:p>
    <w:p>
      <w:pPr>
        <w:spacing w:after="80" w:line="276" w:lineRule="auto"/>
      </w:pPr>
      <w:r>
        <w:rPr>
          <w:rFonts w:ascii="Calibri" w:hAnsi="Calibri"/>
          <w:color w:val="1E293B"/>
          <w:sz w:val="22"/>
        </w:rPr>
        <w:t>Bid Amount</w:t>
      </w:r>
    </w:p>
    <w:p>
      <w:pPr>
        <w:spacing w:after="80" w:line="276" w:lineRule="auto"/>
      </w:pPr>
      <w:r>
        <w:rPr>
          <w:rFonts w:ascii="Calibri" w:hAnsi="Calibri"/>
          <w:color w:val="1E293B"/>
          <w:sz w:val="22"/>
        </w:rPr>
        <w:t>The highest value of optional Bids indicated in the Bid cum Application Form and payable by the Bidder and, in the case of RIIs Bidding at the Cut off Price, the Cap Price multiplied by the number of Equity Shares Bid for by such RIIs and mentioned in the Bid cum Application Form and payable by the Bidder or blocked in the ASBA Account of the ASBA Bidders, as the case maybe, upon</w:t>
      </w:r>
    </w:p>
    <w:p>
      <w:pPr>
        <w:spacing w:after="80" w:line="276" w:lineRule="auto"/>
      </w:pPr>
      <w:r>
        <w:rPr>
          <w:rFonts w:ascii="Calibri" w:hAnsi="Calibri"/>
          <w:color w:val="1E293B"/>
          <w:sz w:val="22"/>
        </w:rPr>
        <w:t>submission of the Bid in the Offer, as applicable</w:t>
      </w:r>
    </w:p>
    <w:p>
      <w:pPr>
        <w:spacing w:after="80" w:line="276" w:lineRule="auto"/>
      </w:pPr>
      <w:r>
        <w:rPr>
          <w:rFonts w:ascii="Calibri" w:hAnsi="Calibri"/>
          <w:color w:val="1E293B"/>
          <w:sz w:val="22"/>
        </w:rPr>
        <w:t>Bid cum Application Form</w:t>
      </w:r>
    </w:p>
    <w:p>
      <w:pPr>
        <w:spacing w:after="80" w:line="276" w:lineRule="auto"/>
      </w:pPr>
      <w:r>
        <w:rPr>
          <w:rFonts w:ascii="Calibri" w:hAnsi="Calibri"/>
          <w:color w:val="1E293B"/>
          <w:sz w:val="22"/>
        </w:rPr>
        <w:t>The Anchor Investor Application Form or the ASBA Form, as the context requires.</w:t>
      </w:r>
    </w:p>
    <w:p>
      <w:pPr>
        <w:spacing w:after="80" w:line="276" w:lineRule="auto"/>
      </w:pPr>
      <w:r>
        <w:rPr>
          <w:rFonts w:ascii="Calibri" w:hAnsi="Calibri"/>
          <w:color w:val="1E293B"/>
          <w:sz w:val="22"/>
        </w:rPr>
        <w:t>Bid Lot</w:t>
      </w:r>
    </w:p>
    <w:p>
      <w:pPr>
        <w:spacing w:after="80" w:line="276" w:lineRule="auto"/>
      </w:pPr>
      <w:r>
        <w:rPr>
          <w:rFonts w:ascii="Calibri" w:hAnsi="Calibri"/>
          <w:color w:val="1E293B"/>
          <w:sz w:val="22"/>
        </w:rPr>
        <w:t>[●] Equity Shares of face value of ₹5 each and in multiples of [●] Equity Shares of face value of</w:t>
      </w:r>
    </w:p>
    <w:p>
      <w:pPr>
        <w:spacing w:after="80" w:line="276" w:lineRule="auto"/>
      </w:pPr>
      <w:r>
        <w:rPr>
          <w:rFonts w:ascii="Calibri" w:hAnsi="Calibri"/>
          <w:color w:val="1E293B"/>
          <w:sz w:val="22"/>
        </w:rPr>
        <w:t>₹5 each thereafter</w:t>
      </w:r>
    </w:p>
    <w:p>
      <w:pPr>
        <w:spacing w:after="80" w:line="276" w:lineRule="auto"/>
      </w:pPr>
      <w:r>
        <w:rPr>
          <w:rFonts w:ascii="Calibri" w:hAnsi="Calibri"/>
          <w:color w:val="1E293B"/>
          <w:sz w:val="22"/>
        </w:rPr>
        <w:t>Bid/Offer Closing Date</w:t>
      </w:r>
    </w:p>
    <w:p>
      <w:pPr>
        <w:spacing w:after="80" w:line="276" w:lineRule="auto"/>
      </w:pPr>
      <w:r>
        <w:rPr>
          <w:rFonts w:ascii="Calibri" w:hAnsi="Calibri"/>
          <w:color w:val="1E293B"/>
          <w:sz w:val="22"/>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spacing w:after="80" w:line="276" w:lineRule="auto"/>
      </w:pPr>
      <w:r>
        <w:rPr>
          <w:rFonts w:ascii="Calibri" w:hAnsi="Calibri"/>
          <w:color w:val="1E293B"/>
          <w:sz w:val="22"/>
        </w:rPr>
        <w:t>Northstar Technologies Ltd,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 and at the terminals of the Syndicate Members, which shall also be notified in an</w:t>
      </w:r>
    </w:p>
    <w:p>
      <w:pPr>
        <w:spacing w:after="80" w:line="276" w:lineRule="auto"/>
      </w:pPr>
      <w:r>
        <w:rPr>
          <w:rFonts w:ascii="Calibri" w:hAnsi="Calibri"/>
          <w:color w:val="1E293B"/>
          <w:sz w:val="22"/>
        </w:rPr>
        <w:t>advertisement in same newspapers in which the Bid/ Offer Opening Date was published, as required under the SEBI ICDR Regulations</w:t>
      </w:r>
    </w:p>
    <w:p>
      <w:pPr>
        <w:spacing w:after="80" w:line="276" w:lineRule="auto"/>
      </w:pPr>
      <w:r>
        <w:rPr>
          <w:rFonts w:ascii="Calibri" w:hAnsi="Calibri"/>
          <w:color w:val="1E293B"/>
          <w:sz w:val="22"/>
        </w:rPr>
        <w:t>Bid/Offer Opening Date</w:t>
      </w:r>
    </w:p>
    <w:p>
      <w:pPr>
        <w:spacing w:after="80" w:line="276" w:lineRule="auto"/>
      </w:pPr>
      <w:r>
        <w:rPr>
          <w:rFonts w:ascii="Calibri" w:hAnsi="Calibri"/>
          <w:color w:val="1E293B"/>
          <w:sz w:val="22"/>
        </w:rPr>
        <w:t>Except in relation to any Bids received from the Anchor Investors, the date on which the Designated Intermediaries shall start accepting Bids, being December 16, 2025, which shall be published in all editions of Financial Express (a widely circulated English national daily</w:t>
      </w:r>
    </w:p>
    <w:p>
      <w:pPr>
        <w:spacing w:after="80" w:line="276" w:lineRule="auto"/>
      </w:pPr>
      <w:r>
        <w:rPr>
          <w:rFonts w:ascii="Calibri" w:hAnsi="Calibri"/>
          <w:color w:val="1E293B"/>
          <w:sz w:val="22"/>
        </w:rPr>
        <w:t>Term</w:t>
      </w:r>
    </w:p>
    <w:p>
      <w:pPr>
        <w:spacing w:after="80" w:line="276" w:lineRule="auto"/>
      </w:pPr>
      <w:r>
        <w:rPr>
          <w:rFonts w:ascii="Calibri" w:hAnsi="Calibri"/>
          <w:color w:val="1E293B"/>
          <w:sz w:val="22"/>
        </w:rPr>
        <w:t>Description</w:t>
      </w:r>
    </w:p>
    <w:p>
      <w:pPr>
        <w:spacing w:after="80" w:line="276" w:lineRule="auto"/>
      </w:pPr>
      <w:r>
        <w:rPr>
          <w:rFonts w:ascii="Calibri" w:hAnsi="Calibri"/>
          <w:color w:val="1E293B"/>
          <w:sz w:val="22"/>
        </w:rPr>
        <w:t>newspaper), all editions of Jansatta (a widely circulated Hindi national daily newspaper), and Pune edition of Loksatta (a widely circulated Marathi daily newspaper, Marathi being the regional</w:t>
      </w:r>
    </w:p>
    <w:p>
      <w:pPr>
        <w:spacing w:after="80" w:line="276" w:lineRule="auto"/>
      </w:pPr>
      <w:r>
        <w:rPr>
          <w:rFonts w:ascii="Calibri" w:hAnsi="Calibri"/>
          <w:color w:val="1E293B"/>
          <w:sz w:val="22"/>
        </w:rPr>
        <w:t>language of Maharashtra, where our Registered Office is located)</w:t>
      </w:r>
    </w:p>
    <w:p>
      <w:pPr>
        <w:spacing w:after="80" w:line="276" w:lineRule="auto"/>
      </w:pPr>
      <w:r>
        <w:rPr>
          <w:rFonts w:ascii="Calibri" w:hAnsi="Calibri"/>
          <w:color w:val="1E293B"/>
          <w:sz w:val="22"/>
        </w:rPr>
        <w:t>Bid/ Offer Period</w:t>
      </w:r>
    </w:p>
    <w:p>
      <w:pPr>
        <w:spacing w:after="80" w:line="276" w:lineRule="auto"/>
      </w:pPr>
      <w:r>
        <w:rPr>
          <w:rFonts w:ascii="Calibri" w:hAnsi="Calibri"/>
          <w:color w:val="1E293B"/>
          <w:sz w:val="22"/>
        </w:rPr>
        <w:t>Except in relation to Bids by Anchor Investors, the period between the Bid/Offer Opening Date and the Bid/Offer Closing Date, inclusive of both days, during which prospective Bidders can submit their Bids, including any revisions thereof, in accordance with the SEBI ICDR Regulations and in terms of this Red Herring Prospectus. Provided that the Bidding shall be kept open for a minimum of three Working Days for all categories of Bidders, other than Anchor Investors</w:t>
      </w:r>
    </w:p>
    <w:p>
      <w:pPr>
        <w:spacing w:after="80" w:line="276" w:lineRule="auto"/>
      </w:pPr>
      <w:r>
        <w:rPr>
          <w:rFonts w:ascii="Calibri" w:hAnsi="Calibri"/>
          <w:color w:val="1E293B"/>
          <w:sz w:val="22"/>
        </w:rPr>
        <w:t>In cases of force majeure, banking strike or similar unforeseen circumstances, Bluebird Capital LLP may, for reasons to be recorded in writing, extend the Bid/Offer Period for a minimum of one Working Day, subject to the Bid/Offer Period not exceeding 10 Working Days</w:t>
      </w:r>
    </w:p>
    <w:p>
      <w:pPr>
        <w:spacing w:after="80" w:line="276" w:lineRule="auto"/>
      </w:pPr>
      <w:r>
        <w:rPr>
          <w:rFonts w:ascii="Calibri" w:hAnsi="Calibri"/>
          <w:color w:val="1E293B"/>
          <w:sz w:val="22"/>
        </w:rPr>
        <w:t>Bidder</w:t>
      </w:r>
    </w:p>
    <w:p>
      <w:pPr>
        <w:spacing w:after="80" w:line="276" w:lineRule="auto"/>
      </w:pPr>
      <w:r>
        <w:rPr>
          <w:rFonts w:ascii="Calibri" w:hAnsi="Calibri"/>
          <w:color w:val="1E293B"/>
          <w:sz w:val="22"/>
        </w:rPr>
        <w:t>Any prospective investor who makes a Bid pursuant to the terms of this Red Herring Prospectus</w:t>
      </w:r>
    </w:p>
    <w:p>
      <w:pPr>
        <w:spacing w:after="80" w:line="276" w:lineRule="auto"/>
      </w:pPr>
      <w:r>
        <w:rPr>
          <w:rFonts w:ascii="Calibri" w:hAnsi="Calibri"/>
          <w:color w:val="1E293B"/>
          <w:sz w:val="22"/>
        </w:rPr>
        <w:t>and the Bid cum Application Form and unless otherwise stated or implied, includes an Anchor Investor</w:t>
      </w:r>
    </w:p>
    <w:p>
      <w:pPr>
        <w:spacing w:after="80" w:line="276" w:lineRule="auto"/>
      </w:pPr>
      <w:r>
        <w:rPr>
          <w:rFonts w:ascii="Calibri" w:hAnsi="Calibri"/>
          <w:color w:val="1E293B"/>
          <w:sz w:val="22"/>
        </w:rPr>
        <w:t>Bidding Centres</w:t>
      </w:r>
    </w:p>
    <w:p>
      <w:pPr>
        <w:spacing w:after="80" w:line="276" w:lineRule="auto"/>
      </w:pPr>
      <w:r>
        <w:rPr>
          <w:rFonts w:ascii="Calibri" w:hAnsi="Calibri"/>
          <w:color w:val="1E293B"/>
          <w:sz w:val="22"/>
        </w:rPr>
        <w:t>Centres at which the Designated Intermediaries shall accept the ASBA Forms, i.e., Designated</w:t>
      </w:r>
    </w:p>
    <w:p>
      <w:pPr>
        <w:spacing w:after="80" w:line="276" w:lineRule="auto"/>
      </w:pPr>
      <w:r>
        <w:rPr>
          <w:rFonts w:ascii="Calibri" w:hAnsi="Calibri"/>
          <w:color w:val="1E293B"/>
          <w:sz w:val="22"/>
        </w:rPr>
        <w:t>SCSB Branches for SCSBs, Specified Locations for Syndicate, Broker Centres for Registered Brokers, Designated RTA Locations for RTAs and Designated CDP Locations for CDPs</w:t>
      </w:r>
    </w:p>
    <w:p>
      <w:pPr>
        <w:spacing w:after="80" w:line="276" w:lineRule="auto"/>
      </w:pPr>
      <w:r>
        <w:rPr>
          <w:rFonts w:ascii="Calibri" w:hAnsi="Calibri"/>
          <w:color w:val="1E293B"/>
          <w:sz w:val="22"/>
        </w:rPr>
        <w:t>Book Building Process</w:t>
      </w:r>
    </w:p>
    <w:p>
      <w:pPr>
        <w:spacing w:after="80" w:line="276" w:lineRule="auto"/>
      </w:pPr>
      <w:r>
        <w:rPr>
          <w:rFonts w:ascii="Calibri" w:hAnsi="Calibri"/>
          <w:color w:val="1E293B"/>
          <w:sz w:val="22"/>
        </w:rPr>
        <w:t>Book building process, as provided in Schedule XIII of the SEBI ICDR Regulations, in terms of which the Offer is being made</w:t>
      </w:r>
    </w:p>
    <w:p>
      <w:pPr>
        <w:spacing w:after="80" w:line="276" w:lineRule="auto"/>
      </w:pPr>
      <w:r>
        <w:rPr>
          <w:rFonts w:ascii="Calibri" w:hAnsi="Calibri"/>
          <w:color w:val="1E293B"/>
          <w:sz w:val="22"/>
        </w:rPr>
        <w:t>BookRunningLeadManagers/ BRLMs/Managers</w:t>
      </w:r>
    </w:p>
    <w:p>
      <w:pPr>
        <w:spacing w:after="80" w:line="276" w:lineRule="auto"/>
      </w:pPr>
      <w:r>
        <w:rPr>
          <w:rFonts w:ascii="Calibri" w:hAnsi="Calibri"/>
          <w:color w:val="1E293B"/>
          <w:sz w:val="22"/>
        </w:rPr>
        <w:t>The book running lead managers to the Offer namely, Acme Private Limited Bluebird Capital LLP</w:t>
      </w:r>
    </w:p>
    <w:p>
      <w:pPr>
        <w:spacing w:after="80" w:line="276" w:lineRule="auto"/>
      </w:pPr>
      <w:r>
        <w:rPr>
          <w:rFonts w:ascii="Calibri" w:hAnsi="Calibri"/>
          <w:color w:val="1E293B"/>
          <w:sz w:val="22"/>
        </w:rPr>
        <w:t>Broker Centres</w:t>
      </w:r>
    </w:p>
    <w:p>
      <w:pPr>
        <w:spacing w:after="80" w:line="276" w:lineRule="auto"/>
      </w:pPr>
      <w:r>
        <w:rPr>
          <w:rFonts w:ascii="Calibri" w:hAnsi="Calibri"/>
          <w:color w:val="1E293B"/>
          <w:sz w:val="22"/>
        </w:rPr>
        <w:t>Broker centres of the Registered Brokers where ASBA Bidders can submit the ASBA Forms, provided that UPI Bidders may only submit ASBA Forms at such broker centres if they are Bidding using the UPI Mechanism. The details of such broker centres, along with the names and contact Ananya Sharma Brokers, are available on the respective websites of the Stock</w:t>
      </w:r>
    </w:p>
    <w:p>
      <w:pPr>
        <w:spacing w:after="80" w:line="276" w:lineRule="auto"/>
      </w:pPr>
      <w:r>
        <w:rPr>
          <w:rFonts w:ascii="Calibri" w:hAnsi="Calibri"/>
          <w:color w:val="1E293B"/>
          <w:sz w:val="22"/>
        </w:rPr>
        <w:t>Exchanges (www.bseindia.com and www.nseindia.com)</w:t>
      </w:r>
    </w:p>
    <w:p>
      <w:pPr>
        <w:spacing w:after="80" w:line="276" w:lineRule="auto"/>
      </w:pPr>
      <w:r>
        <w:rPr>
          <w:rFonts w:ascii="Calibri" w:hAnsi="Calibri"/>
          <w:color w:val="1E293B"/>
          <w:sz w:val="22"/>
        </w:rPr>
        <w:t>CAN/ Confirmation of Allocation Note</w:t>
      </w:r>
    </w:p>
    <w:p>
      <w:pPr>
        <w:spacing w:after="80" w:line="276" w:lineRule="auto"/>
      </w:pPr>
      <w:r>
        <w:rPr>
          <w:rFonts w:ascii="Calibri" w:hAnsi="Calibri"/>
          <w:color w:val="1E293B"/>
          <w:sz w:val="22"/>
        </w:rPr>
        <w:t>Notice or intimation of allocation of the Equity Shares sent to Anchor Investors, who have been allocated the Equity Shares, on/after the Anchor Investor Bidding Date</w:t>
      </w:r>
    </w:p>
    <w:p>
      <w:pPr>
        <w:spacing w:after="80" w:line="276" w:lineRule="auto"/>
      </w:pPr>
      <w:r>
        <w:rPr>
          <w:rFonts w:ascii="Calibri" w:hAnsi="Calibri"/>
          <w:color w:val="1E293B"/>
          <w:sz w:val="22"/>
        </w:rPr>
        <w:t>Cap Price</w:t>
      </w:r>
    </w:p>
    <w:p>
      <w:pPr>
        <w:spacing w:after="80" w:line="276" w:lineRule="auto"/>
      </w:pPr>
      <w:r>
        <w:rPr>
          <w:rFonts w:ascii="Calibri" w:hAnsi="Calibri"/>
          <w:color w:val="1E293B"/>
          <w:sz w:val="22"/>
        </w:rPr>
        <w:t>The higher end of the Price Band, above which the Offer Price and the Anchor Investor Offer Price will not be finalised and above which no Bids will be accepted, including any revisions thereof. The Cap Price shall be at least 105% of the Floor Price and shall not be more than 120% of the Floor Price</w:t>
      </w:r>
    </w:p>
    <w:p>
      <w:pPr>
        <w:spacing w:after="80" w:line="276" w:lineRule="auto"/>
      </w:pPr>
      <w:r>
        <w:rPr>
          <w:rFonts w:ascii="Calibri" w:hAnsi="Calibri"/>
          <w:color w:val="1E293B"/>
          <w:sz w:val="22"/>
        </w:rPr>
        <w:t>Cash Escrow and Sponsor Banks Agreement</w:t>
      </w:r>
    </w:p>
    <w:p>
      <w:pPr>
        <w:spacing w:after="80" w:line="276" w:lineRule="auto"/>
      </w:pPr>
      <w:r>
        <w:rPr>
          <w:rFonts w:ascii="Calibri" w:hAnsi="Calibri"/>
          <w:color w:val="1E293B"/>
          <w:sz w:val="22"/>
        </w:rPr>
        <w:t>Agreement dated December 9, 2025 Acme Private Limited, the Promoter Selling Shareholders, the Registrar to the Offer, the Book Running Lead Managers, the Syndicate Members and the Bankers to the Offer in accordance with UPI Circulars, for inter alia, the appointment of the Bankers to the Offer for the collection of the Bid Amounts from Anchor Investors, transfer of funds to the Public Offer Account and where applicable, refunds of the</w:t>
      </w:r>
    </w:p>
    <w:p>
      <w:pPr>
        <w:spacing w:after="80" w:line="276" w:lineRule="auto"/>
      </w:pPr>
      <w:r>
        <w:rPr>
          <w:rFonts w:ascii="Calibri" w:hAnsi="Calibri"/>
          <w:color w:val="1E293B"/>
          <w:sz w:val="22"/>
        </w:rPr>
        <w:t>amounts collected from Bidders, on the terms and conditions thereof</w:t>
      </w:r>
    </w:p>
    <w:p>
      <w:pPr>
        <w:spacing w:after="80" w:line="276" w:lineRule="auto"/>
      </w:pPr>
      <w:r>
        <w:rPr>
          <w:rFonts w:ascii="Calibri" w:hAnsi="Calibri"/>
          <w:color w:val="1E293B"/>
          <w:sz w:val="22"/>
        </w:rPr>
        <w:t>Client ID</w:t>
      </w:r>
    </w:p>
    <w:p>
      <w:pPr>
        <w:spacing w:after="80" w:line="276" w:lineRule="auto"/>
      </w:pPr>
      <w:r>
        <w:rPr>
          <w:rFonts w:ascii="Calibri" w:hAnsi="Calibri"/>
          <w:color w:val="1E293B"/>
          <w:sz w:val="22"/>
        </w:rPr>
        <w:t>Client Maya Rao one of the Depositories in relation to the Bidder’s beneficiary account</w:t>
      </w:r>
    </w:p>
    <w:p>
      <w:pPr>
        <w:spacing w:after="80" w:line="276" w:lineRule="auto"/>
      </w:pPr>
      <w:r>
        <w:rPr>
          <w:rFonts w:ascii="Calibri" w:hAnsi="Calibri"/>
          <w:color w:val="1E293B"/>
          <w:sz w:val="22"/>
        </w:rPr>
        <w:t>Collecting Depository Participant/ CDP</w:t>
      </w:r>
    </w:p>
    <w:p>
      <w:pPr>
        <w:spacing w:after="80" w:line="276" w:lineRule="auto"/>
      </w:pPr>
      <w:r>
        <w:rPr>
          <w:rFonts w:ascii="Calibri" w:hAnsi="Calibri"/>
          <w:color w:val="1E293B"/>
          <w:sz w:val="22"/>
        </w:rPr>
        <w:t>A depository participant as defined under the Depositories Act, registered with SEBI and who is eligible to procure Bids at the Designated CDP Locations in terms of circular no. CIR/CFD/POLICYCELL/11/2015 dated November 10, 2015 (to the extent not rescinded by the SEBI ICDR Master Circular in relation to the SEBI ICDR Regulations), issued by SEBI and other applicable circulars issued by SEBI as per the lists available on the websites of the Stock</w:t>
      </w:r>
    </w:p>
    <w:p>
      <w:pPr>
        <w:spacing w:after="80" w:line="276" w:lineRule="auto"/>
      </w:pPr>
      <w:r>
        <w:rPr>
          <w:rFonts w:ascii="Calibri" w:hAnsi="Calibri"/>
          <w:color w:val="1E293B"/>
          <w:sz w:val="22"/>
        </w:rPr>
        <w:t>Exchanges at www.bseindia.com and www.nseindia.com, as updated from time to time</w:t>
      </w:r>
    </w:p>
    <w:p>
      <w:pPr>
        <w:spacing w:after="80" w:line="276" w:lineRule="auto"/>
      </w:pPr>
      <w:r>
        <w:rPr>
          <w:rFonts w:ascii="Calibri" w:hAnsi="Calibri"/>
          <w:color w:val="1E293B"/>
          <w:sz w:val="22"/>
        </w:rPr>
        <w:t>Cut-off Price</w:t>
      </w:r>
    </w:p>
    <w:p>
      <w:pPr>
        <w:spacing w:after="80" w:line="276" w:lineRule="auto"/>
      </w:pPr>
      <w:r>
        <w:rPr>
          <w:rFonts w:ascii="Calibri" w:hAnsi="Calibri"/>
          <w:color w:val="1E293B"/>
          <w:sz w:val="22"/>
        </w:rPr>
        <w:t>Offer Price, Northstar Technologies Ltd, in consultation with the BRLMs, which shall be any price within the Price Band.</w:t>
      </w:r>
    </w:p>
    <w:p>
      <w:pPr>
        <w:spacing w:after="80" w:line="276" w:lineRule="auto"/>
      </w:pPr>
      <w:r>
        <w:rPr>
          <w:rFonts w:ascii="Calibri" w:hAnsi="Calibri"/>
          <w:color w:val="1E293B"/>
          <w:sz w:val="22"/>
        </w:rPr>
        <w:t>Only Retail Individual Investors Bidding in the Retail Portion are entitled to Bid at the Cut-off</w:t>
      </w:r>
    </w:p>
    <w:p>
      <w:pPr>
        <w:spacing w:after="80" w:line="276" w:lineRule="auto"/>
      </w:pPr>
      <w:r>
        <w:rPr>
          <w:rFonts w:ascii="Calibri" w:hAnsi="Calibri"/>
          <w:color w:val="1E293B"/>
          <w:sz w:val="22"/>
        </w:rPr>
        <w:t>Price. QIBs (including Anchor Investors) and Non-Institutional Investors are not entitled to Bid at the Cut-off Price</w:t>
      </w:r>
    </w:p>
    <w:p>
      <w:pPr>
        <w:spacing w:after="80" w:line="276" w:lineRule="auto"/>
      </w:pPr>
      <w:r>
        <w:rPr>
          <w:rFonts w:ascii="Calibri" w:hAnsi="Calibri"/>
          <w:color w:val="1E293B"/>
          <w:sz w:val="22"/>
        </w:rPr>
        <w:t>Demographic Details</w:t>
      </w:r>
    </w:p>
    <w:p>
      <w:pPr>
        <w:spacing w:after="80" w:line="276" w:lineRule="auto"/>
      </w:pPr>
      <w:r>
        <w:rPr>
          <w:rFonts w:ascii="Calibri" w:hAnsi="Calibri"/>
          <w:color w:val="1E293B"/>
          <w:sz w:val="22"/>
        </w:rPr>
        <w:t>Details of the Bidders including the Bidder’s address, name John Doe’s father/husband, investor status, occupation and bank account details and UPI ID, where applicable</w:t>
      </w:r>
    </w:p>
    <w:p>
      <w:pPr>
        <w:spacing w:after="80" w:line="276" w:lineRule="auto"/>
      </w:pPr>
      <w:r>
        <w:rPr>
          <w:rFonts w:ascii="Calibri" w:hAnsi="Calibri"/>
          <w:color w:val="1E293B"/>
          <w:sz w:val="22"/>
        </w:rPr>
        <w:t>Designated CDP Locations</w:t>
      </w:r>
    </w:p>
    <w:p>
      <w:pPr>
        <w:spacing w:after="80" w:line="276" w:lineRule="auto"/>
      </w:pPr>
      <w:r>
        <w:rPr>
          <w:rFonts w:ascii="Calibri" w:hAnsi="Calibri"/>
          <w:color w:val="1E293B"/>
          <w:sz w:val="22"/>
        </w:rPr>
        <w:t>Such locations of the CDPs where Bidders (other than Anchor Investors) can submit the ASBA Forms. The details of such Designated CDP Locations, along with names and contact Peter Parker Depository Participants eligible to accept ASBA Forms are available on the</w:t>
      </w:r>
    </w:p>
    <w:p>
      <w:pPr>
        <w:spacing w:after="80" w:line="276" w:lineRule="auto"/>
      </w:pPr>
      <w:r>
        <w:rPr>
          <w:rFonts w:ascii="Calibri" w:hAnsi="Calibri"/>
          <w:color w:val="1E293B"/>
          <w:sz w:val="22"/>
        </w:rPr>
        <w:t>respective websites of the Stock Exchanges at www.bseindia.com and www.nseindia.com and updated from time to time</w:t>
      </w:r>
    </w:p>
    <w:p>
      <w:pPr>
        <w:spacing w:after="80" w:line="276" w:lineRule="auto"/>
      </w:pPr>
      <w:r>
        <w:rPr>
          <w:rFonts w:ascii="Calibri" w:hAnsi="Calibri"/>
          <w:color w:val="1E293B"/>
          <w:sz w:val="22"/>
        </w:rPr>
        <w:t>Designated Date</w:t>
      </w:r>
    </w:p>
    <w:p>
      <w:pPr>
        <w:spacing w:after="80" w:line="276" w:lineRule="auto"/>
      </w:pPr>
      <w:r>
        <w:rPr>
          <w:rFonts w:ascii="Calibri" w:hAnsi="Calibri"/>
          <w:color w:val="1E293B"/>
          <w:sz w:val="22"/>
        </w:rPr>
        <w:t>The date on which funds are transferred from the Escrow Accounts and the amounts blocked are transferred from the ASBA Accounts, as the case may be, to the Public Offer Account or the Refund Account, as appropriate, in terms of this Red Herring Prospectus and the Prospectus, after</w:t>
      </w:r>
    </w:p>
    <w:p>
      <w:pPr>
        <w:spacing w:after="80" w:line="276" w:lineRule="auto"/>
      </w:pPr>
      <w:r>
        <w:rPr>
          <w:rFonts w:ascii="Calibri" w:hAnsi="Calibri"/>
          <w:color w:val="1E293B"/>
          <w:sz w:val="22"/>
        </w:rPr>
        <w:t>finalisation of the Basis of Allotment in consultation with the Designated Stock Exchange, following which Equity Shares may be Allotted to successful Bidders in the Offer</w:t>
      </w:r>
    </w:p>
    <w:p>
      <w:pPr>
        <w:spacing w:after="80" w:line="276" w:lineRule="auto"/>
      </w:pPr>
      <w:r>
        <w:rPr>
          <w:rFonts w:ascii="Calibri" w:hAnsi="Calibri"/>
          <w:color w:val="1E293B"/>
          <w:sz w:val="22"/>
        </w:rPr>
        <w:t>Designated Intermediaries</w:t>
      </w:r>
    </w:p>
    <w:p>
      <w:pPr>
        <w:spacing w:after="80" w:line="276" w:lineRule="auto"/>
      </w:pPr>
      <w:r>
        <w:rPr>
          <w:rFonts w:ascii="Calibri" w:hAnsi="Calibri"/>
          <w:color w:val="1E293B"/>
          <w:sz w:val="22"/>
        </w:rPr>
        <w:t>In relation to ASBA Forms submitted by UPI Bidders (not using the UPI Mechanism) authorizing an SCSB to block the Bid Amount in the ASBA Account, Designated Intermediaries shall mean SCSBs.</w:t>
      </w:r>
    </w:p>
    <w:p>
      <w:pPr>
        <w:spacing w:after="80" w:line="276" w:lineRule="auto"/>
      </w:pPr>
      <w:r>
        <w:rPr>
          <w:rFonts w:ascii="Calibri" w:hAnsi="Calibri"/>
          <w:color w:val="1E293B"/>
          <w:sz w:val="22"/>
        </w:rPr>
        <w:t>Term</w:t>
      </w:r>
    </w:p>
    <w:p>
      <w:pPr>
        <w:spacing w:after="80" w:line="276" w:lineRule="auto"/>
      </w:pPr>
      <w:r>
        <w:rPr>
          <w:rFonts w:ascii="Calibri" w:hAnsi="Calibri"/>
          <w:color w:val="1E293B"/>
          <w:sz w:val="22"/>
        </w:rPr>
        <w:t>Description</w:t>
      </w:r>
    </w:p>
    <w:p>
      <w:pPr>
        <w:spacing w:after="80" w:line="276" w:lineRule="auto"/>
      </w:pPr>
      <w:r>
        <w:rPr>
          <w:rFonts w:ascii="Calibri" w:hAnsi="Calibri"/>
          <w:color w:val="1E293B"/>
          <w:sz w:val="22"/>
        </w:rPr>
        <w:t>In relation to ASBA Forms submitted by UPI Bidders where the Bid Amount will be blocked upon acceptance of UPI Mandate Request by such UPI Bidders using the UPI Mechanism, Designated Intermediaries shall mean Syndicate, sub-syndicate, Registered Brokers, CDPs and RTAs.</w:t>
      </w:r>
    </w:p>
    <w:p>
      <w:pPr>
        <w:spacing w:after="80" w:line="276" w:lineRule="auto"/>
      </w:pPr>
      <w:r>
        <w:rPr>
          <w:rFonts w:ascii="Calibri" w:hAnsi="Calibri"/>
          <w:color w:val="1E293B"/>
          <w:sz w:val="22"/>
        </w:rPr>
        <w:t>In relation to ASBA Forms submitted by QIBs and NIIs (not using the UPI Mechanism), Designated Intermediaries shall mean SCSBs, Syndicate, sub-Syndicate, Registered Brokers,</w:t>
      </w:r>
    </w:p>
    <w:p>
      <w:pPr>
        <w:spacing w:after="80" w:line="276" w:lineRule="auto"/>
      </w:pPr>
      <w:r>
        <w:rPr>
          <w:rFonts w:ascii="Calibri" w:hAnsi="Calibri"/>
          <w:color w:val="1E293B"/>
          <w:sz w:val="22"/>
        </w:rPr>
        <w:t>CDPs and RTAs</w:t>
      </w:r>
    </w:p>
    <w:p>
      <w:pPr>
        <w:spacing w:after="80" w:line="276" w:lineRule="auto"/>
      </w:pPr>
      <w:r>
        <w:rPr>
          <w:rFonts w:ascii="Calibri" w:hAnsi="Calibri"/>
          <w:color w:val="1E293B"/>
          <w:sz w:val="22"/>
        </w:rPr>
        <w:t>Designated RTA Locations</w:t>
      </w:r>
    </w:p>
    <w:p>
      <w:pPr>
        <w:spacing w:after="80" w:line="276" w:lineRule="auto"/>
      </w:pPr>
      <w:r>
        <w:rPr>
          <w:rFonts w:ascii="Calibri" w:hAnsi="Calibri"/>
          <w:color w:val="1E293B"/>
          <w:sz w:val="22"/>
        </w:rPr>
        <w:t>Such centres of the RTAs where ASBA Bidders can submit the ASBA Forms (in case of UPI Bidder only ASBA Forms under UPI). The details of such Designated RTA Locations, along with the names and contact Ananya Sharma are available on the respective websites of the Stock</w:t>
      </w:r>
    </w:p>
    <w:p>
      <w:pPr>
        <w:spacing w:after="80" w:line="276" w:lineRule="auto"/>
      </w:pPr>
      <w:r>
        <w:rPr>
          <w:rFonts w:ascii="Calibri" w:hAnsi="Calibri"/>
          <w:color w:val="1E293B"/>
          <w:sz w:val="22"/>
        </w:rPr>
        <w:t>Exchanges at www.bseindia.com and www.nseindia.com and as updated from time to time</w:t>
      </w:r>
    </w:p>
    <w:p>
      <w:pPr>
        <w:spacing w:after="80" w:line="276" w:lineRule="auto"/>
      </w:pPr>
      <w:r>
        <w:rPr>
          <w:rFonts w:ascii="Calibri" w:hAnsi="Calibri"/>
          <w:color w:val="1E293B"/>
          <w:sz w:val="22"/>
        </w:rPr>
        <w:t>Designated SCSB Branches</w:t>
      </w:r>
    </w:p>
    <w:p>
      <w:pPr>
        <w:spacing w:after="80" w:line="276" w:lineRule="auto"/>
      </w:pPr>
      <w:r>
        <w:rPr>
          <w:rFonts w:ascii="Calibri" w:hAnsi="Calibri"/>
          <w:color w:val="1E293B"/>
          <w:sz w:val="22"/>
        </w:rPr>
        <w:t>Such branches of the SCSBs which shall collect the ASBA Forms, a list of which is available on the website of SEBI at www.sebi.gov.in/sebiweb/other/OtherAction.do?doRecognised=yes or at</w:t>
      </w:r>
    </w:p>
    <w:p>
      <w:pPr>
        <w:spacing w:after="80" w:line="276" w:lineRule="auto"/>
      </w:pPr>
      <w:r>
        <w:rPr>
          <w:rFonts w:ascii="Calibri" w:hAnsi="Calibri"/>
          <w:color w:val="1E293B"/>
          <w:sz w:val="22"/>
        </w:rPr>
        <w:t>such other website as may be prescribed by SEBI from time to time</w:t>
      </w:r>
    </w:p>
    <w:p>
      <w:pPr>
        <w:spacing w:after="80" w:line="276" w:lineRule="auto"/>
      </w:pPr>
      <w:r>
        <w:rPr>
          <w:rFonts w:ascii="Calibri" w:hAnsi="Calibri"/>
          <w:color w:val="1E293B"/>
          <w:sz w:val="22"/>
        </w:rPr>
        <w:t>Designated Stock Exchange</w:t>
      </w:r>
    </w:p>
    <w:p>
      <w:pPr>
        <w:spacing w:after="80" w:line="276" w:lineRule="auto"/>
      </w:pPr>
      <w:r>
        <w:rPr>
          <w:rFonts w:ascii="Calibri" w:hAnsi="Calibri"/>
          <w:color w:val="1E293B"/>
          <w:sz w:val="22"/>
        </w:rPr>
        <w:t>BSE</w:t>
      </w:r>
    </w:p>
    <w:p>
      <w:pPr>
        <w:spacing w:after="80" w:line="276" w:lineRule="auto"/>
      </w:pPr>
      <w:r>
        <w:rPr>
          <w:rFonts w:ascii="Calibri" w:hAnsi="Calibri"/>
          <w:color w:val="1E293B"/>
          <w:sz w:val="22"/>
        </w:rPr>
        <w:t>Draft Red Herring Prospectus/ DRHP</w:t>
      </w:r>
    </w:p>
    <w:p>
      <w:pPr>
        <w:spacing w:after="80" w:line="276" w:lineRule="auto"/>
      </w:pPr>
      <w:r>
        <w:rPr>
          <w:rFonts w:ascii="Calibri" w:hAnsi="Calibri"/>
          <w:color w:val="1E293B"/>
          <w:sz w:val="22"/>
        </w:rPr>
        <w:t>The draft red herring prospectus dated May 22, 2025, issued in accordance with the SEBI ICDR Regulations, which did not contain complete particulars of the price at which the Equity Shares</w:t>
      </w:r>
    </w:p>
    <w:p>
      <w:pPr>
        <w:spacing w:after="80" w:line="276" w:lineRule="auto"/>
      </w:pPr>
      <w:r>
        <w:rPr>
          <w:rFonts w:ascii="Calibri" w:hAnsi="Calibri"/>
          <w:color w:val="1E293B"/>
          <w:sz w:val="22"/>
        </w:rPr>
        <w:t>will be Allotted and the size of the Offer</w:t>
      </w:r>
    </w:p>
    <w:p>
      <w:pPr>
        <w:spacing w:after="80" w:line="276" w:lineRule="auto"/>
      </w:pPr>
      <w:r>
        <w:rPr>
          <w:rFonts w:ascii="Calibri" w:hAnsi="Calibri"/>
          <w:color w:val="1E293B"/>
          <w:sz w:val="22"/>
        </w:rPr>
        <w:t>Eligible FPI(s)</w:t>
      </w:r>
    </w:p>
    <w:p>
      <w:pPr>
        <w:spacing w:after="80" w:line="276" w:lineRule="auto"/>
      </w:pPr>
      <w:r>
        <w:rPr>
          <w:rFonts w:ascii="Calibri" w:hAnsi="Calibri"/>
          <w:color w:val="1E293B"/>
          <w:sz w:val="22"/>
        </w:rPr>
        <w:t>FPIs that are eligible to participate in this Offer in terms of applicable laws</w:t>
      </w:r>
    </w:p>
    <w:p>
      <w:pPr>
        <w:spacing w:after="80" w:line="276" w:lineRule="auto"/>
      </w:pPr>
      <w:r>
        <w:rPr>
          <w:rFonts w:ascii="Calibri" w:hAnsi="Calibri"/>
          <w:color w:val="1E293B"/>
          <w:sz w:val="22"/>
        </w:rPr>
        <w:t>Eligible NRI(s)</w:t>
      </w:r>
    </w:p>
    <w:p>
      <w:pPr>
        <w:spacing w:after="80" w:line="276" w:lineRule="auto"/>
      </w:pPr>
      <w:r>
        <w:rPr>
          <w:rFonts w:ascii="Calibri" w:hAnsi="Calibri"/>
          <w:color w:val="1E293B"/>
          <w:sz w:val="22"/>
        </w:rPr>
        <w:t>A non-resident Indian, resident in a jurisdiction outside India where it is not unlawful to make an offer or invitation under the Offer and in relation to whom this Red Herring Prospectus and the Bid Cum Application Form constitute an invitation to subscribe or purchase for the Equity Shares</w:t>
      </w:r>
    </w:p>
    <w:p>
      <w:pPr>
        <w:spacing w:after="80" w:line="276" w:lineRule="auto"/>
      </w:pPr>
      <w:r>
        <w:rPr>
          <w:rFonts w:ascii="Calibri" w:hAnsi="Calibri"/>
          <w:color w:val="1E293B"/>
          <w:sz w:val="22"/>
        </w:rPr>
        <w:t>Escrow Accounts</w:t>
      </w:r>
    </w:p>
    <w:p>
      <w:pPr>
        <w:spacing w:after="80" w:line="276" w:lineRule="auto"/>
      </w:pPr>
      <w:r>
        <w:rPr>
          <w:rFonts w:ascii="Calibri" w:hAnsi="Calibri"/>
          <w:color w:val="1E293B"/>
          <w:sz w:val="22"/>
        </w:rPr>
        <w:t>Accounts opened with the Escrow Collection Bank and in whose favour Anchor Investors will transfer the money through direct credit/NEFT/RTGS/NACH in respect of the Bid Amount while submitting a Bid</w:t>
      </w:r>
    </w:p>
    <w:p>
      <w:pPr>
        <w:spacing w:after="80" w:line="276" w:lineRule="auto"/>
      </w:pPr>
      <w:r>
        <w:rPr>
          <w:rFonts w:ascii="Calibri" w:hAnsi="Calibri"/>
          <w:color w:val="1E293B"/>
          <w:sz w:val="22"/>
        </w:rPr>
        <w:t>Escrow Collection Bank</w:t>
      </w:r>
    </w:p>
    <w:p>
      <w:pPr>
        <w:spacing w:after="80" w:line="276" w:lineRule="auto"/>
      </w:pPr>
      <w:r>
        <w:rPr>
          <w:rFonts w:ascii="Calibri" w:hAnsi="Calibri"/>
          <w:color w:val="1E293B"/>
          <w:sz w:val="22"/>
        </w:rPr>
        <w:t>The bank, which is a clearing member registered with SEBI as banker to an issue under the SEBI BTI Regulations and with whom the Escrow Accounts have been opened, Bluebird Capital LLP</w:t>
      </w:r>
    </w:p>
    <w:p>
      <w:pPr>
        <w:spacing w:after="80" w:line="276" w:lineRule="auto"/>
      </w:pPr>
      <w:r>
        <w:rPr>
          <w:rFonts w:ascii="Calibri" w:hAnsi="Calibri"/>
          <w:color w:val="1E293B"/>
          <w:sz w:val="22"/>
        </w:rPr>
        <w:t>First Bidder</w:t>
      </w:r>
    </w:p>
    <w:p>
      <w:pPr>
        <w:spacing w:after="80" w:line="276" w:lineRule="auto"/>
      </w:pPr>
      <w:r>
        <w:rPr>
          <w:rFonts w:ascii="Calibri" w:hAnsi="Calibri"/>
          <w:color w:val="1E293B"/>
          <w:sz w:val="22"/>
        </w:rPr>
        <w:t>Bidder whose name Maya Rao the Bid cum Application Form or the Revision Form and in case of joint Bids, whose name John Doe the first holder of the beneficiary account held in joint names</w:t>
      </w:r>
    </w:p>
    <w:p>
      <w:pPr>
        <w:spacing w:after="80" w:line="276" w:lineRule="auto"/>
      </w:pPr>
      <w:r>
        <w:rPr>
          <w:rFonts w:ascii="Calibri" w:hAnsi="Calibri"/>
          <w:color w:val="1E293B"/>
          <w:sz w:val="22"/>
        </w:rPr>
        <w:t>Floor Price</w:t>
      </w:r>
    </w:p>
    <w:p>
      <w:pPr>
        <w:spacing w:after="80" w:line="276" w:lineRule="auto"/>
      </w:pPr>
      <w:r>
        <w:rPr>
          <w:rFonts w:ascii="Calibri" w:hAnsi="Calibri"/>
          <w:color w:val="1E293B"/>
          <w:sz w:val="22"/>
        </w:rPr>
        <w:t>The lower end of the Price Band, subject to any revision(s) thereto, at or above which the Offer</w:t>
      </w:r>
    </w:p>
    <w:p>
      <w:pPr>
        <w:spacing w:after="80" w:line="276" w:lineRule="auto"/>
      </w:pPr>
      <w:r>
        <w:rPr>
          <w:rFonts w:ascii="Calibri" w:hAnsi="Calibri"/>
          <w:color w:val="1E293B"/>
          <w:sz w:val="22"/>
        </w:rPr>
        <w:t>Price and the Anchor Investor Offer Price will be finalised and below which no Bids will be accepted</w:t>
      </w:r>
    </w:p>
    <w:p>
      <w:pPr>
        <w:spacing w:after="80" w:line="276" w:lineRule="auto"/>
      </w:pPr>
      <w:r>
        <w:rPr>
          <w:rFonts w:ascii="Calibri" w:hAnsi="Calibri"/>
          <w:color w:val="1E293B"/>
          <w:sz w:val="22"/>
        </w:rPr>
        <w:t>Fraudulent Borrower</w:t>
      </w:r>
    </w:p>
    <w:p>
      <w:pPr>
        <w:spacing w:after="80" w:line="276" w:lineRule="auto"/>
      </w:pPr>
      <w:r>
        <w:rPr>
          <w:rFonts w:ascii="Calibri" w:hAnsi="Calibri"/>
          <w:color w:val="1E293B"/>
          <w:sz w:val="22"/>
        </w:rPr>
        <w:t>Fraudulent borrower as defined under Regulation 2(1)(lll) of the SEBI ICDR Regulations</w:t>
      </w:r>
    </w:p>
    <w:p>
      <w:pPr>
        <w:spacing w:after="80" w:line="276" w:lineRule="auto"/>
      </w:pPr>
      <w:r>
        <w:rPr>
          <w:rFonts w:ascii="Calibri" w:hAnsi="Calibri"/>
          <w:color w:val="1E293B"/>
          <w:sz w:val="22"/>
        </w:rPr>
        <w:t>Fresh Issue</w:t>
      </w:r>
    </w:p>
    <w:p>
      <w:pPr>
        <w:spacing w:after="80" w:line="276" w:lineRule="auto"/>
      </w:pPr>
      <w:r>
        <w:rPr>
          <w:rFonts w:ascii="Calibri" w:hAnsi="Calibri"/>
          <w:color w:val="1E293B"/>
          <w:sz w:val="22"/>
        </w:rPr>
        <w:t>The fresh issue of up to [●] Equity Shares of face value of ₹5 Acme Private Limited, at ₹[●] per Equity Share (including a premium of ₹[●] per Equity Share) aggregating up to ₹4,200.00 million. For information, see “The Offer” on page 67</w:t>
      </w:r>
    </w:p>
    <w:p>
      <w:pPr>
        <w:spacing w:after="80" w:line="276" w:lineRule="auto"/>
      </w:pPr>
      <w:r>
        <w:rPr>
          <w:rFonts w:ascii="Calibri" w:hAnsi="Calibri"/>
          <w:color w:val="1E293B"/>
          <w:sz w:val="22"/>
        </w:rPr>
        <w:t>Fugitive Economic Offender</w:t>
      </w:r>
    </w:p>
    <w:p>
      <w:pPr>
        <w:spacing w:after="80" w:line="276" w:lineRule="auto"/>
      </w:pPr>
      <w:r>
        <w:rPr>
          <w:rFonts w:ascii="Calibri" w:hAnsi="Calibri"/>
          <w:color w:val="1E293B"/>
          <w:sz w:val="22"/>
        </w:rPr>
        <w:t>An individual who is declared a fugitive economic offender under Section 12 of the Fugitive Economic Offenders Act, 2012</w:t>
      </w:r>
    </w:p>
    <w:p>
      <w:pPr>
        <w:spacing w:after="80" w:line="276" w:lineRule="auto"/>
      </w:pPr>
      <w:r>
        <w:rPr>
          <w:rFonts w:ascii="Calibri" w:hAnsi="Calibri"/>
          <w:color w:val="1E293B"/>
          <w:sz w:val="22"/>
        </w:rPr>
        <w:t>General Information Document</w:t>
      </w:r>
    </w:p>
    <w:p>
      <w:pPr>
        <w:spacing w:after="80" w:line="276" w:lineRule="auto"/>
      </w:pPr>
      <w:r>
        <w:rPr>
          <w:rFonts w:ascii="Calibri" w:hAnsi="Calibri"/>
          <w:color w:val="1E293B"/>
          <w:sz w:val="22"/>
        </w:rPr>
        <w:t>The General Information Document for investing in public offers, prepared and issued in accordance with the SEBI circular (SEBI/HO/CFD/DIL1/CIR/P/2020/37) dated March 17, 2020,</w:t>
      </w:r>
    </w:p>
    <w:p>
      <w:pPr>
        <w:spacing w:after="80" w:line="276" w:lineRule="auto"/>
      </w:pPr>
      <w:r>
        <w:rPr>
          <w:rFonts w:ascii="Calibri" w:hAnsi="Calibri"/>
          <w:color w:val="1E293B"/>
          <w:sz w:val="22"/>
        </w:rPr>
        <w:t>issued by SEBI, suitably modified and updated pursuant to, among others, the UPI Circulars and any subsequent circulars or notifications issued by SEBI from time to time</w:t>
      </w:r>
    </w:p>
    <w:p>
      <w:pPr>
        <w:spacing w:after="80" w:line="276" w:lineRule="auto"/>
      </w:pPr>
      <w:r>
        <w:rPr>
          <w:rFonts w:ascii="Calibri" w:hAnsi="Calibri"/>
          <w:color w:val="1E293B"/>
          <w:sz w:val="22"/>
        </w:rPr>
        <w:t>GSM</w:t>
      </w:r>
    </w:p>
    <w:p>
      <w:pPr>
        <w:spacing w:after="80" w:line="276" w:lineRule="auto"/>
      </w:pPr>
      <w:r>
        <w:rPr>
          <w:rFonts w:ascii="Calibri" w:hAnsi="Calibri"/>
          <w:color w:val="1E293B"/>
          <w:sz w:val="22"/>
        </w:rPr>
        <w:t>Graded Surveillance Measures</w:t>
      </w:r>
    </w:p>
    <w:p>
      <w:pPr>
        <w:spacing w:after="80" w:line="276" w:lineRule="auto"/>
      </w:pPr>
      <w:r>
        <w:rPr>
          <w:rFonts w:ascii="Calibri" w:hAnsi="Calibri"/>
          <w:color w:val="1E293B"/>
          <w:sz w:val="22"/>
        </w:rPr>
        <w:t>Gross Proceeds</w:t>
      </w:r>
    </w:p>
    <w:p>
      <w:pPr>
        <w:spacing w:after="80" w:line="276" w:lineRule="auto"/>
      </w:pPr>
      <w:r>
        <w:rPr>
          <w:rFonts w:ascii="Calibri" w:hAnsi="Calibri"/>
          <w:color w:val="1E293B"/>
          <w:sz w:val="22"/>
        </w:rPr>
        <w:t>The gross proceeds of the Fresh Issue</w:t>
      </w:r>
    </w:p>
    <w:p>
      <w:pPr>
        <w:spacing w:after="80" w:line="276" w:lineRule="auto"/>
      </w:pPr>
      <w:r>
        <w:rPr>
          <w:rFonts w:ascii="Calibri" w:hAnsi="Calibri"/>
          <w:color w:val="1E293B"/>
          <w:sz w:val="22"/>
        </w:rPr>
        <w:t>ICICI Securities</w:t>
      </w:r>
    </w:p>
    <w:p>
      <w:pPr>
        <w:spacing w:after="80" w:line="276" w:lineRule="auto"/>
      </w:pPr>
      <w:r>
        <w:rPr>
          <w:rFonts w:ascii="Calibri" w:hAnsi="Calibri"/>
          <w:color w:val="1E293B"/>
          <w:sz w:val="22"/>
        </w:rPr>
        <w:t>Northstar Technologies Ltd</w:t>
      </w:r>
    </w:p>
    <w:p>
      <w:pPr>
        <w:spacing w:after="80" w:line="276" w:lineRule="auto"/>
      </w:pPr>
      <w:r>
        <w:rPr>
          <w:rFonts w:ascii="Calibri" w:hAnsi="Calibri"/>
          <w:color w:val="1E293B"/>
          <w:sz w:val="22"/>
        </w:rPr>
        <w:t>Life Insurance Companies</w:t>
      </w:r>
    </w:p>
    <w:p>
      <w:pPr>
        <w:spacing w:after="80" w:line="276" w:lineRule="auto"/>
      </w:pPr>
      <w:r>
        <w:rPr>
          <w:rFonts w:ascii="Calibri" w:hAnsi="Calibri"/>
          <w:color w:val="1E293B"/>
          <w:sz w:val="22"/>
        </w:rPr>
        <w:t>An entity registered with the Insurance Regulatory and Development Authority of India under the provisions of the Insurance Act, 1938</w:t>
      </w:r>
    </w:p>
    <w:p>
      <w:pPr>
        <w:spacing w:after="80" w:line="276" w:lineRule="auto"/>
      </w:pPr>
      <w:r>
        <w:rPr>
          <w:rFonts w:ascii="Calibri" w:hAnsi="Calibri"/>
          <w:color w:val="1E293B"/>
          <w:sz w:val="22"/>
        </w:rPr>
        <w:t>Monitoring Agency</w:t>
      </w:r>
    </w:p>
    <w:p>
      <w:pPr>
        <w:spacing w:after="80" w:line="276" w:lineRule="auto"/>
      </w:pPr>
      <w:r>
        <w:rPr>
          <w:rFonts w:ascii="Calibri" w:hAnsi="Calibri"/>
          <w:color w:val="1E293B"/>
          <w:sz w:val="22"/>
        </w:rPr>
        <w:t>The monitoring agency appointed pursuant to the Monitoring Agency Agreement, Northstar Technologies Ltd</w:t>
      </w:r>
    </w:p>
    <w:p>
      <w:pPr>
        <w:spacing w:after="80" w:line="276" w:lineRule="auto"/>
      </w:pPr>
      <w:r>
        <w:rPr>
          <w:rFonts w:ascii="Calibri" w:hAnsi="Calibri"/>
          <w:color w:val="1E293B"/>
          <w:sz w:val="22"/>
        </w:rPr>
        <w:t>Monitoring Agency Agreement</w:t>
      </w:r>
    </w:p>
    <w:p>
      <w:pPr>
        <w:spacing w:after="80" w:line="276" w:lineRule="auto"/>
      </w:pPr>
      <w:r>
        <w:rPr>
          <w:rFonts w:ascii="Calibri" w:hAnsi="Calibri"/>
          <w:color w:val="1E293B"/>
          <w:sz w:val="22"/>
        </w:rPr>
        <w:t>The agreement dated December 6, 2025 Bluebird Capital LLP and the Monitoring Agency prior to filing of this Red Herring Prospectus</w:t>
      </w:r>
    </w:p>
    <w:p>
      <w:pPr>
        <w:spacing w:after="80" w:line="276" w:lineRule="auto"/>
      </w:pPr>
      <w:r>
        <w:rPr>
          <w:rFonts w:ascii="Calibri" w:hAnsi="Calibri"/>
          <w:color w:val="1E293B"/>
          <w:sz w:val="22"/>
        </w:rPr>
        <w:t>Mutual Fund Portion</w:t>
      </w:r>
    </w:p>
    <w:p>
      <w:pPr>
        <w:spacing w:after="80" w:line="276" w:lineRule="auto"/>
      </w:pPr>
      <w:r>
        <w:rPr>
          <w:rFonts w:ascii="Calibri" w:hAnsi="Calibri"/>
          <w:color w:val="1E293B"/>
          <w:sz w:val="22"/>
        </w:rPr>
        <w:t>The portion of the Offer being 5% of the Net QIB Portion consisting of [●] Equity Shares of face value of ₹5 each which shall be available for allocation to Mutual Funds only on a proportionate basis, subject to valid Bids being received at or above the Offer Price</w:t>
      </w:r>
    </w:p>
    <w:p>
      <w:pPr>
        <w:spacing w:after="80" w:line="276" w:lineRule="auto"/>
      </w:pPr>
      <w:r>
        <w:rPr>
          <w:rFonts w:ascii="Calibri" w:hAnsi="Calibri"/>
          <w:color w:val="1E293B"/>
          <w:sz w:val="22"/>
        </w:rPr>
        <w:t>Mutual Funds</w:t>
      </w:r>
    </w:p>
    <w:p>
      <w:pPr>
        <w:spacing w:after="80" w:line="276" w:lineRule="auto"/>
      </w:pPr>
      <w:r>
        <w:rPr>
          <w:rFonts w:ascii="Calibri" w:hAnsi="Calibri"/>
          <w:color w:val="1E293B"/>
          <w:sz w:val="22"/>
        </w:rPr>
        <w:t>Mutual funds registered with SEBI under the SEBI Mutual Funds Regulations</w:t>
      </w:r>
    </w:p>
    <w:p>
      <w:pPr>
        <w:spacing w:after="80" w:line="276" w:lineRule="auto"/>
      </w:pPr>
      <w:r>
        <w:rPr>
          <w:rFonts w:ascii="Calibri" w:hAnsi="Calibri"/>
          <w:color w:val="1E293B"/>
          <w:sz w:val="22"/>
        </w:rPr>
        <w:t>Net Proceeds</w:t>
      </w:r>
    </w:p>
    <w:p>
      <w:pPr>
        <w:spacing w:after="80" w:line="276" w:lineRule="auto"/>
      </w:pPr>
      <w:r>
        <w:rPr>
          <w:rFonts w:ascii="Calibri" w:hAnsi="Calibri"/>
          <w:color w:val="1E293B"/>
          <w:sz w:val="22"/>
        </w:rPr>
        <w:t>The proceeds Acme Private Limited’s share of the Offer related expenses. For details regarding the use of the Net Proceeds and the Offer related expenses, see “Objects of the Offer – Utilization of Net Proceeds” on page 107</w:t>
      </w:r>
    </w:p>
    <w:p>
      <w:pPr>
        <w:spacing w:after="80" w:line="276" w:lineRule="auto"/>
      </w:pPr>
      <w:r>
        <w:rPr>
          <w:rFonts w:ascii="Calibri" w:hAnsi="Calibri"/>
          <w:color w:val="1E293B"/>
          <w:sz w:val="22"/>
        </w:rPr>
        <w:t>Net QIB Portion</w:t>
      </w:r>
    </w:p>
    <w:p>
      <w:pPr>
        <w:spacing w:after="80" w:line="276" w:lineRule="auto"/>
      </w:pPr>
      <w:r>
        <w:rPr>
          <w:rFonts w:ascii="Calibri" w:hAnsi="Calibri"/>
          <w:color w:val="1E293B"/>
          <w:sz w:val="22"/>
        </w:rPr>
        <w:t>The portion of the QIB Portion less the number of Equity Shares Allotted to the Anchor Investors</w:t>
      </w:r>
    </w:p>
    <w:p>
      <w:pPr>
        <w:spacing w:after="80" w:line="276" w:lineRule="auto"/>
      </w:pPr>
      <w:r>
        <w:rPr>
          <w:rFonts w:ascii="Calibri" w:hAnsi="Calibri"/>
          <w:color w:val="1E293B"/>
          <w:sz w:val="22"/>
        </w:rPr>
        <w:t>Non-Institutional Investors/ NIIs</w:t>
      </w:r>
    </w:p>
    <w:p>
      <w:pPr>
        <w:spacing w:after="80" w:line="276" w:lineRule="auto"/>
      </w:pPr>
      <w:r>
        <w:rPr>
          <w:rFonts w:ascii="Calibri" w:hAnsi="Calibri"/>
          <w:color w:val="1E293B"/>
          <w:sz w:val="22"/>
        </w:rPr>
        <w:t>All Bidders that are not QIBs or Retail Individual Investors and who have Bid for Equity Shares for an amount more than ₹0.20 million (but not including NRIs other than Eligible NRIs)</w:t>
      </w:r>
    </w:p>
    <w:p>
      <w:pPr>
        <w:spacing w:after="80" w:line="276" w:lineRule="auto"/>
      </w:pPr>
      <w:r>
        <w:rPr>
          <w:rFonts w:ascii="Calibri" w:hAnsi="Calibri"/>
          <w:color w:val="1E293B"/>
          <w:sz w:val="22"/>
        </w:rPr>
        <w:t>Non-Institutional Portion</w:t>
      </w:r>
    </w:p>
    <w:p>
      <w:pPr>
        <w:spacing w:after="80" w:line="276" w:lineRule="auto"/>
      </w:pPr>
      <w:r>
        <w:rPr>
          <w:rFonts w:ascii="Calibri" w:hAnsi="Calibri"/>
          <w:color w:val="1E293B"/>
          <w:sz w:val="22"/>
        </w:rPr>
        <w:t>The portion of the Offer being not less than 15% of the Offer consisting of [●] Equity Shares of face value of ₹5 each which shall be available for allocation to Non-Institutional Investors, of which (a) one-third portion shall be reserved for applicants with application size of more than</w:t>
      </w:r>
    </w:p>
    <w:p>
      <w:pPr>
        <w:spacing w:after="80" w:line="276" w:lineRule="auto"/>
      </w:pPr>
      <w:r>
        <w:rPr>
          <w:rFonts w:ascii="Calibri" w:hAnsi="Calibri"/>
          <w:color w:val="1E293B"/>
          <w:sz w:val="22"/>
        </w:rPr>
        <w:t>₹0.20 million and up to ₹1.00 million, and (b) two-thirds portion shall be reserved for applicants</w:t>
      </w:r>
    </w:p>
    <w:p>
      <w:pPr>
        <w:spacing w:after="80" w:line="276" w:lineRule="auto"/>
      </w:pPr>
      <w:r>
        <w:rPr>
          <w:rFonts w:ascii="Calibri" w:hAnsi="Calibri"/>
          <w:color w:val="1E293B"/>
          <w:sz w:val="22"/>
        </w:rPr>
        <w:t>Term</w:t>
      </w:r>
    </w:p>
    <w:p>
      <w:pPr>
        <w:spacing w:after="80" w:line="276" w:lineRule="auto"/>
      </w:pPr>
      <w:r>
        <w:rPr>
          <w:rFonts w:ascii="Calibri" w:hAnsi="Calibri"/>
          <w:color w:val="1E293B"/>
          <w:sz w:val="22"/>
        </w:rPr>
        <w:t>Description</w:t>
      </w:r>
    </w:p>
    <w:p>
      <w:pPr>
        <w:spacing w:after="80" w:line="276" w:lineRule="auto"/>
      </w:pPr>
      <w:r>
        <w:rPr>
          <w:rFonts w:ascii="Calibri" w:hAnsi="Calibri"/>
          <w:color w:val="1E293B"/>
          <w:sz w:val="22"/>
        </w:rPr>
        <w:t>with application size of more than ₹1.00 million, provided that the unsubscribed portion in either of such sub-categories may be allocated to applicants in the other sub-category of Non-</w:t>
      </w:r>
    </w:p>
    <w:p>
      <w:pPr>
        <w:spacing w:after="80" w:line="276" w:lineRule="auto"/>
      </w:pPr>
      <w:r>
        <w:rPr>
          <w:rFonts w:ascii="Calibri" w:hAnsi="Calibri"/>
          <w:color w:val="1E293B"/>
          <w:sz w:val="22"/>
        </w:rPr>
        <w:t>Institutional Investors, subject to valid Bids being received at or above the Offer Price</w:t>
      </w:r>
    </w:p>
    <w:p>
      <w:pPr>
        <w:spacing w:after="80" w:line="276" w:lineRule="auto"/>
      </w:pPr>
      <w:r>
        <w:rPr>
          <w:rFonts w:ascii="Calibri" w:hAnsi="Calibri"/>
          <w:color w:val="1E293B"/>
          <w:sz w:val="22"/>
        </w:rPr>
        <w:t>Non-Resident</w:t>
      </w:r>
    </w:p>
    <w:p>
      <w:pPr>
        <w:spacing w:after="80" w:line="276" w:lineRule="auto"/>
      </w:pPr>
      <w:r>
        <w:rPr>
          <w:rFonts w:ascii="Calibri" w:hAnsi="Calibri"/>
          <w:color w:val="1E293B"/>
          <w:sz w:val="22"/>
        </w:rPr>
        <w:t>A person resident outside India, as defined under FEMA and includes NRIs, FPIs and FVCIs</w:t>
      </w:r>
    </w:p>
    <w:p>
      <w:pPr>
        <w:spacing w:after="80" w:line="276" w:lineRule="auto"/>
      </w:pPr>
      <w:r>
        <w:rPr>
          <w:rFonts w:ascii="Calibri" w:hAnsi="Calibri"/>
          <w:color w:val="1E293B"/>
          <w:sz w:val="22"/>
        </w:rPr>
        <w:t>Nuvama</w:t>
      </w:r>
    </w:p>
    <w:p>
      <w:pPr>
        <w:spacing w:after="80" w:line="276" w:lineRule="auto"/>
      </w:pPr>
      <w:r>
        <w:rPr>
          <w:rFonts w:ascii="Calibri" w:hAnsi="Calibri"/>
          <w:color w:val="1E293B"/>
          <w:sz w:val="22"/>
        </w:rPr>
        <w:t>Acme Private Limited</w:t>
      </w:r>
    </w:p>
    <w:p>
      <w:pPr>
        <w:spacing w:after="80" w:line="276" w:lineRule="auto"/>
      </w:pPr>
      <w:r>
        <w:rPr>
          <w:rFonts w:ascii="Calibri" w:hAnsi="Calibri"/>
          <w:color w:val="1E293B"/>
          <w:sz w:val="22"/>
        </w:rPr>
        <w:t>Offer</w:t>
      </w:r>
    </w:p>
    <w:p>
      <w:pPr>
        <w:spacing w:after="80" w:line="276" w:lineRule="auto"/>
      </w:pPr>
      <w:r>
        <w:rPr>
          <w:rFonts w:ascii="Calibri" w:hAnsi="Calibri"/>
          <w:color w:val="1E293B"/>
          <w:sz w:val="22"/>
        </w:rPr>
        <w:t>The initial public offering of up to [●] Equity Shares of face value of ₹5 each for cash at a price of ₹[●] each (including a share premium of ₹[●] each), aggregating up to ₹7,100.00 Northstar Technologies Ltd comprising a Fresh Issue of [●] Equity Shares of face value of ₹5 each aggregating up to ₹4,200.00 million, an Offer for Sale of up to [●] Equity Shares of face value of ₹5 each</w:t>
      </w:r>
    </w:p>
    <w:p>
      <w:pPr>
        <w:spacing w:after="80" w:line="276" w:lineRule="auto"/>
      </w:pPr>
      <w:r>
        <w:rPr>
          <w:rFonts w:ascii="Calibri" w:hAnsi="Calibri"/>
          <w:color w:val="1E293B"/>
          <w:sz w:val="22"/>
        </w:rPr>
        <w:t>aggregating to ₹2,900.00 million by the Promoter Selling Shareholders</w:t>
      </w:r>
    </w:p>
    <w:p>
      <w:pPr>
        <w:spacing w:after="80" w:line="276" w:lineRule="auto"/>
      </w:pPr>
      <w:r>
        <w:rPr>
          <w:rFonts w:ascii="Calibri" w:hAnsi="Calibri"/>
          <w:color w:val="1E293B"/>
          <w:sz w:val="22"/>
        </w:rPr>
        <w:t>Offer Agreement</w:t>
      </w:r>
    </w:p>
    <w:p>
      <w:pPr>
        <w:spacing w:after="80" w:line="276" w:lineRule="auto"/>
      </w:pPr>
      <w:r>
        <w:rPr>
          <w:rFonts w:ascii="Calibri" w:hAnsi="Calibri"/>
          <w:color w:val="1E293B"/>
          <w:sz w:val="22"/>
        </w:rPr>
        <w:t>The agreement dated May 22, 2025, Bluebird Capital LLP, the Promoter Selling Shareholders and the BRLMs, pursuant to which certain arrangements are agreed to in relation to the Offer</w:t>
      </w:r>
    </w:p>
    <w:p>
      <w:pPr>
        <w:spacing w:after="80" w:line="276" w:lineRule="auto"/>
      </w:pPr>
      <w:r>
        <w:rPr>
          <w:rFonts w:ascii="Calibri" w:hAnsi="Calibri"/>
          <w:color w:val="1E293B"/>
          <w:sz w:val="22"/>
        </w:rPr>
        <w:t>Offer for Sale</w:t>
      </w:r>
    </w:p>
    <w:p>
      <w:pPr>
        <w:spacing w:after="80" w:line="276" w:lineRule="auto"/>
      </w:pPr>
      <w:r>
        <w:rPr>
          <w:rFonts w:ascii="Calibri" w:hAnsi="Calibri"/>
          <w:color w:val="1E293B"/>
          <w:sz w:val="22"/>
        </w:rPr>
        <w:t>The offer for sale component of the Offer of up to [●] Equity Shares of face value of ₹5 each aggregating up to ₹2,900.00 million, comprising of an offer for sale of up to [●] Equity Shares of face value of ₹5 each by Kushal Subbayya Hegde aggregating up to ₹1,528.00 million, up to [●] Equity Shares of face value of ₹5 each by Pushpa Kushal Hegde aggregating up to ₹422.00 million, up to [●] Equity Shares of face value of ₹5 each by Rajesh Kushal Hegde aggregating up to ₹475.00 million and up to [●] Equity Shares of face value of ₹5 each by Rohit Kushal Hegde</w:t>
      </w:r>
    </w:p>
    <w:p>
      <w:pPr>
        <w:spacing w:after="80" w:line="276" w:lineRule="auto"/>
      </w:pPr>
      <w:r>
        <w:rPr>
          <w:rFonts w:ascii="Calibri" w:hAnsi="Calibri"/>
          <w:color w:val="1E293B"/>
          <w:sz w:val="22"/>
        </w:rPr>
        <w:t>aggregating up to ₹475.00 million</w:t>
      </w:r>
    </w:p>
    <w:p>
      <w:pPr>
        <w:spacing w:after="80" w:line="276" w:lineRule="auto"/>
      </w:pPr>
      <w:r>
        <w:rPr>
          <w:rFonts w:ascii="Calibri" w:hAnsi="Calibri"/>
          <w:color w:val="1E293B"/>
          <w:sz w:val="22"/>
        </w:rPr>
        <w:t>Offer Price</w:t>
      </w:r>
    </w:p>
    <w:p>
      <w:pPr>
        <w:spacing w:after="80" w:line="276" w:lineRule="auto"/>
      </w:pPr>
      <w:r>
        <w:rPr>
          <w:rFonts w:ascii="Calibri" w:hAnsi="Calibri"/>
          <w:color w:val="1E293B"/>
          <w:sz w:val="22"/>
        </w:rPr>
        <w:t>₹[●] per Equity Share, being the final price within the Price Band, at which Equity Shares will be Allotted to successful Bidders, other than Anchor Investors as determined in accordance with the Book Acme Private Limited, in consultation with the Book Running Lead Managers, in terms of this Red Herring Prospectus on the Pricing Date. Equity Shares will be Allotted to Anchor Investors at the Anchor Investor Offer Price in terms of this Red Herring Prospectus.</w:t>
      </w:r>
    </w:p>
    <w:p>
      <w:pPr>
        <w:spacing w:after="80" w:line="276" w:lineRule="auto"/>
      </w:pPr>
      <w:r>
        <w:rPr>
          <w:rFonts w:ascii="Calibri" w:hAnsi="Calibri"/>
          <w:color w:val="1E293B"/>
          <w:sz w:val="22"/>
        </w:rPr>
        <w:t>The Offer Acme Private Limited, in consultation with the BRLMs on the Pricing Date, in accordance with the Book Building Process and in terms of this Red Herring Prospectus</w:t>
      </w:r>
    </w:p>
    <w:p>
      <w:pPr>
        <w:spacing w:after="80" w:line="276" w:lineRule="auto"/>
      </w:pPr>
      <w:r>
        <w:rPr>
          <w:rFonts w:ascii="Calibri" w:hAnsi="Calibri"/>
          <w:color w:val="1E293B"/>
          <w:sz w:val="22"/>
        </w:rPr>
        <w:t>Offer Proceeds</w:t>
      </w:r>
    </w:p>
    <w:p>
      <w:pPr>
        <w:spacing w:after="80" w:line="276" w:lineRule="auto"/>
      </w:pPr>
      <w:r>
        <w:rPr>
          <w:rFonts w:ascii="Calibri" w:hAnsi="Calibri"/>
          <w:color w:val="1E293B"/>
          <w:sz w:val="22"/>
        </w:rPr>
        <w:t>The proceeds of the Fresh Issue Northstar Technologies Ltd and the proceeds from the Offer for Sale which shall be available to the Promoter Selling Shareholders. For further</w:t>
      </w:r>
    </w:p>
    <w:p>
      <w:pPr>
        <w:spacing w:after="80" w:line="276" w:lineRule="auto"/>
      </w:pPr>
      <w:r>
        <w:rPr>
          <w:rFonts w:ascii="Calibri" w:hAnsi="Calibri"/>
          <w:color w:val="1E293B"/>
          <w:sz w:val="22"/>
        </w:rPr>
        <w:t>information about use of the Offer Proceeds, please see section titled “Objects of the Offer” on page 106</w:t>
      </w:r>
    </w:p>
    <w:p>
      <w:pPr>
        <w:spacing w:after="80" w:line="276" w:lineRule="auto"/>
      </w:pPr>
      <w:r>
        <w:rPr>
          <w:rFonts w:ascii="Calibri" w:hAnsi="Calibri"/>
          <w:color w:val="1E293B"/>
          <w:sz w:val="22"/>
        </w:rPr>
        <w:t>Offered Shares</w:t>
      </w:r>
    </w:p>
    <w:p>
      <w:pPr>
        <w:spacing w:after="80" w:line="276" w:lineRule="auto"/>
      </w:pPr>
      <w:r>
        <w:rPr>
          <w:rFonts w:ascii="Calibri" w:hAnsi="Calibri"/>
          <w:color w:val="1E293B"/>
          <w:sz w:val="22"/>
        </w:rPr>
        <w:t>Up to [●] Equity Shares of face value of ₹5 each aggregating to ₹2,900.00 million being offered for sale by the Promoter Selling Shareholders in the Offer for Sale component of the Offer</w:t>
      </w:r>
    </w:p>
    <w:p>
      <w:pPr>
        <w:spacing w:after="80" w:line="276" w:lineRule="auto"/>
      </w:pPr>
      <w:r>
        <w:rPr>
          <w:rFonts w:ascii="Calibri" w:hAnsi="Calibri"/>
          <w:color w:val="1E293B"/>
          <w:sz w:val="22"/>
        </w:rPr>
        <w:t>Pension Fund</w:t>
      </w:r>
    </w:p>
    <w:p>
      <w:pPr>
        <w:spacing w:after="80" w:line="276" w:lineRule="auto"/>
      </w:pPr>
      <w:r>
        <w:rPr>
          <w:rFonts w:ascii="Calibri" w:hAnsi="Calibri"/>
          <w:color w:val="1E293B"/>
          <w:sz w:val="22"/>
        </w:rPr>
        <w:t>A fund registered with the Pension Fund Regulatory and Development Authority under the</w:t>
      </w:r>
    </w:p>
    <w:p>
      <w:pPr>
        <w:spacing w:after="80" w:line="276" w:lineRule="auto"/>
      </w:pPr>
      <w:r>
        <w:rPr>
          <w:rFonts w:ascii="Calibri" w:hAnsi="Calibri"/>
          <w:color w:val="1E293B"/>
          <w:sz w:val="22"/>
        </w:rPr>
        <w:t>provisions of the Pension Fund Regulatory and Development Authority Act, 2013</w:t>
      </w:r>
    </w:p>
    <w:p>
      <w:pPr>
        <w:spacing w:after="80" w:line="276" w:lineRule="auto"/>
      </w:pPr>
      <w:r>
        <w:rPr>
          <w:rFonts w:ascii="Calibri" w:hAnsi="Calibri"/>
          <w:color w:val="1E293B"/>
          <w:sz w:val="22"/>
        </w:rPr>
        <w:t>Price Band</w:t>
      </w:r>
    </w:p>
    <w:p>
      <w:pPr>
        <w:spacing w:after="80" w:line="276" w:lineRule="auto"/>
      </w:pPr>
      <w:r>
        <w:rPr>
          <w:rFonts w:ascii="Calibri" w:hAnsi="Calibri"/>
          <w:color w:val="1E293B"/>
          <w:sz w:val="22"/>
        </w:rPr>
        <w:t>Price band of a minimum price of ₹[●] per Equity Share (Floor Price) and the maximum price of</w:t>
      </w:r>
    </w:p>
    <w:p>
      <w:pPr>
        <w:spacing w:after="80" w:line="276" w:lineRule="auto"/>
      </w:pPr>
      <w:r>
        <w:rPr>
          <w:rFonts w:ascii="Calibri" w:hAnsi="Calibri"/>
          <w:color w:val="1E293B"/>
          <w:sz w:val="22"/>
        </w:rPr>
        <w:t>₹[●] per Equity Share (Cap Price) including any revisions thereof. The Cap Price shall be at least 105% of the Floor Price and shall be less than or equal to 120% of the Floor Price. The Price Band and the minimum Bid Lot for the Bluebird Capital LLP, in consultation 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situated) at least two Working Days prior to the Bid/Offer Opening Date, with the relevant financial ratios calculated at the Floor Price and at the Cap Price, and shall be made available to the Stock Exchanges for the</w:t>
      </w:r>
    </w:p>
    <w:p>
      <w:pPr>
        <w:spacing w:after="80" w:line="276" w:lineRule="auto"/>
      </w:pPr>
      <w:r>
        <w:rPr>
          <w:rFonts w:ascii="Calibri" w:hAnsi="Calibri"/>
          <w:color w:val="1E293B"/>
          <w:sz w:val="22"/>
        </w:rPr>
        <w:t>purpose of uploading on their respective websites</w:t>
      </w:r>
    </w:p>
    <w:p>
      <w:pPr>
        <w:spacing w:after="80" w:line="276" w:lineRule="auto"/>
      </w:pPr>
      <w:r>
        <w:rPr>
          <w:rFonts w:ascii="Calibri" w:hAnsi="Calibri"/>
          <w:color w:val="1E293B"/>
          <w:sz w:val="22"/>
        </w:rPr>
        <w:t>Pricing Date</w:t>
      </w:r>
    </w:p>
    <w:p>
      <w:pPr>
        <w:spacing w:after="80" w:line="276" w:lineRule="auto"/>
      </w:pPr>
      <w:r>
        <w:rPr>
          <w:rFonts w:ascii="Calibri" w:hAnsi="Calibri"/>
          <w:color w:val="1E293B"/>
          <w:sz w:val="22"/>
        </w:rPr>
        <w:t>Acme Private Limited, in consultation with the BRLMs, will finalise the Offer Price</w:t>
      </w:r>
    </w:p>
    <w:p>
      <w:pPr>
        <w:spacing w:after="80" w:line="276" w:lineRule="auto"/>
      </w:pPr>
      <w:r>
        <w:rPr>
          <w:rFonts w:ascii="Calibri" w:hAnsi="Calibri"/>
          <w:color w:val="1E293B"/>
          <w:sz w:val="22"/>
        </w:rPr>
        <w:t>Prospectus</w:t>
      </w:r>
    </w:p>
    <w:p>
      <w:pPr>
        <w:spacing w:after="80" w:line="276" w:lineRule="auto"/>
      </w:pPr>
      <w:r>
        <w:rPr>
          <w:rFonts w:ascii="Calibri" w:hAnsi="Calibri"/>
          <w:color w:val="1E293B"/>
          <w:sz w:val="22"/>
        </w:rPr>
        <w:t>The Prospectus to be filed with the RoC in accordance with the Companies Act, 2013, and the SEBI ICDR Regulations containing, inter alia, the Offer Price that is determined at the end of the Book Building Process, the size of the Offer and certain other information, including any addenda</w:t>
      </w:r>
    </w:p>
    <w:p>
      <w:pPr>
        <w:spacing w:after="80" w:line="276" w:lineRule="auto"/>
      </w:pPr>
      <w:r>
        <w:rPr>
          <w:rFonts w:ascii="Calibri" w:hAnsi="Calibri"/>
          <w:color w:val="1E293B"/>
          <w:sz w:val="22"/>
        </w:rPr>
        <w:t>or corrigenda thereto</w:t>
      </w:r>
    </w:p>
    <w:p>
      <w:pPr>
        <w:spacing w:after="80" w:line="276" w:lineRule="auto"/>
      </w:pPr>
      <w:r>
        <w:rPr>
          <w:rFonts w:ascii="Calibri" w:hAnsi="Calibri"/>
          <w:color w:val="1E293B"/>
          <w:sz w:val="22"/>
        </w:rPr>
        <w:t>Public Offer Account Bank</w:t>
      </w:r>
    </w:p>
    <w:p>
      <w:pPr>
        <w:spacing w:after="80" w:line="276" w:lineRule="auto"/>
      </w:pPr>
      <w:r>
        <w:rPr>
          <w:rFonts w:ascii="Calibri" w:hAnsi="Calibri"/>
          <w:color w:val="1E293B"/>
          <w:sz w:val="22"/>
        </w:rPr>
        <w:t>The bank with which the Public Offer Account has been opened for collection of Bid Amounts from Escrow Accounts and ASBA Accounts on the Designated Date, Northstar Technologies Ltd</w:t>
      </w:r>
    </w:p>
    <w:p>
      <w:pPr>
        <w:spacing w:after="80" w:line="276" w:lineRule="auto"/>
      </w:pPr>
      <w:r>
        <w:rPr>
          <w:rFonts w:ascii="Calibri" w:hAnsi="Calibri"/>
          <w:color w:val="1E293B"/>
          <w:sz w:val="22"/>
        </w:rPr>
        <w:t>Public Offer Account</w:t>
      </w:r>
    </w:p>
    <w:p>
      <w:pPr>
        <w:spacing w:after="80" w:line="276" w:lineRule="auto"/>
      </w:pPr>
      <w:r>
        <w:rPr>
          <w:rFonts w:ascii="Calibri" w:hAnsi="Calibri"/>
          <w:color w:val="1E293B"/>
          <w:sz w:val="22"/>
        </w:rPr>
        <w:t>Bank account opened with the Public Offer Account Bank under Section 40(3) of the Companies Act, 2013, to receive monies from the Escrow Accounts and ASBA Accounts on the Designated Date</w:t>
      </w:r>
    </w:p>
    <w:p>
      <w:pPr>
        <w:spacing w:after="80" w:line="276" w:lineRule="auto"/>
      </w:pPr>
      <w:r>
        <w:rPr>
          <w:rFonts w:ascii="Calibri" w:hAnsi="Calibri"/>
          <w:color w:val="1E293B"/>
          <w:sz w:val="22"/>
        </w:rPr>
        <w:t>QIB Portion</w:t>
      </w:r>
    </w:p>
    <w:p>
      <w:pPr>
        <w:spacing w:after="80" w:line="276" w:lineRule="auto"/>
      </w:pPr>
      <w:r>
        <w:rPr>
          <w:rFonts w:ascii="Calibri" w:hAnsi="Calibri"/>
          <w:color w:val="1E293B"/>
          <w:sz w:val="22"/>
        </w:rPr>
        <w:t>The category of the Offer (including the Anchor Investor Portion), being not more than 50% of the Offer, consisting of up to [●] Equity Shares of face value of ₹5 each aggregating to ₹[●] million, which shall be available for allocation to QIBs on a proportionate basis, including the Anchor Investor Portion (in which allocation shall be on a discretionary basis, Bluebird Capital LLP in consultation with the BRLMs subject to the provisions of the SEBI ICDR</w:t>
      </w:r>
    </w:p>
    <w:p>
      <w:pPr>
        <w:spacing w:after="80" w:line="276" w:lineRule="auto"/>
      </w:pPr>
      <w:r>
        <w:rPr>
          <w:rFonts w:ascii="Calibri" w:hAnsi="Calibri"/>
          <w:color w:val="1E293B"/>
          <w:sz w:val="22"/>
        </w:rPr>
        <w:t>Regulations), subject to valid Bids being received at or above the Offer Price or the Anchor Investor Offer Price (for Anchor Investors)</w:t>
      </w:r>
    </w:p>
    <w:p>
      <w:pPr>
        <w:spacing w:after="80" w:line="276" w:lineRule="auto"/>
      </w:pPr>
      <w:r>
        <w:rPr>
          <w:rFonts w:ascii="Calibri" w:hAnsi="Calibri"/>
          <w:color w:val="1E293B"/>
          <w:sz w:val="22"/>
        </w:rPr>
        <w:t>QualifiedInstitutionalBuyer(s)/ QIB(s)/ QIB Bidder(s)</w:t>
      </w:r>
    </w:p>
    <w:p>
      <w:pPr>
        <w:spacing w:after="80" w:line="276" w:lineRule="auto"/>
      </w:pPr>
      <w:r>
        <w:rPr>
          <w:rFonts w:ascii="Calibri" w:hAnsi="Calibri"/>
          <w:color w:val="1E293B"/>
          <w:sz w:val="22"/>
        </w:rPr>
        <w:t>Qualified institutional buyers as defined under Regulation 2(1)(ss) of the SEBI ICDR Regulations</w:t>
      </w:r>
    </w:p>
    <w:p>
      <w:pPr>
        <w:spacing w:after="80" w:line="276" w:lineRule="auto"/>
      </w:pPr>
      <w:r>
        <w:rPr>
          <w:rFonts w:ascii="Calibri" w:hAnsi="Calibri"/>
          <w:color w:val="1E293B"/>
          <w:sz w:val="22"/>
        </w:rPr>
        <w:t>Term</w:t>
      </w:r>
    </w:p>
    <w:p>
      <w:pPr>
        <w:spacing w:after="80" w:line="276" w:lineRule="auto"/>
      </w:pPr>
      <w:r>
        <w:rPr>
          <w:rFonts w:ascii="Calibri" w:hAnsi="Calibri"/>
          <w:color w:val="1E293B"/>
          <w:sz w:val="22"/>
        </w:rPr>
        <w:t>Description</w:t>
      </w:r>
    </w:p>
    <w:p>
      <w:pPr>
        <w:spacing w:after="80" w:line="276" w:lineRule="auto"/>
      </w:pPr>
      <w:r>
        <w:rPr>
          <w:rFonts w:ascii="Calibri" w:hAnsi="Calibri"/>
          <w:color w:val="1E293B"/>
          <w:sz w:val="22"/>
        </w:rPr>
        <w:t>Red Herring Prospectus/ RHP</w:t>
      </w:r>
    </w:p>
    <w:p>
      <w:pPr>
        <w:spacing w:after="80" w:line="276" w:lineRule="auto"/>
      </w:pPr>
      <w:r>
        <w:rPr>
          <w:rFonts w:ascii="Calibri" w:hAnsi="Calibri"/>
          <w:color w:val="1E293B"/>
          <w:sz w:val="22"/>
        </w:rPr>
        <w:t>This red herring prospectus dated December 10, 2025, issued in accordance with Section 32 of the Companies Act, 2013 and the provisions of the SEBI ICDR Regulations, which does not have complete particulars of the price at which the Equity Shares will be offered and the size of the Offer including any addenda or corrigenda thereto</w:t>
      </w:r>
    </w:p>
    <w:p>
      <w:pPr>
        <w:spacing w:after="80" w:line="276" w:lineRule="auto"/>
      </w:pPr>
      <w:r>
        <w:rPr>
          <w:rFonts w:ascii="Calibri" w:hAnsi="Calibri"/>
          <w:color w:val="1E293B"/>
          <w:sz w:val="22"/>
        </w:rPr>
        <w:t>The Bid/Offer Opening Date is December 16, 2025, which is at least three Working Days after filing of this Red Herring Prospectus with the RoC. This Red Herring Prospectus will become the</w:t>
      </w:r>
    </w:p>
    <w:p>
      <w:pPr>
        <w:spacing w:after="80" w:line="276" w:lineRule="auto"/>
      </w:pPr>
      <w:r>
        <w:rPr>
          <w:rFonts w:ascii="Calibri" w:hAnsi="Calibri"/>
          <w:color w:val="1E293B"/>
          <w:sz w:val="22"/>
        </w:rPr>
        <w:t>Prospectus upon filing with the RoC after the Pricing Date, including any addenda or corrigenda thereto</w:t>
      </w:r>
    </w:p>
    <w:p>
      <w:pPr>
        <w:spacing w:after="80" w:line="276" w:lineRule="auto"/>
      </w:pPr>
      <w:r>
        <w:rPr>
          <w:rFonts w:ascii="Calibri" w:hAnsi="Calibri"/>
          <w:color w:val="1E293B"/>
          <w:sz w:val="22"/>
        </w:rPr>
        <w:t>Refund Account</w:t>
      </w:r>
    </w:p>
    <w:p>
      <w:pPr>
        <w:spacing w:after="80" w:line="276" w:lineRule="auto"/>
      </w:pPr>
      <w:r>
        <w:rPr>
          <w:rFonts w:ascii="Calibri" w:hAnsi="Calibri"/>
          <w:color w:val="1E293B"/>
          <w:sz w:val="22"/>
        </w:rPr>
        <w:t>The account opened with the Refund Bank, from which refunds, if any, of the whole or part of the Bid Amount to the Anchor Investors shall be made.</w:t>
      </w:r>
    </w:p>
    <w:p>
      <w:pPr>
        <w:spacing w:after="80" w:line="276" w:lineRule="auto"/>
      </w:pPr>
      <w:r>
        <w:rPr>
          <w:rFonts w:ascii="Calibri" w:hAnsi="Calibri"/>
          <w:color w:val="1E293B"/>
          <w:sz w:val="22"/>
        </w:rPr>
        <w:t>Refund Bank</w:t>
      </w:r>
    </w:p>
    <w:p>
      <w:pPr>
        <w:spacing w:after="80" w:line="276" w:lineRule="auto"/>
      </w:pPr>
      <w:r>
        <w:rPr>
          <w:rFonts w:ascii="Calibri" w:hAnsi="Calibri"/>
          <w:color w:val="1E293B"/>
          <w:sz w:val="22"/>
        </w:rPr>
        <w:t>The bank which is a clearing member registered with SEBI under the SEBI BTI Regulations with whom the Refund Account has been opened, Bluebird Capital LLP</w:t>
      </w:r>
    </w:p>
    <w:p>
      <w:pPr>
        <w:spacing w:after="80" w:line="276" w:lineRule="auto"/>
      </w:pPr>
      <w:r>
        <w:rPr>
          <w:rFonts w:ascii="Calibri" w:hAnsi="Calibri"/>
          <w:color w:val="1E293B"/>
          <w:sz w:val="22"/>
        </w:rPr>
        <w:t>Registered Brokers</w:t>
      </w:r>
    </w:p>
    <w:p>
      <w:pPr>
        <w:spacing w:after="80" w:line="276" w:lineRule="auto"/>
      </w:pPr>
      <w:r>
        <w:rPr>
          <w:rFonts w:ascii="Calibri" w:hAnsi="Calibri"/>
          <w:color w:val="1E293B"/>
          <w:sz w:val="22"/>
        </w:rPr>
        <w:t>Stockbrokers registered with the stock exchanges having nationwide terminals, other than the members of the Syndicate and eligible to procure Bids in terms of the SEBI ICDR Master Circular and the SEBI circular no. CIR/CFD/14/2012 dated October 4, 2012, and the UPI Circulars</w:t>
      </w:r>
    </w:p>
    <w:p>
      <w:pPr>
        <w:spacing w:after="80" w:line="276" w:lineRule="auto"/>
      </w:pPr>
      <w:r>
        <w:rPr>
          <w:rFonts w:ascii="Calibri" w:hAnsi="Calibri"/>
          <w:color w:val="1E293B"/>
          <w:sz w:val="22"/>
        </w:rPr>
        <w:t>RTAs/Registrar and Share Transfer Agents</w:t>
      </w:r>
    </w:p>
    <w:p>
      <w:pPr>
        <w:spacing w:after="80" w:line="276" w:lineRule="auto"/>
      </w:pPr>
      <w:r>
        <w:rPr>
          <w:rFonts w:ascii="Calibri" w:hAnsi="Calibri"/>
          <w:color w:val="1E293B"/>
          <w:sz w:val="22"/>
        </w:rPr>
        <w:t>The registrar and share transfer agents registered with SEBI and eligible to procure Bids at the</w:t>
      </w:r>
    </w:p>
    <w:p>
      <w:pPr>
        <w:spacing w:after="80" w:line="276" w:lineRule="auto"/>
      </w:pPr>
      <w:r>
        <w:rPr>
          <w:rFonts w:ascii="Calibri" w:hAnsi="Calibri"/>
          <w:color w:val="1E293B"/>
          <w:sz w:val="22"/>
        </w:rPr>
        <w:t>Designated RTA Locations as per the list available on the websites of BSE and NSE, and the UPI Circulars</w:t>
      </w:r>
    </w:p>
    <w:p>
      <w:pPr>
        <w:spacing w:after="80" w:line="276" w:lineRule="auto"/>
      </w:pPr>
      <w:r>
        <w:rPr>
          <w:rFonts w:ascii="Calibri" w:hAnsi="Calibri"/>
          <w:color w:val="1E293B"/>
          <w:sz w:val="22"/>
        </w:rPr>
        <w:t>Registrar Agreement</w:t>
      </w:r>
    </w:p>
    <w:p>
      <w:pPr>
        <w:spacing w:after="80" w:line="276" w:lineRule="auto"/>
      </w:pPr>
      <w:r>
        <w:rPr>
          <w:rFonts w:ascii="Calibri" w:hAnsi="Calibri"/>
          <w:color w:val="1E293B"/>
          <w:sz w:val="22"/>
        </w:rPr>
        <w:t>The agreement dated May 22, 2025 Bluebird Capital LLP, the Promoter Selling Shareholders and the Registrar to the Offer in relation to the responsibilities and obligations of the Registrar to the Offer pertaining to the Offer</w:t>
      </w:r>
    </w:p>
    <w:p>
      <w:pPr>
        <w:spacing w:after="80" w:line="276" w:lineRule="auto"/>
      </w:pPr>
      <w:r>
        <w:rPr>
          <w:rFonts w:ascii="Calibri" w:hAnsi="Calibri"/>
          <w:color w:val="1E293B"/>
          <w:sz w:val="22"/>
        </w:rPr>
        <w:t>Registrar to the Offer</w:t>
      </w:r>
    </w:p>
    <w:p>
      <w:pPr>
        <w:spacing w:after="80" w:line="276" w:lineRule="auto"/>
      </w:pPr>
      <w:r>
        <w:rPr>
          <w:rFonts w:ascii="Calibri" w:hAnsi="Calibri"/>
          <w:color w:val="1E293B"/>
          <w:sz w:val="22"/>
        </w:rPr>
        <w:t>Bluebird Capital LLP (Acme Private Limited)</w:t>
      </w:r>
    </w:p>
    <w:p>
      <w:pPr>
        <w:spacing w:after="80" w:line="276" w:lineRule="auto"/>
      </w:pPr>
      <w:r>
        <w:rPr>
          <w:rFonts w:ascii="Calibri" w:hAnsi="Calibri"/>
          <w:color w:val="1E293B"/>
          <w:sz w:val="22"/>
        </w:rPr>
        <w:t>Retail Individual Investors(s)/ RII(s)</w:t>
      </w:r>
    </w:p>
    <w:p>
      <w:pPr>
        <w:spacing w:after="80" w:line="276" w:lineRule="auto"/>
      </w:pPr>
      <w:r>
        <w:rPr>
          <w:rFonts w:ascii="Calibri" w:hAnsi="Calibri"/>
          <w:color w:val="1E293B"/>
          <w:sz w:val="22"/>
        </w:rPr>
        <w:t>Individual Bidders, who have Bid for the Equity Shares for an amount not more than ₹0.20 million in any of the bidding options in the Offer (including HUFs applying through their Karta and Eligible NRIs and does not include NRIs other than Eligible NRIs)</w:t>
      </w:r>
    </w:p>
    <w:p>
      <w:pPr>
        <w:spacing w:after="80" w:line="276" w:lineRule="auto"/>
      </w:pPr>
      <w:r>
        <w:rPr>
          <w:rFonts w:ascii="Calibri" w:hAnsi="Calibri"/>
          <w:color w:val="1E293B"/>
          <w:sz w:val="22"/>
        </w:rPr>
        <w:t>Retail Portion</w:t>
      </w:r>
    </w:p>
    <w:p>
      <w:pPr>
        <w:spacing w:after="80" w:line="276" w:lineRule="auto"/>
      </w:pPr>
      <w:r>
        <w:rPr>
          <w:rFonts w:ascii="Calibri" w:hAnsi="Calibri"/>
          <w:color w:val="1E293B"/>
          <w:sz w:val="22"/>
        </w:rPr>
        <w:t>The portion of the Offer being not less than 35% of the Offer consisting of [●] Equity Shares of face value of ₹5 each, available for allocation to Retail Individual Investors as per the SEBI ICDR Regulations, subject to valid Bids being received at or above the Offer Price</w:t>
      </w:r>
    </w:p>
    <w:p>
      <w:pPr>
        <w:spacing w:after="80" w:line="276" w:lineRule="auto"/>
      </w:pPr>
      <w:r>
        <w:rPr>
          <w:rFonts w:ascii="Calibri" w:hAnsi="Calibri"/>
          <w:color w:val="1E293B"/>
          <w:sz w:val="22"/>
        </w:rPr>
        <w:t>Revision Form</w:t>
      </w:r>
    </w:p>
    <w:p>
      <w:pPr>
        <w:spacing w:after="80" w:line="276" w:lineRule="auto"/>
      </w:pPr>
      <w:r>
        <w:rPr>
          <w:rFonts w:ascii="Calibri" w:hAnsi="Calibri"/>
          <w:color w:val="1E293B"/>
          <w:sz w:val="22"/>
        </w:rPr>
        <w:t>Form used by the Bidders to modify the quantity of the Equity Shares or the Bid Amount in any of their ASBA Form(s) or any previous Revision Form(s)</w:t>
      </w:r>
    </w:p>
    <w:p>
      <w:pPr>
        <w:spacing w:after="80" w:line="276" w:lineRule="auto"/>
      </w:pPr>
      <w:r>
        <w:rPr>
          <w:rFonts w:ascii="Calibri" w:hAnsi="Calibri"/>
          <w:color w:val="1E293B"/>
          <w:sz w:val="22"/>
        </w:rPr>
        <w:t>QIB Bidders and Non-Institutional Investors are not allowed to withdraw or lower their Bids (in terms of quantity of Equity Shares or the Bid Amount) at any stage. Retail Individual Investors</w:t>
      </w:r>
    </w:p>
    <w:p>
      <w:pPr>
        <w:spacing w:after="80" w:line="276" w:lineRule="auto"/>
      </w:pPr>
      <w:r>
        <w:rPr>
          <w:rFonts w:ascii="Calibri" w:hAnsi="Calibri"/>
          <w:color w:val="1E293B"/>
          <w:sz w:val="22"/>
        </w:rPr>
        <w:t>can revise their Bids during the Bid/Offer Period and withdraw their Bids until Bid/Offer Closing Date</w:t>
      </w:r>
    </w:p>
    <w:p>
      <w:pPr>
        <w:spacing w:after="80" w:line="276" w:lineRule="auto"/>
      </w:pPr>
      <w:r>
        <w:rPr>
          <w:rFonts w:ascii="Calibri" w:hAnsi="Calibri"/>
          <w:color w:val="1E293B"/>
          <w:sz w:val="22"/>
        </w:rPr>
        <w:t>SCORES</w:t>
      </w:r>
    </w:p>
    <w:p>
      <w:pPr>
        <w:spacing w:after="80" w:line="276" w:lineRule="auto"/>
      </w:pPr>
      <w:r>
        <w:rPr>
          <w:rFonts w:ascii="Calibri" w:hAnsi="Calibri"/>
          <w:color w:val="1E293B"/>
          <w:sz w:val="22"/>
        </w:rPr>
        <w:t>SEBI Complaints Redressal Mechanism</w:t>
      </w:r>
    </w:p>
    <w:p>
      <w:pPr>
        <w:spacing w:after="80" w:line="276" w:lineRule="auto"/>
      </w:pPr>
      <w:r>
        <w:rPr>
          <w:rFonts w:ascii="Calibri" w:hAnsi="Calibri"/>
          <w:color w:val="1E293B"/>
          <w:sz w:val="22"/>
        </w:rPr>
        <w:t>Self-CertifiedSyndicateBank(s)/ SCSB(s)</w:t>
      </w:r>
    </w:p>
    <w:p>
      <w:pPr>
        <w:spacing w:after="80" w:line="276" w:lineRule="auto"/>
      </w:pPr>
      <w:r>
        <w:rPr>
          <w:rFonts w:ascii="Calibri" w:hAnsi="Calibri"/>
          <w:color w:val="1E293B"/>
          <w:sz w:val="22"/>
        </w:rPr>
        <w:t>The banks registered with SEBI, offering services in relation to ASBA (other than through UPI Mechanism), a list of which is available on the website of SEBI at www.sebi.gov.in/sebiweb/other/OtherAction.do?doRecognisedFpi=yes&amp;intmId=34or www.sebi.gov.in/sebiweb/other/OtherAction.do?doRecognisedFpi=yes&amp;intmId=35, as applicable, or such other website as updated from time to time, and</w:t>
      </w:r>
    </w:p>
    <w:p>
      <w:pPr>
        <w:spacing w:after="80" w:line="276" w:lineRule="auto"/>
      </w:pPr>
      <w:r>
        <w:rPr>
          <w:rFonts w:ascii="Calibri" w:hAnsi="Calibri"/>
          <w:color w:val="1E293B"/>
          <w:sz w:val="22"/>
        </w:rPr>
        <w:t>The banks registered with SEBI, enabled for UPI Mechanism, a list of which is available on thewebsiteofSEBIat</w:t>
      </w:r>
    </w:p>
    <w:p>
      <w:pPr>
        <w:spacing w:after="80" w:line="276" w:lineRule="auto"/>
      </w:pPr>
      <w:r>
        <w:rPr>
          <w:rFonts w:ascii="Calibri" w:hAnsi="Calibri"/>
          <w:color w:val="1E293B"/>
          <w:sz w:val="22"/>
        </w:rPr>
        <w:t>www.sebi.gov.in/sebiweb/other/OtherAction.do?doRecognisedFpi=yes&amp;intmId=40orsuch other website as updated from time to time</w:t>
      </w:r>
    </w:p>
    <w:p>
      <w:pPr>
        <w:spacing w:after="80" w:line="276" w:lineRule="auto"/>
      </w:pPr>
      <w:r>
        <w:rPr>
          <w:rFonts w:ascii="Calibri" w:hAnsi="Calibri"/>
          <w:color w:val="1E293B"/>
          <w:sz w:val="22"/>
        </w:rPr>
        <w:t>Share Escrow Agent</w:t>
      </w:r>
    </w:p>
    <w:p>
      <w:pPr>
        <w:spacing w:after="80" w:line="276" w:lineRule="auto"/>
      </w:pPr>
      <w:r>
        <w:rPr>
          <w:rFonts w:ascii="Calibri" w:hAnsi="Calibri"/>
          <w:color w:val="1E293B"/>
          <w:sz w:val="22"/>
        </w:rPr>
        <w:t>The share escrow agent appointed pursuant to the Share Escrow Agreement, namely, Bluebird Capital LLP (Acme Private Limited)</w:t>
      </w:r>
    </w:p>
    <w:p>
      <w:pPr>
        <w:spacing w:after="80" w:line="276" w:lineRule="auto"/>
      </w:pPr>
      <w:r>
        <w:rPr>
          <w:rFonts w:ascii="Calibri" w:hAnsi="Calibri"/>
          <w:color w:val="1E293B"/>
          <w:sz w:val="22"/>
        </w:rPr>
        <w:t>Share Escrow Agreement</w:t>
      </w:r>
    </w:p>
    <w:p>
      <w:pPr>
        <w:spacing w:after="80" w:line="276" w:lineRule="auto"/>
      </w:pPr>
      <w:r>
        <w:rPr>
          <w:rFonts w:ascii="Calibri" w:hAnsi="Calibri"/>
          <w:color w:val="1E293B"/>
          <w:sz w:val="22"/>
        </w:rPr>
        <w:t>The agreement dated December 6, 2025 Bluebird Capital LLP, the Promoter Selling Shareholders and the Share Escrow Agent in connection with the transfer of the respective portion of Equity Shares being offered by each Promoter Selling Shareholder in the Offer for Sale portion</w:t>
      </w:r>
    </w:p>
    <w:p>
      <w:pPr>
        <w:spacing w:after="80" w:line="276" w:lineRule="auto"/>
      </w:pPr>
      <w:r>
        <w:rPr>
          <w:rFonts w:ascii="Calibri" w:hAnsi="Calibri"/>
          <w:color w:val="1E293B"/>
          <w:sz w:val="22"/>
        </w:rPr>
        <w:t>of the Offer and credit of such Equity Shares to the demat account of the Allottees in accordance with the Basis of Allotment</w:t>
      </w:r>
    </w:p>
    <w:p>
      <w:pPr>
        <w:spacing w:after="80" w:line="276" w:lineRule="auto"/>
      </w:pPr>
      <w:r>
        <w:rPr>
          <w:rFonts w:ascii="Calibri" w:hAnsi="Calibri"/>
          <w:color w:val="1E293B"/>
          <w:sz w:val="22"/>
        </w:rPr>
        <w:t>Specified Locations</w:t>
      </w:r>
    </w:p>
    <w:p>
      <w:pPr>
        <w:spacing w:after="80" w:line="276" w:lineRule="auto"/>
      </w:pPr>
      <w:r>
        <w:rPr>
          <w:rFonts w:ascii="Calibri" w:hAnsi="Calibri"/>
          <w:color w:val="1E293B"/>
          <w:sz w:val="22"/>
        </w:rPr>
        <w:t>Bidding centres where the Syndicate shall accept ASBA Forms from Bidders, a list of which will be included in the Bid cum Application Form</w:t>
      </w:r>
    </w:p>
    <w:p>
      <w:pPr>
        <w:spacing w:after="80" w:line="276" w:lineRule="auto"/>
      </w:pPr>
      <w:r>
        <w:rPr>
          <w:rFonts w:ascii="Calibri" w:hAnsi="Calibri"/>
          <w:color w:val="1E293B"/>
          <w:sz w:val="22"/>
        </w:rPr>
        <w:t>Sponsor Banks</w:t>
      </w:r>
    </w:p>
    <w:p>
      <w:pPr>
        <w:spacing w:after="80" w:line="276" w:lineRule="auto"/>
      </w:pPr>
      <w:r>
        <w:rPr>
          <w:rFonts w:ascii="Calibri" w:hAnsi="Calibri"/>
          <w:color w:val="1E293B"/>
          <w:sz w:val="22"/>
        </w:rPr>
        <w:t>The Bankers to the Offer registered with SEBI, Acme Private Limited to act as a conduit between the Stock Exchanges and NPCI in order to push the UPI Mandate Request</w:t>
      </w:r>
    </w:p>
    <w:p>
      <w:pPr>
        <w:spacing w:after="80" w:line="276" w:lineRule="auto"/>
      </w:pPr>
      <w:r>
        <w:rPr>
          <w:rFonts w:ascii="Calibri" w:hAnsi="Calibri"/>
          <w:color w:val="1E293B"/>
          <w:sz w:val="22"/>
        </w:rPr>
        <w:t>and/or payment instructions of the UPI Bidders using the UPI and carry out other responsibilities, in terms of the UPI Circulars, Bluebird Capital LLP Northstar Technologies Ltd</w:t>
      </w:r>
    </w:p>
    <w:p>
      <w:pPr>
        <w:spacing w:after="80" w:line="276" w:lineRule="auto"/>
      </w:pPr>
      <w:r>
        <w:rPr>
          <w:rFonts w:ascii="Calibri" w:hAnsi="Calibri"/>
          <w:color w:val="1E293B"/>
          <w:sz w:val="22"/>
        </w:rPr>
        <w:t>Stock Exchanges</w:t>
      </w:r>
    </w:p>
    <w:p>
      <w:pPr>
        <w:spacing w:after="80" w:line="276" w:lineRule="auto"/>
      </w:pPr>
      <w:r>
        <w:rPr>
          <w:rFonts w:ascii="Calibri" w:hAnsi="Calibri"/>
          <w:color w:val="1E293B"/>
          <w:sz w:val="22"/>
        </w:rPr>
        <w:t>Collectively, Bluebird Capital LLP Bluebird Capital LLP</w:t>
      </w:r>
    </w:p>
    <w:p>
      <w:pPr>
        <w:spacing w:after="80" w:line="276" w:lineRule="auto"/>
      </w:pPr>
      <w:r>
        <w:rPr>
          <w:rFonts w:ascii="Calibri" w:hAnsi="Calibri"/>
          <w:color w:val="1E293B"/>
          <w:sz w:val="22"/>
        </w:rPr>
        <w:t>STT</w:t>
      </w:r>
    </w:p>
    <w:p>
      <w:pPr>
        <w:spacing w:after="80" w:line="276" w:lineRule="auto"/>
      </w:pPr>
      <w:r>
        <w:rPr>
          <w:rFonts w:ascii="Calibri" w:hAnsi="Calibri"/>
          <w:color w:val="1E293B"/>
          <w:sz w:val="22"/>
        </w:rPr>
        <w:t>Securities transaction tax</w:t>
      </w:r>
    </w:p>
    <w:p>
      <w:pPr>
        <w:spacing w:after="80" w:line="276" w:lineRule="auto"/>
      </w:pPr>
      <w:r>
        <w:rPr>
          <w:rFonts w:ascii="Calibri" w:hAnsi="Calibri"/>
          <w:color w:val="1E293B"/>
          <w:sz w:val="22"/>
        </w:rPr>
        <w:t>Syndicate Agreement</w:t>
      </w:r>
    </w:p>
    <w:p>
      <w:pPr>
        <w:spacing w:after="80" w:line="276" w:lineRule="auto"/>
      </w:pPr>
      <w:r>
        <w:rPr>
          <w:rFonts w:ascii="Calibri" w:hAnsi="Calibri"/>
          <w:color w:val="1E293B"/>
          <w:sz w:val="22"/>
        </w:rPr>
        <w:t>Agreement dated December 9, 2025, Acme Private Limited, the Promoter Selling</w:t>
      </w:r>
    </w:p>
    <w:p>
      <w:pPr>
        <w:spacing w:after="80" w:line="276" w:lineRule="auto"/>
      </w:pPr>
      <w:r>
        <w:rPr>
          <w:rFonts w:ascii="Calibri" w:hAnsi="Calibri"/>
          <w:color w:val="1E293B"/>
          <w:sz w:val="22"/>
        </w:rPr>
        <w:t>Shareholders, the BRLMs, the Syndicate Members and the Registrar to the Offer in relation to collection of Bid cum Application Forms by Syndicate</w:t>
      </w:r>
    </w:p>
    <w:p>
      <w:pPr>
        <w:spacing w:after="80" w:line="276" w:lineRule="auto"/>
      </w:pPr>
      <w:r>
        <w:rPr>
          <w:rFonts w:ascii="Calibri" w:hAnsi="Calibri"/>
          <w:color w:val="1E293B"/>
          <w:sz w:val="22"/>
        </w:rPr>
        <w:t>Syndicate Members</w:t>
      </w:r>
    </w:p>
    <w:p>
      <w:pPr>
        <w:spacing w:after="80" w:line="276" w:lineRule="auto"/>
      </w:pPr>
      <w:r>
        <w:rPr>
          <w:rFonts w:ascii="Calibri" w:hAnsi="Calibri"/>
          <w:color w:val="1E293B"/>
          <w:sz w:val="22"/>
        </w:rPr>
        <w:t>Intermediaries (other than the BRLMs) registered with SEBI who are permitted to accept bids, applications and place order with respect to the Offer and carry out activities as an underwriter,</w:t>
      </w:r>
    </w:p>
    <w:p>
      <w:pPr>
        <w:spacing w:after="80" w:line="276" w:lineRule="auto"/>
      </w:pPr>
      <w:r>
        <w:rPr>
          <w:rFonts w:ascii="Calibri" w:hAnsi="Calibri"/>
          <w:color w:val="1E293B"/>
          <w:sz w:val="22"/>
        </w:rPr>
        <w:t>namely, Acme Private Limited Bluebird Capital LLP</w:t>
      </w:r>
    </w:p>
    <w:p>
      <w:pPr>
        <w:spacing w:after="80" w:line="276" w:lineRule="auto"/>
      </w:pPr>
      <w:r>
        <w:rPr>
          <w:rFonts w:ascii="Calibri" w:hAnsi="Calibri"/>
          <w:color w:val="1E293B"/>
          <w:sz w:val="22"/>
        </w:rPr>
        <w:t>Term</w:t>
      </w:r>
    </w:p>
    <w:p>
      <w:pPr>
        <w:spacing w:after="80" w:line="276" w:lineRule="auto"/>
      </w:pPr>
      <w:r>
        <w:rPr>
          <w:rFonts w:ascii="Calibri" w:hAnsi="Calibri"/>
          <w:color w:val="1E293B"/>
          <w:sz w:val="22"/>
        </w:rPr>
        <w:t>Description</w:t>
      </w:r>
    </w:p>
    <w:p>
      <w:pPr>
        <w:spacing w:after="80" w:line="276" w:lineRule="auto"/>
      </w:pPr>
      <w:r>
        <w:rPr>
          <w:rFonts w:ascii="Calibri" w:hAnsi="Calibri"/>
          <w:color w:val="1E293B"/>
          <w:sz w:val="22"/>
        </w:rPr>
        <w:t>Syndicate/Members of the Syndicate</w:t>
      </w:r>
    </w:p>
    <w:p>
      <w:pPr>
        <w:spacing w:after="80" w:line="276" w:lineRule="auto"/>
      </w:pPr>
      <w:r>
        <w:rPr>
          <w:rFonts w:ascii="Calibri" w:hAnsi="Calibri"/>
          <w:color w:val="1E293B"/>
          <w:sz w:val="22"/>
        </w:rPr>
        <w:t>Together, the BRLMs and the Syndicate Members</w:t>
      </w:r>
    </w:p>
    <w:p>
      <w:pPr>
        <w:spacing w:after="80" w:line="276" w:lineRule="auto"/>
      </w:pPr>
      <w:r>
        <w:rPr>
          <w:rFonts w:ascii="Calibri" w:hAnsi="Calibri"/>
          <w:color w:val="1E293B"/>
          <w:sz w:val="22"/>
        </w:rPr>
        <w:t>Acme Private Limited/ NBFC-SI</w:t>
      </w:r>
    </w:p>
    <w:p>
      <w:pPr>
        <w:spacing w:after="80" w:line="276" w:lineRule="auto"/>
      </w:pPr>
      <w:r>
        <w:rPr>
          <w:rFonts w:ascii="Calibri" w:hAnsi="Calibri"/>
          <w:color w:val="1E293B"/>
          <w:sz w:val="22"/>
        </w:rPr>
        <w:t>Northstar Technologies Ltd as defined under Regulation 2(1)(iii) of the SEBI ICDR Regulations</w:t>
      </w:r>
    </w:p>
    <w:p>
      <w:pPr>
        <w:spacing w:after="80" w:line="276" w:lineRule="auto"/>
      </w:pPr>
      <w:r>
        <w:rPr>
          <w:rFonts w:ascii="Calibri" w:hAnsi="Calibri"/>
          <w:color w:val="1E293B"/>
          <w:sz w:val="22"/>
        </w:rPr>
        <w:t>Underwriters</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Underwriting Agreement</w:t>
      </w:r>
    </w:p>
    <w:p>
      <w:pPr>
        <w:spacing w:after="80" w:line="276" w:lineRule="auto"/>
      </w:pPr>
      <w:r>
        <w:rPr>
          <w:rFonts w:ascii="Calibri" w:hAnsi="Calibri"/>
          <w:color w:val="1E293B"/>
          <w:sz w:val="22"/>
        </w:rPr>
        <w:t>The agreement among the Underwriters, Bluebird Capital LLP to be entered into on or after the Pricing Date, but prior to filing of the Prospectus with the RoC</w:t>
      </w:r>
    </w:p>
    <w:p>
      <w:pPr>
        <w:spacing w:after="80" w:line="276" w:lineRule="auto"/>
      </w:pPr>
      <w:r>
        <w:rPr>
          <w:rFonts w:ascii="Calibri" w:hAnsi="Calibri"/>
          <w:color w:val="1E293B"/>
          <w:sz w:val="22"/>
        </w:rPr>
        <w:t>UPI</w:t>
      </w:r>
    </w:p>
    <w:p>
      <w:pPr>
        <w:spacing w:after="80" w:line="276" w:lineRule="auto"/>
      </w:pPr>
      <w:r>
        <w:rPr>
          <w:rFonts w:ascii="Calibri" w:hAnsi="Calibri"/>
          <w:color w:val="1E293B"/>
          <w:sz w:val="22"/>
        </w:rPr>
        <w:t>Unified Payments Interface, which is an instant payment mechanism, developed by NPCI</w:t>
      </w:r>
    </w:p>
    <w:p>
      <w:pPr>
        <w:spacing w:after="80" w:line="276" w:lineRule="auto"/>
      </w:pPr>
      <w:r>
        <w:rPr>
          <w:rFonts w:ascii="Calibri" w:hAnsi="Calibri"/>
          <w:color w:val="1E293B"/>
          <w:sz w:val="22"/>
        </w:rPr>
        <w:t>UPI Bidder(s)</w:t>
      </w:r>
    </w:p>
    <w:p>
      <w:pPr>
        <w:spacing w:after="80" w:line="276" w:lineRule="auto"/>
      </w:pPr>
      <w:r>
        <w:rPr>
          <w:rFonts w:ascii="Calibri" w:hAnsi="Calibri"/>
          <w:color w:val="1E293B"/>
          <w:sz w:val="22"/>
        </w:rPr>
        <w:t>Collectively, individual investors applying as Retail Individual Investors in the Retail Portion and individuals applying as Non-Institutional Investors with a Bid Amount of up to ₹0.50 million in the Non-Institutional Portion.</w:t>
      </w:r>
    </w:p>
    <w:p>
      <w:pPr>
        <w:spacing w:after="80" w:line="276" w:lineRule="auto"/>
      </w:pPr>
      <w:r>
        <w:rPr>
          <w:rFonts w:ascii="Calibri" w:hAnsi="Calibri"/>
          <w:color w:val="1E293B"/>
          <w:sz w:val="22"/>
        </w:rPr>
        <w:t>Pursuant to the SEBI ICDR Master Circular, all individual investors applying in public issues where the application amount is up to ₹0.50 million shall use UPI and shall provide their UPI ID in the bid-cum-application form submitted with: (i) a syndicate member, (ii) a stock broker registered with a recognized stock exchange (whose name Peter Parker website of the stock exchange as eligible for such activity), (iii) a depository participant (whose name Peter Parker website of the stock exchange as eligible for such activity), and (iv) a registrar to an issue and share transfer agent (whose name Peter Parker website of the stock exchange as eligible</w:t>
      </w:r>
    </w:p>
    <w:p>
      <w:pPr>
        <w:spacing w:after="80" w:line="276" w:lineRule="auto"/>
      </w:pPr>
      <w:r>
        <w:rPr>
          <w:rFonts w:ascii="Calibri" w:hAnsi="Calibri"/>
          <w:color w:val="1E293B"/>
          <w:sz w:val="22"/>
        </w:rPr>
        <w:t>for such activity)</w:t>
      </w:r>
    </w:p>
    <w:p>
      <w:pPr>
        <w:spacing w:after="80" w:line="276" w:lineRule="auto"/>
      </w:pPr>
      <w:r>
        <w:rPr>
          <w:rFonts w:ascii="Calibri" w:hAnsi="Calibri"/>
          <w:color w:val="1E293B"/>
          <w:sz w:val="22"/>
        </w:rPr>
        <w:t>UPI Circulars</w:t>
      </w:r>
    </w:p>
    <w:p>
      <w:pPr>
        <w:spacing w:after="80" w:line="276" w:lineRule="auto"/>
      </w:pPr>
      <w:r>
        <w:rPr>
          <w:rFonts w:ascii="Calibri" w:hAnsi="Calibri"/>
          <w:color w:val="1E293B"/>
          <w:sz w:val="22"/>
        </w:rPr>
        <w:t>SEBI circular number SEBI/HO/CFD/DIL2/CIR/P/2019/85 dated July 26, 2019 and SEBI master circular with circular number SEBI/HO/MIRSD/POD-1/P/CIR/2024/37 dated May 7, 2024, SEBI ICDR Master Circular and any subsequent circulars or notifications issued by SEBI in this regard (to the extent that such circulars pertain to the UPI Mechanism), along with the circulars issued by the Stock Exchanges in this regard, including the circular issued by the NSE having reference number 25/2022 dated August 3, 2022, the circular issued by BSE having reference number 20220803-40 dated August 3, 2022 and SEBI circular number SEBI/HO/DEPA-II/DEPA-II_SRG/P/CIR/2025/86 dated June 11, 2025 and any subsequent</w:t>
      </w:r>
    </w:p>
    <w:p>
      <w:pPr>
        <w:spacing w:after="80" w:line="276" w:lineRule="auto"/>
      </w:pPr>
      <w:r>
        <w:rPr>
          <w:rFonts w:ascii="Calibri" w:hAnsi="Calibri"/>
          <w:color w:val="1E293B"/>
          <w:sz w:val="22"/>
        </w:rPr>
        <w:t>circulars or notifications issued by SEBI or Stock Exchanges in this regard from time to time</w:t>
      </w:r>
    </w:p>
    <w:p>
      <w:pPr>
        <w:spacing w:after="80" w:line="276" w:lineRule="auto"/>
      </w:pPr>
      <w:r>
        <w:rPr>
          <w:rFonts w:ascii="Calibri" w:hAnsi="Calibri"/>
          <w:color w:val="1E293B"/>
          <w:sz w:val="22"/>
        </w:rPr>
        <w:t>UPI ID</w:t>
      </w:r>
    </w:p>
    <w:p>
      <w:pPr>
        <w:spacing w:after="80" w:line="276" w:lineRule="auto"/>
      </w:pPr>
      <w:r>
        <w:rPr>
          <w:rFonts w:ascii="Calibri" w:hAnsi="Calibri"/>
          <w:color w:val="1E293B"/>
          <w:sz w:val="22"/>
        </w:rPr>
        <w:t>ID created on UPI for single-window mobile payment system developed by the NPCI</w:t>
      </w:r>
    </w:p>
    <w:p>
      <w:pPr>
        <w:spacing w:after="80" w:line="276" w:lineRule="auto"/>
      </w:pPr>
      <w:r>
        <w:rPr>
          <w:rFonts w:ascii="Calibri" w:hAnsi="Calibri"/>
          <w:color w:val="1E293B"/>
          <w:sz w:val="22"/>
        </w:rPr>
        <w:t>UPI Mandate Request</w:t>
      </w:r>
    </w:p>
    <w:p>
      <w:pPr>
        <w:spacing w:after="80" w:line="276" w:lineRule="auto"/>
      </w:pPr>
      <w:r>
        <w:rPr>
          <w:rFonts w:ascii="Calibri" w:hAnsi="Calibri"/>
          <w:color w:val="1E293B"/>
          <w:sz w:val="22"/>
        </w:rPr>
        <w:t>A request (intimating the UPI Bidders, by way of a notification on the UPI linked mobile application as disclosed by SCSBs on the website of SEBI and by way of an SMS directing the UPI Bidders to such UPI linked mobile application) to the UPI Bidders using the UPI Mechanism initiated by the Sponsor Banks to authorize blocking of funds equivalent to the Bid Amount in the relevant ASBA Account through the UPI linked mobile application, and the subsequent debit of</w:t>
      </w:r>
    </w:p>
    <w:p>
      <w:pPr>
        <w:spacing w:after="80" w:line="276" w:lineRule="auto"/>
      </w:pPr>
      <w:r>
        <w:rPr>
          <w:rFonts w:ascii="Calibri" w:hAnsi="Calibri"/>
          <w:color w:val="1E293B"/>
          <w:sz w:val="22"/>
        </w:rPr>
        <w:t>funds in case of Allotment</w:t>
      </w:r>
    </w:p>
    <w:p>
      <w:pPr>
        <w:spacing w:after="80" w:line="276" w:lineRule="auto"/>
      </w:pPr>
      <w:r>
        <w:rPr>
          <w:rFonts w:ascii="Calibri" w:hAnsi="Calibri"/>
          <w:color w:val="1E293B"/>
          <w:sz w:val="22"/>
        </w:rPr>
        <w:t>UPI Mechanism</w:t>
      </w:r>
    </w:p>
    <w:p>
      <w:pPr>
        <w:spacing w:after="80" w:line="276" w:lineRule="auto"/>
      </w:pPr>
      <w:r>
        <w:rPr>
          <w:rFonts w:ascii="Calibri" w:hAnsi="Calibri"/>
          <w:color w:val="1E293B"/>
          <w:sz w:val="22"/>
        </w:rPr>
        <w:t>The Bidding mechanism that may be used by UPI Bidders to make Bids in the Offer in accordance with UPI Circulars</w:t>
      </w:r>
    </w:p>
    <w:p>
      <w:pPr>
        <w:spacing w:after="80" w:line="276" w:lineRule="auto"/>
      </w:pPr>
      <w:r>
        <w:rPr>
          <w:rFonts w:ascii="Calibri" w:hAnsi="Calibri"/>
          <w:color w:val="1E293B"/>
          <w:sz w:val="22"/>
        </w:rPr>
        <w:t>UPI PIN</w:t>
      </w:r>
    </w:p>
    <w:p>
      <w:pPr>
        <w:spacing w:after="80" w:line="276" w:lineRule="auto"/>
      </w:pPr>
      <w:r>
        <w:rPr>
          <w:rFonts w:ascii="Calibri" w:hAnsi="Calibri"/>
          <w:color w:val="1E293B"/>
          <w:sz w:val="22"/>
        </w:rPr>
        <w:t>Password to authenticate UPI transaction</w:t>
      </w:r>
    </w:p>
    <w:p>
      <w:pPr>
        <w:spacing w:after="80" w:line="276" w:lineRule="auto"/>
      </w:pPr>
      <w:r>
        <w:rPr>
          <w:rFonts w:ascii="Calibri" w:hAnsi="Calibri"/>
          <w:color w:val="1E293B"/>
          <w:sz w:val="22"/>
        </w:rPr>
        <w:t>Wilful Defaulter</w:t>
      </w:r>
    </w:p>
    <w:p>
      <w:pPr>
        <w:spacing w:after="80" w:line="276" w:lineRule="auto"/>
      </w:pPr>
      <w:r>
        <w:rPr>
          <w:rFonts w:ascii="Calibri" w:hAnsi="Calibri"/>
          <w:color w:val="1E293B"/>
          <w:sz w:val="22"/>
        </w:rPr>
        <w:t>Wilful defaulter as defined under Regulation 2(1)(lll) of the SEBI ICDR Regulations</w:t>
      </w:r>
    </w:p>
    <w:p>
      <w:pPr>
        <w:spacing w:after="80" w:line="276" w:lineRule="auto"/>
      </w:pPr>
      <w:r>
        <w:rPr>
          <w:rFonts w:ascii="Calibri" w:hAnsi="Calibri"/>
          <w:color w:val="1E293B"/>
          <w:sz w:val="22"/>
        </w:rPr>
        <w:t>Working Day</w:t>
      </w:r>
    </w:p>
    <w:p>
      <w:pPr>
        <w:spacing w:after="80" w:line="276" w:lineRule="auto"/>
      </w:pPr>
      <w:r>
        <w:rPr>
          <w:rFonts w:ascii="Calibri" w:hAnsi="Calibri"/>
          <w:color w:val="1E293B"/>
          <w:sz w:val="22"/>
        </w:rPr>
        <w:t>All days on which commercial banks in Mumbai, India are open for business, provided however, for the purpose of announcement of the Price Band and the Bid/Offer Period, “Working Day” shall mean all days, excluding all Saturdays, Sundays and public holidays on which commercial banks in Maharashtra, India are open for business and the time period between the Bid/Offer Closing Date and listing of the Equity Shares on the Stock Exchanges, “Working Day” shall mean all trading days of the Stock Exchanges excluding Sundays and bank holidays in India in</w:t>
      </w:r>
    </w:p>
    <w:p>
      <w:pPr>
        <w:spacing w:after="80" w:line="276" w:lineRule="auto"/>
      </w:pPr>
      <w:r>
        <w:rPr>
          <w:rFonts w:ascii="Calibri" w:hAnsi="Calibri"/>
          <w:color w:val="1E293B"/>
          <w:sz w:val="22"/>
        </w:rPr>
        <w:t>accordance with circulars issued by SEBI, including UPI Circulars</w:t>
      </w:r>
    </w:p>
    <w:p>
      <w:pPr>
        <w:spacing w:after="80" w:line="276" w:lineRule="auto"/>
      </w:pPr>
      <w:r>
        <w:rPr>
          <w:rFonts w:ascii="Calibri" w:hAnsi="Calibri"/>
          <w:color w:val="1E293B"/>
          <w:sz w:val="22"/>
        </w:rPr>
        <w:t>Conventional and General Terms and Abbreviations</w:t>
      </w:r>
    </w:p>
    <w:p>
      <w:pPr>
        <w:spacing w:after="80" w:line="276" w:lineRule="auto"/>
      </w:pPr>
      <w:r>
        <w:rPr>
          <w:rFonts w:ascii="Calibri" w:hAnsi="Calibri"/>
          <w:color w:val="1E293B"/>
          <w:sz w:val="22"/>
        </w:rPr>
        <w:t>Term</w:t>
      </w:r>
    </w:p>
    <w:p>
      <w:pPr>
        <w:spacing w:after="80" w:line="276" w:lineRule="auto"/>
      </w:pPr>
      <w:r>
        <w:rPr>
          <w:rFonts w:ascii="Calibri" w:hAnsi="Calibri"/>
          <w:color w:val="1E293B"/>
          <w:sz w:val="22"/>
        </w:rPr>
        <w:t>Description</w:t>
      </w:r>
    </w:p>
    <w:p>
      <w:pPr>
        <w:spacing w:after="80" w:line="276" w:lineRule="auto"/>
      </w:pPr>
      <w:r>
        <w:rPr>
          <w:rFonts w:ascii="Calibri" w:hAnsi="Calibri"/>
          <w:color w:val="1E293B"/>
          <w:sz w:val="22"/>
        </w:rPr>
        <w:t>AIF</w:t>
      </w:r>
    </w:p>
    <w:p>
      <w:pPr>
        <w:spacing w:after="80" w:line="276" w:lineRule="auto"/>
      </w:pPr>
      <w:r>
        <w:rPr>
          <w:rFonts w:ascii="Calibri" w:hAnsi="Calibri"/>
          <w:color w:val="1E293B"/>
          <w:sz w:val="22"/>
        </w:rPr>
        <w:t>Alternate Investment Fund</w:t>
      </w:r>
    </w:p>
    <w:p>
      <w:pPr>
        <w:spacing w:after="80" w:line="276" w:lineRule="auto"/>
      </w:pPr>
      <w:r>
        <w:rPr>
          <w:rFonts w:ascii="Calibri" w:hAnsi="Calibri"/>
          <w:color w:val="1E293B"/>
          <w:sz w:val="22"/>
        </w:rPr>
        <w:t>A.Y.</w:t>
      </w:r>
    </w:p>
    <w:p>
      <w:pPr>
        <w:spacing w:after="80" w:line="276" w:lineRule="auto"/>
      </w:pPr>
      <w:r>
        <w:rPr>
          <w:rFonts w:ascii="Calibri" w:hAnsi="Calibri"/>
          <w:color w:val="1E293B"/>
          <w:sz w:val="22"/>
        </w:rPr>
        <w:t>Assessment year</w:t>
      </w:r>
    </w:p>
    <w:p>
      <w:pPr>
        <w:spacing w:after="80" w:line="276" w:lineRule="auto"/>
      </w:pPr>
      <w:r>
        <w:rPr>
          <w:rFonts w:ascii="Calibri" w:hAnsi="Calibri"/>
          <w:color w:val="1E293B"/>
          <w:sz w:val="22"/>
        </w:rPr>
        <w:t>BSE</w:t>
      </w:r>
    </w:p>
    <w:p>
      <w:pPr>
        <w:spacing w:after="80" w:line="276" w:lineRule="auto"/>
      </w:pPr>
      <w:r>
        <w:rPr>
          <w:rFonts w:ascii="Calibri" w:hAnsi="Calibri"/>
          <w:color w:val="1E293B"/>
          <w:sz w:val="22"/>
        </w:rPr>
        <w:t>Bluebird Capital LLP</w:t>
      </w:r>
    </w:p>
    <w:p>
      <w:pPr>
        <w:spacing w:after="80" w:line="276" w:lineRule="auto"/>
      </w:pPr>
      <w:r>
        <w:rPr>
          <w:rFonts w:ascii="Calibri" w:hAnsi="Calibri"/>
          <w:color w:val="1E293B"/>
          <w:sz w:val="22"/>
        </w:rPr>
        <w:t>Calendar Year or year</w:t>
      </w:r>
    </w:p>
    <w:p>
      <w:pPr>
        <w:spacing w:after="80" w:line="276" w:lineRule="auto"/>
      </w:pPr>
      <w:r>
        <w:rPr>
          <w:rFonts w:ascii="Calibri" w:hAnsi="Calibri"/>
          <w:color w:val="1E293B"/>
          <w:sz w:val="22"/>
        </w:rPr>
        <w:t>Unless the context otherwise requires, shall refer to the twelve-month period ending December 31</w:t>
      </w:r>
    </w:p>
    <w:p>
      <w:pPr>
        <w:spacing w:after="80" w:line="276" w:lineRule="auto"/>
      </w:pPr>
      <w:r>
        <w:rPr>
          <w:rFonts w:ascii="Calibri" w:hAnsi="Calibri"/>
          <w:color w:val="1E293B"/>
          <w:sz w:val="22"/>
        </w:rPr>
        <w:t>Category I AIF</w:t>
      </w:r>
    </w:p>
    <w:p>
      <w:pPr>
        <w:spacing w:after="80" w:line="276" w:lineRule="auto"/>
      </w:pPr>
      <w:r>
        <w:rPr>
          <w:rFonts w:ascii="Calibri" w:hAnsi="Calibri"/>
          <w:color w:val="1E293B"/>
          <w:sz w:val="22"/>
        </w:rPr>
        <w:t>AIFs registered as “Category I alternative investment funds” under the SEBI AIF Regulations</w:t>
      </w:r>
    </w:p>
    <w:p>
      <w:pPr>
        <w:spacing w:after="80" w:line="276" w:lineRule="auto"/>
      </w:pPr>
      <w:r>
        <w:rPr>
          <w:rFonts w:ascii="Calibri" w:hAnsi="Calibri"/>
          <w:color w:val="1E293B"/>
          <w:sz w:val="22"/>
        </w:rPr>
        <w:t>Category I FPIs</w:t>
      </w:r>
    </w:p>
    <w:p>
      <w:pPr>
        <w:spacing w:after="80" w:line="276" w:lineRule="auto"/>
      </w:pPr>
      <w:r>
        <w:rPr>
          <w:rFonts w:ascii="Calibri" w:hAnsi="Calibri"/>
          <w:color w:val="1E293B"/>
          <w:sz w:val="22"/>
        </w:rPr>
        <w:t>FPIs registered as “Category I foreign portfolio investors” under the SEBI FPI Regulations</w:t>
      </w:r>
    </w:p>
    <w:p>
      <w:pPr>
        <w:spacing w:after="80" w:line="276" w:lineRule="auto"/>
      </w:pPr>
      <w:r>
        <w:rPr>
          <w:rFonts w:ascii="Calibri" w:hAnsi="Calibri"/>
          <w:color w:val="1E293B"/>
          <w:sz w:val="22"/>
        </w:rPr>
        <w:t>Category II AIF</w:t>
      </w:r>
    </w:p>
    <w:p>
      <w:pPr>
        <w:spacing w:after="80" w:line="276" w:lineRule="auto"/>
      </w:pPr>
      <w:r>
        <w:rPr>
          <w:rFonts w:ascii="Calibri" w:hAnsi="Calibri"/>
          <w:color w:val="1E293B"/>
          <w:sz w:val="22"/>
        </w:rPr>
        <w:t>AIFs registered as “Category II alternative investment funds” under the SEBI AIF Regulations</w:t>
      </w:r>
    </w:p>
    <w:p>
      <w:pPr>
        <w:spacing w:after="80" w:line="276" w:lineRule="auto"/>
      </w:pPr>
      <w:r>
        <w:rPr>
          <w:rFonts w:ascii="Calibri" w:hAnsi="Calibri"/>
          <w:color w:val="1E293B"/>
          <w:sz w:val="22"/>
        </w:rPr>
        <w:t>Category II FPIs</w:t>
      </w:r>
    </w:p>
    <w:p>
      <w:pPr>
        <w:spacing w:after="80" w:line="276" w:lineRule="auto"/>
      </w:pPr>
      <w:r>
        <w:rPr>
          <w:rFonts w:ascii="Calibri" w:hAnsi="Calibri"/>
          <w:color w:val="1E293B"/>
          <w:sz w:val="22"/>
        </w:rPr>
        <w:t>FPIs registered as “Category II foreign portfolio investors” under the SEBI FPI Regulations</w:t>
      </w:r>
    </w:p>
    <w:p>
      <w:pPr>
        <w:spacing w:after="80" w:line="276" w:lineRule="auto"/>
      </w:pPr>
      <w:r>
        <w:rPr>
          <w:rFonts w:ascii="Calibri" w:hAnsi="Calibri"/>
          <w:color w:val="1E293B"/>
          <w:sz w:val="22"/>
        </w:rPr>
        <w:t>Category III AIF</w:t>
      </w:r>
    </w:p>
    <w:p>
      <w:pPr>
        <w:spacing w:after="80" w:line="276" w:lineRule="auto"/>
      </w:pPr>
      <w:r>
        <w:rPr>
          <w:rFonts w:ascii="Calibri" w:hAnsi="Calibri"/>
          <w:color w:val="1E293B"/>
          <w:sz w:val="22"/>
        </w:rPr>
        <w:t>AIFs registered as “Category III alternative investment funds” under the SEBI AIF Regulations</w:t>
      </w:r>
    </w:p>
    <w:p>
      <w:pPr>
        <w:spacing w:after="80" w:line="276" w:lineRule="auto"/>
      </w:pPr>
      <w:r>
        <w:rPr>
          <w:rFonts w:ascii="Calibri" w:hAnsi="Calibri"/>
          <w:color w:val="1E293B"/>
          <w:sz w:val="22"/>
        </w:rPr>
        <w:t>CAGR</w:t>
      </w:r>
    </w:p>
    <w:p>
      <w:pPr>
        <w:spacing w:after="80" w:line="276" w:lineRule="auto"/>
      </w:pPr>
      <w:r>
        <w:rPr>
          <w:rFonts w:ascii="Calibri" w:hAnsi="Calibri"/>
          <w:color w:val="1E293B"/>
          <w:sz w:val="22"/>
        </w:rPr>
        <w:t>Compound Annual Growth Rate</w:t>
      </w:r>
    </w:p>
    <w:p>
      <w:pPr>
        <w:spacing w:after="80" w:line="276" w:lineRule="auto"/>
      </w:pPr>
      <w:r>
        <w:rPr>
          <w:rFonts w:ascii="Calibri" w:hAnsi="Calibri"/>
          <w:color w:val="1E293B"/>
          <w:sz w:val="22"/>
        </w:rPr>
        <w:t>CDSL</w:t>
      </w:r>
    </w:p>
    <w:p>
      <w:pPr>
        <w:spacing w:after="80" w:line="276" w:lineRule="auto"/>
      </w:pPr>
      <w:r>
        <w:rPr>
          <w:rFonts w:ascii="Calibri" w:hAnsi="Calibri"/>
          <w:color w:val="1E293B"/>
          <w:sz w:val="22"/>
        </w:rPr>
        <w:t>Central Depository Services (India) Limited</w:t>
      </w:r>
    </w:p>
    <w:p>
      <w:pPr>
        <w:spacing w:after="80" w:line="276" w:lineRule="auto"/>
      </w:pPr>
      <w:r>
        <w:rPr>
          <w:rFonts w:ascii="Calibri" w:hAnsi="Calibri"/>
          <w:color w:val="1E293B"/>
          <w:sz w:val="22"/>
        </w:rPr>
        <w:t>CESTAT</w:t>
      </w:r>
    </w:p>
    <w:p>
      <w:pPr>
        <w:spacing w:after="80" w:line="276" w:lineRule="auto"/>
      </w:pPr>
      <w:r>
        <w:rPr>
          <w:rFonts w:ascii="Calibri" w:hAnsi="Calibri"/>
          <w:color w:val="1E293B"/>
          <w:sz w:val="22"/>
        </w:rPr>
        <w:t>Customs, Excise and Service Tax Appellate Tribunal</w:t>
      </w:r>
    </w:p>
    <w:p>
      <w:pPr>
        <w:spacing w:after="80" w:line="276" w:lineRule="auto"/>
      </w:pPr>
      <w:r>
        <w:rPr>
          <w:rFonts w:ascii="Calibri" w:hAnsi="Calibri"/>
          <w:color w:val="1E293B"/>
          <w:sz w:val="22"/>
        </w:rPr>
        <w:t>Companies Act, 1956</w:t>
      </w:r>
    </w:p>
    <w:p>
      <w:pPr>
        <w:spacing w:after="80" w:line="276" w:lineRule="auto"/>
      </w:pPr>
      <w:r>
        <w:rPr>
          <w:rFonts w:ascii="Calibri" w:hAnsi="Calibri"/>
          <w:color w:val="1E293B"/>
          <w:sz w:val="22"/>
        </w:rPr>
        <w:t>Companies Act, 1956, and the rules, regulations, notifications, modifications and clarifications made thereunder, as the context requires</w:t>
      </w:r>
    </w:p>
    <w:p>
      <w:pPr>
        <w:spacing w:after="80" w:line="276" w:lineRule="auto"/>
      </w:pPr>
      <w:r>
        <w:rPr>
          <w:rFonts w:ascii="Calibri" w:hAnsi="Calibri"/>
          <w:color w:val="1E293B"/>
          <w:sz w:val="22"/>
        </w:rPr>
        <w:t>Companies Act, 2013/ Companies Act</w:t>
      </w:r>
    </w:p>
    <w:p>
      <w:pPr>
        <w:spacing w:after="80" w:line="276" w:lineRule="auto"/>
      </w:pPr>
      <w:r>
        <w:rPr>
          <w:rFonts w:ascii="Calibri" w:hAnsi="Calibri"/>
          <w:color w:val="1E293B"/>
          <w:sz w:val="22"/>
        </w:rPr>
        <w:t>Companies Act, 2013 and the rules, regulations, notifications, modifications and clarifications thereunder</w:t>
      </w:r>
    </w:p>
    <w:p>
      <w:pPr>
        <w:spacing w:after="80" w:line="276" w:lineRule="auto"/>
      </w:pPr>
      <w:r>
        <w:rPr>
          <w:rFonts w:ascii="Calibri" w:hAnsi="Calibri"/>
          <w:color w:val="1E293B"/>
          <w:sz w:val="22"/>
        </w:rPr>
        <w:t>CSR</w:t>
      </w:r>
    </w:p>
    <w:p>
      <w:pPr>
        <w:spacing w:after="80" w:line="276" w:lineRule="auto"/>
      </w:pPr>
      <w:r>
        <w:rPr>
          <w:rFonts w:ascii="Calibri" w:hAnsi="Calibri"/>
          <w:color w:val="1E293B"/>
          <w:sz w:val="22"/>
        </w:rPr>
        <w:t>Corporate social responsibility</w:t>
      </w:r>
    </w:p>
    <w:p>
      <w:pPr>
        <w:spacing w:after="80" w:line="276" w:lineRule="auto"/>
      </w:pPr>
      <w:r>
        <w:rPr>
          <w:rFonts w:ascii="Calibri" w:hAnsi="Calibri"/>
          <w:color w:val="1E293B"/>
          <w:sz w:val="22"/>
        </w:rPr>
        <w:t>Term</w:t>
      </w:r>
    </w:p>
    <w:p>
      <w:pPr>
        <w:spacing w:after="80" w:line="276" w:lineRule="auto"/>
      </w:pPr>
      <w:r>
        <w:rPr>
          <w:rFonts w:ascii="Calibri" w:hAnsi="Calibri"/>
          <w:color w:val="1E293B"/>
          <w:sz w:val="22"/>
        </w:rPr>
        <w:t>Description</w:t>
      </w:r>
    </w:p>
    <w:p>
      <w:pPr>
        <w:spacing w:after="80" w:line="276" w:lineRule="auto"/>
      </w:pPr>
      <w:r>
        <w:rPr>
          <w:rFonts w:ascii="Calibri" w:hAnsi="Calibri"/>
          <w:color w:val="1E293B"/>
          <w:sz w:val="22"/>
        </w:rPr>
        <w:t>Depositories Act</w:t>
      </w:r>
    </w:p>
    <w:p>
      <w:pPr>
        <w:spacing w:after="80" w:line="276" w:lineRule="auto"/>
      </w:pPr>
      <w:r>
        <w:rPr>
          <w:rFonts w:ascii="Calibri" w:hAnsi="Calibri"/>
          <w:color w:val="1E293B"/>
          <w:sz w:val="22"/>
        </w:rPr>
        <w:t>Depositories Act, 1996 read with the rules and regulations thereunder</w:t>
      </w:r>
    </w:p>
    <w:p>
      <w:pPr>
        <w:spacing w:after="80" w:line="276" w:lineRule="auto"/>
      </w:pPr>
      <w:r>
        <w:rPr>
          <w:rFonts w:ascii="Calibri" w:hAnsi="Calibri"/>
          <w:color w:val="1E293B"/>
          <w:sz w:val="22"/>
        </w:rPr>
        <w:t>Depository or Depositories</w:t>
      </w:r>
    </w:p>
    <w:p>
      <w:pPr>
        <w:spacing w:after="80" w:line="276" w:lineRule="auto"/>
      </w:pPr>
      <w:r>
        <w:rPr>
          <w:rFonts w:ascii="Calibri" w:hAnsi="Calibri"/>
          <w:color w:val="1E293B"/>
          <w:sz w:val="22"/>
        </w:rPr>
        <w:t>NSDL and/or CDSL</w:t>
      </w:r>
    </w:p>
    <w:p>
      <w:pPr>
        <w:spacing w:after="80" w:line="276" w:lineRule="auto"/>
      </w:pPr>
      <w:r>
        <w:rPr>
          <w:rFonts w:ascii="Calibri" w:hAnsi="Calibri"/>
          <w:color w:val="1E293B"/>
          <w:sz w:val="22"/>
        </w:rPr>
        <w:t>DIN</w:t>
      </w:r>
    </w:p>
    <w:p>
      <w:pPr>
        <w:spacing w:after="80" w:line="276" w:lineRule="auto"/>
      </w:pPr>
      <w:r>
        <w:rPr>
          <w:rFonts w:ascii="Calibri" w:hAnsi="Calibri"/>
          <w:color w:val="1E293B"/>
          <w:sz w:val="22"/>
        </w:rPr>
        <w:t>Director Ananya Sharma</w:t>
      </w:r>
    </w:p>
    <w:p>
      <w:pPr>
        <w:spacing w:after="80" w:line="276" w:lineRule="auto"/>
      </w:pPr>
      <w:r>
        <w:rPr>
          <w:rFonts w:ascii="Calibri" w:hAnsi="Calibri"/>
          <w:color w:val="1E293B"/>
          <w:sz w:val="22"/>
        </w:rPr>
        <w:t>DP ID</w:t>
      </w:r>
    </w:p>
    <w:p>
      <w:pPr>
        <w:spacing w:after="80" w:line="276" w:lineRule="auto"/>
      </w:pPr>
      <w:r>
        <w:rPr>
          <w:rFonts w:ascii="Calibri" w:hAnsi="Calibri"/>
          <w:color w:val="1E293B"/>
          <w:sz w:val="22"/>
        </w:rPr>
        <w:t>Depository Participant’s Identification Number</w:t>
      </w:r>
    </w:p>
    <w:p>
      <w:pPr>
        <w:spacing w:after="80" w:line="276" w:lineRule="auto"/>
      </w:pPr>
      <w:r>
        <w:rPr>
          <w:rFonts w:ascii="Calibri" w:hAnsi="Calibri"/>
          <w:color w:val="1E293B"/>
          <w:sz w:val="22"/>
        </w:rPr>
        <w:t>DP/ Depository Participant</w:t>
      </w:r>
    </w:p>
    <w:p>
      <w:pPr>
        <w:spacing w:after="80" w:line="276" w:lineRule="auto"/>
      </w:pPr>
      <w:r>
        <w:rPr>
          <w:rFonts w:ascii="Calibri" w:hAnsi="Calibri"/>
          <w:color w:val="1E293B"/>
          <w:sz w:val="22"/>
        </w:rPr>
        <w:t>A depository participant as defined under the Depositories Act</w:t>
      </w:r>
    </w:p>
    <w:p>
      <w:pPr>
        <w:spacing w:after="80" w:line="276" w:lineRule="auto"/>
      </w:pPr>
      <w:r>
        <w:rPr>
          <w:rFonts w:ascii="Calibri" w:hAnsi="Calibri"/>
          <w:color w:val="1E293B"/>
          <w:sz w:val="22"/>
        </w:rPr>
        <w:t>DPIIT</w:t>
      </w:r>
    </w:p>
    <w:p>
      <w:pPr>
        <w:spacing w:after="80" w:line="276" w:lineRule="auto"/>
      </w:pPr>
      <w:r>
        <w:rPr>
          <w:rFonts w:ascii="Calibri" w:hAnsi="Calibri"/>
          <w:color w:val="1E293B"/>
          <w:sz w:val="22"/>
        </w:rPr>
        <w:t>The Department for Promotion of Industry and Internal Trade, Ministry of Commerce and Industry, Government of India</w:t>
      </w:r>
    </w:p>
    <w:p>
      <w:pPr>
        <w:spacing w:after="80" w:line="276" w:lineRule="auto"/>
      </w:pPr>
      <w:r>
        <w:rPr>
          <w:rFonts w:ascii="Calibri" w:hAnsi="Calibri"/>
          <w:color w:val="1E293B"/>
          <w:sz w:val="22"/>
        </w:rPr>
        <w:t>EBIT</w:t>
      </w:r>
    </w:p>
    <w:p>
      <w:pPr>
        <w:spacing w:after="80" w:line="276" w:lineRule="auto"/>
      </w:pPr>
      <w:r>
        <w:rPr>
          <w:rFonts w:ascii="Calibri" w:hAnsi="Calibri"/>
          <w:color w:val="1E293B"/>
          <w:sz w:val="22"/>
        </w:rPr>
        <w:t>Earnings before interest and taxes</w:t>
      </w:r>
    </w:p>
    <w:p>
      <w:pPr>
        <w:spacing w:after="80" w:line="276" w:lineRule="auto"/>
      </w:pPr>
      <w:r>
        <w:rPr>
          <w:rFonts w:ascii="Calibri" w:hAnsi="Calibri"/>
          <w:color w:val="1E293B"/>
          <w:sz w:val="22"/>
        </w:rPr>
        <w:t>Factories Act</w:t>
      </w:r>
    </w:p>
    <w:p>
      <w:pPr>
        <w:spacing w:after="80" w:line="276" w:lineRule="auto"/>
      </w:pPr>
      <w:r>
        <w:rPr>
          <w:rFonts w:ascii="Calibri" w:hAnsi="Calibri"/>
          <w:color w:val="1E293B"/>
          <w:sz w:val="22"/>
        </w:rPr>
        <w:t>Factories Act, 1948</w:t>
      </w:r>
    </w:p>
    <w:p>
      <w:pPr>
        <w:spacing w:after="80" w:line="276" w:lineRule="auto"/>
      </w:pPr>
      <w:r>
        <w:rPr>
          <w:rFonts w:ascii="Calibri" w:hAnsi="Calibri"/>
          <w:color w:val="1E293B"/>
          <w:sz w:val="22"/>
        </w:rPr>
        <w:t>FDI</w:t>
      </w:r>
    </w:p>
    <w:p>
      <w:pPr>
        <w:spacing w:after="80" w:line="276" w:lineRule="auto"/>
      </w:pPr>
      <w:r>
        <w:rPr>
          <w:rFonts w:ascii="Calibri" w:hAnsi="Calibri"/>
          <w:color w:val="1E293B"/>
          <w:sz w:val="22"/>
        </w:rPr>
        <w:t>Foreign direct investment</w:t>
      </w:r>
    </w:p>
    <w:p>
      <w:pPr>
        <w:spacing w:after="80" w:line="276" w:lineRule="auto"/>
      </w:pPr>
      <w:r>
        <w:rPr>
          <w:rFonts w:ascii="Calibri" w:hAnsi="Calibri"/>
          <w:color w:val="1E293B"/>
          <w:sz w:val="22"/>
        </w:rPr>
        <w:t>FEMA</w:t>
      </w:r>
    </w:p>
    <w:p>
      <w:pPr>
        <w:spacing w:after="80" w:line="276" w:lineRule="auto"/>
      </w:pPr>
      <w:r>
        <w:rPr>
          <w:rFonts w:ascii="Calibri" w:hAnsi="Calibri"/>
          <w:color w:val="1E293B"/>
          <w:sz w:val="22"/>
        </w:rPr>
        <w:t>Foreign Exchange Management Act, 1999, including the rules and regulations thereunder</w:t>
      </w:r>
    </w:p>
    <w:p>
      <w:pPr>
        <w:spacing w:after="80" w:line="276" w:lineRule="auto"/>
      </w:pPr>
      <w:r>
        <w:rPr>
          <w:rFonts w:ascii="Calibri" w:hAnsi="Calibri"/>
          <w:color w:val="1E293B"/>
          <w:sz w:val="22"/>
        </w:rPr>
        <w:t>FEMA Rules</w:t>
      </w:r>
    </w:p>
    <w:p>
      <w:pPr>
        <w:spacing w:after="80" w:line="276" w:lineRule="auto"/>
      </w:pPr>
      <w:r>
        <w:rPr>
          <w:rFonts w:ascii="Calibri" w:hAnsi="Calibri"/>
          <w:color w:val="1E293B"/>
          <w:sz w:val="22"/>
        </w:rPr>
        <w:t>Foreign Exchange Management (Non-debt Instruments) Rules, 2019</w:t>
      </w:r>
    </w:p>
    <w:p>
      <w:pPr>
        <w:spacing w:after="80" w:line="276" w:lineRule="auto"/>
      </w:pPr>
      <w:r>
        <w:rPr>
          <w:rFonts w:ascii="Calibri" w:hAnsi="Calibri"/>
          <w:color w:val="1E293B"/>
          <w:sz w:val="22"/>
        </w:rPr>
        <w:t>Finance Act</w:t>
      </w:r>
    </w:p>
    <w:p>
      <w:pPr>
        <w:spacing w:after="80" w:line="276" w:lineRule="auto"/>
      </w:pPr>
      <w:r>
        <w:rPr>
          <w:rFonts w:ascii="Calibri" w:hAnsi="Calibri"/>
          <w:color w:val="1E293B"/>
          <w:sz w:val="22"/>
        </w:rPr>
        <w:t>Act number 15 of 2024 dated August 16, 2024, to give effect to the financial proposals of the Government of India for the financial year 2024-25, which received the assent of the President of India on August 16, 2024</w:t>
      </w:r>
    </w:p>
    <w:p>
      <w:pPr>
        <w:spacing w:after="80" w:line="276" w:lineRule="auto"/>
      </w:pPr>
      <w:r>
        <w:rPr>
          <w:rFonts w:ascii="Calibri" w:hAnsi="Calibri"/>
          <w:color w:val="1E293B"/>
          <w:sz w:val="22"/>
        </w:rPr>
        <w:t>Finance Bill</w:t>
      </w:r>
    </w:p>
    <w:p>
      <w:pPr>
        <w:spacing w:after="80" w:line="276" w:lineRule="auto"/>
      </w:pPr>
      <w:r>
        <w:rPr>
          <w:rFonts w:ascii="Calibri" w:hAnsi="Calibri"/>
          <w:color w:val="1E293B"/>
          <w:sz w:val="22"/>
        </w:rPr>
        <w:t>Bill number 14 of 2025 dated February 1, 2025, introduced in the Lok Sabha, to give effect to the financial proposals of the Central Government for the financial year 2025-2026</w:t>
      </w:r>
    </w:p>
    <w:p>
      <w:pPr>
        <w:spacing w:after="80" w:line="276" w:lineRule="auto"/>
      </w:pPr>
      <w:r>
        <w:rPr>
          <w:rFonts w:ascii="Calibri" w:hAnsi="Calibri"/>
          <w:color w:val="1E293B"/>
          <w:sz w:val="22"/>
        </w:rPr>
        <w:t>Financial Year/ Fiscal</w:t>
      </w:r>
    </w:p>
    <w:p>
      <w:pPr>
        <w:spacing w:after="80" w:line="276" w:lineRule="auto"/>
      </w:pPr>
      <w:r>
        <w:rPr>
          <w:rFonts w:ascii="Calibri" w:hAnsi="Calibri"/>
          <w:color w:val="1E293B"/>
          <w:sz w:val="22"/>
        </w:rPr>
        <w:t>Period of twelve months ending on March 31 of that particular year, unless stated otherwise</w:t>
      </w:r>
    </w:p>
    <w:p>
      <w:pPr>
        <w:spacing w:after="80" w:line="276" w:lineRule="auto"/>
      </w:pPr>
      <w:r>
        <w:rPr>
          <w:rFonts w:ascii="Calibri" w:hAnsi="Calibri"/>
          <w:color w:val="1E293B"/>
          <w:sz w:val="22"/>
        </w:rPr>
        <w:t>FPI(s)</w:t>
      </w:r>
    </w:p>
    <w:p>
      <w:pPr>
        <w:spacing w:after="80" w:line="276" w:lineRule="auto"/>
      </w:pPr>
      <w:r>
        <w:rPr>
          <w:rFonts w:ascii="Calibri" w:hAnsi="Calibri"/>
          <w:color w:val="1E293B"/>
          <w:sz w:val="22"/>
        </w:rPr>
        <w:t>A foreign portfolio investor who has been registered pursuant to the SEBI FPI Regulations</w:t>
      </w:r>
    </w:p>
    <w:p>
      <w:pPr>
        <w:spacing w:after="80" w:line="276" w:lineRule="auto"/>
      </w:pPr>
      <w:r>
        <w:rPr>
          <w:rFonts w:ascii="Calibri" w:hAnsi="Calibri"/>
          <w:color w:val="1E293B"/>
          <w:sz w:val="22"/>
        </w:rPr>
        <w:t>Fugitive Economic Offender</w:t>
      </w:r>
    </w:p>
    <w:p>
      <w:pPr>
        <w:spacing w:after="80" w:line="276" w:lineRule="auto"/>
      </w:pPr>
      <w:r>
        <w:rPr>
          <w:rFonts w:ascii="Calibri" w:hAnsi="Calibri"/>
          <w:color w:val="1E293B"/>
          <w:sz w:val="22"/>
        </w:rPr>
        <w:t>An individual who is declared a fugitive economic offender under Section 12 of the Fugitive Economic Offenders Act, 2018</w:t>
      </w:r>
    </w:p>
    <w:p>
      <w:pPr>
        <w:spacing w:after="80" w:line="276" w:lineRule="auto"/>
      </w:pPr>
      <w:r>
        <w:rPr>
          <w:rFonts w:ascii="Calibri" w:hAnsi="Calibri"/>
          <w:color w:val="1E293B"/>
          <w:sz w:val="22"/>
        </w:rPr>
        <w:t>FVCI</w:t>
      </w:r>
    </w:p>
    <w:p>
      <w:pPr>
        <w:spacing w:after="80" w:line="276" w:lineRule="auto"/>
      </w:pPr>
      <w:r>
        <w:rPr>
          <w:rFonts w:ascii="Calibri" w:hAnsi="Calibri"/>
          <w:color w:val="1E293B"/>
          <w:sz w:val="22"/>
        </w:rPr>
        <w:t>Foreign Venture Capital Investors (as defined under the Securities and Exchange Board of India (Foreign Venture Capital Investor) Regulations, 2000) registered with SEBI</w:t>
      </w:r>
    </w:p>
    <w:p>
      <w:pPr>
        <w:spacing w:after="80" w:line="276" w:lineRule="auto"/>
      </w:pPr>
      <w:r>
        <w:rPr>
          <w:rFonts w:ascii="Calibri" w:hAnsi="Calibri"/>
          <w:color w:val="1E293B"/>
          <w:sz w:val="22"/>
        </w:rPr>
        <w:t>GoI / Central Government</w:t>
      </w:r>
    </w:p>
    <w:p>
      <w:pPr>
        <w:spacing w:after="80" w:line="276" w:lineRule="auto"/>
      </w:pPr>
      <w:r>
        <w:rPr>
          <w:rFonts w:ascii="Calibri" w:hAnsi="Calibri"/>
          <w:color w:val="1E293B"/>
          <w:sz w:val="22"/>
        </w:rPr>
        <w:t>Government of India</w:t>
      </w:r>
    </w:p>
    <w:p>
      <w:pPr>
        <w:spacing w:after="80" w:line="276" w:lineRule="auto"/>
      </w:pPr>
      <w:r>
        <w:rPr>
          <w:rFonts w:ascii="Calibri" w:hAnsi="Calibri"/>
          <w:color w:val="1E293B"/>
          <w:sz w:val="22"/>
        </w:rPr>
        <w:t>GST</w:t>
      </w:r>
    </w:p>
    <w:p>
      <w:pPr>
        <w:spacing w:after="80" w:line="276" w:lineRule="auto"/>
      </w:pPr>
      <w:r>
        <w:rPr>
          <w:rFonts w:ascii="Calibri" w:hAnsi="Calibri"/>
          <w:color w:val="1E293B"/>
          <w:sz w:val="22"/>
        </w:rPr>
        <w:t>Goods and services tax</w:t>
      </w:r>
    </w:p>
    <w:p>
      <w:pPr>
        <w:spacing w:after="80" w:line="276" w:lineRule="auto"/>
      </w:pPr>
      <w:r>
        <w:rPr>
          <w:rFonts w:ascii="Calibri" w:hAnsi="Calibri"/>
          <w:color w:val="1E293B"/>
          <w:sz w:val="22"/>
        </w:rPr>
        <w:t>HUF</w:t>
      </w:r>
    </w:p>
    <w:p>
      <w:pPr>
        <w:spacing w:after="80" w:line="276" w:lineRule="auto"/>
      </w:pPr>
      <w:r>
        <w:rPr>
          <w:rFonts w:ascii="Calibri" w:hAnsi="Calibri"/>
          <w:color w:val="1E293B"/>
          <w:sz w:val="22"/>
        </w:rPr>
        <w:t>Hindu undivided family</w:t>
      </w:r>
    </w:p>
    <w:p>
      <w:pPr>
        <w:spacing w:after="80" w:line="276" w:lineRule="auto"/>
      </w:pPr>
      <w:r>
        <w:rPr>
          <w:rFonts w:ascii="Calibri" w:hAnsi="Calibri"/>
          <w:color w:val="1E293B"/>
          <w:sz w:val="22"/>
        </w:rPr>
        <w:t>IATF</w:t>
      </w:r>
    </w:p>
    <w:p>
      <w:pPr>
        <w:spacing w:after="80" w:line="276" w:lineRule="auto"/>
      </w:pPr>
      <w:r>
        <w:rPr>
          <w:rFonts w:ascii="Calibri" w:hAnsi="Calibri"/>
          <w:color w:val="1E293B"/>
          <w:sz w:val="22"/>
        </w:rPr>
        <w:t>International Automotive Task Force</w:t>
      </w:r>
    </w:p>
    <w:p>
      <w:pPr>
        <w:spacing w:after="80" w:line="276" w:lineRule="auto"/>
      </w:pPr>
      <w:r>
        <w:rPr>
          <w:rFonts w:ascii="Calibri" w:hAnsi="Calibri"/>
          <w:color w:val="1E293B"/>
          <w:sz w:val="22"/>
        </w:rPr>
        <w:t>I.T. Act</w:t>
      </w:r>
    </w:p>
    <w:p>
      <w:pPr>
        <w:spacing w:after="80" w:line="276" w:lineRule="auto"/>
      </w:pPr>
      <w:r>
        <w:rPr>
          <w:rFonts w:ascii="Calibri" w:hAnsi="Calibri"/>
          <w:color w:val="1E293B"/>
          <w:sz w:val="22"/>
        </w:rPr>
        <w:t>Income-tax Act, 1961</w:t>
      </w:r>
    </w:p>
    <w:p>
      <w:pPr>
        <w:spacing w:after="80" w:line="276" w:lineRule="auto"/>
      </w:pPr>
      <w:r>
        <w:rPr>
          <w:rFonts w:ascii="Calibri" w:hAnsi="Calibri"/>
          <w:color w:val="1E293B"/>
          <w:sz w:val="22"/>
        </w:rPr>
        <w:t>ICAI</w:t>
      </w:r>
    </w:p>
    <w:p>
      <w:pPr>
        <w:spacing w:after="80" w:line="276" w:lineRule="auto"/>
      </w:pPr>
      <w:r>
        <w:rPr>
          <w:rFonts w:ascii="Calibri" w:hAnsi="Calibri"/>
          <w:color w:val="1E293B"/>
          <w:sz w:val="22"/>
        </w:rPr>
        <w:t>The Institute of Chartered Accountants of India</w:t>
      </w:r>
    </w:p>
    <w:p>
      <w:pPr>
        <w:spacing w:after="80" w:line="276" w:lineRule="auto"/>
      </w:pPr>
      <w:r>
        <w:rPr>
          <w:rFonts w:ascii="Calibri" w:hAnsi="Calibri"/>
          <w:color w:val="1E293B"/>
          <w:sz w:val="22"/>
        </w:rPr>
        <w:t>IFRS</w:t>
      </w:r>
    </w:p>
    <w:p>
      <w:pPr>
        <w:spacing w:after="80" w:line="276" w:lineRule="auto"/>
      </w:pPr>
      <w:r>
        <w:rPr>
          <w:rFonts w:ascii="Calibri" w:hAnsi="Calibri"/>
          <w:color w:val="1E293B"/>
          <w:sz w:val="22"/>
        </w:rPr>
        <w:t>International Financial Reporting Standards</w:t>
      </w:r>
    </w:p>
    <w:p>
      <w:pPr>
        <w:spacing w:after="80" w:line="276" w:lineRule="auto"/>
      </w:pPr>
      <w:r>
        <w:rPr>
          <w:rFonts w:ascii="Calibri" w:hAnsi="Calibri"/>
          <w:color w:val="1E293B"/>
          <w:sz w:val="22"/>
        </w:rPr>
        <w:t>Ind AS</w:t>
      </w:r>
    </w:p>
    <w:p>
      <w:pPr>
        <w:spacing w:after="80" w:line="276" w:lineRule="auto"/>
      </w:pPr>
      <w:r>
        <w:rPr>
          <w:rFonts w:ascii="Calibri" w:hAnsi="Calibri"/>
          <w:color w:val="1E293B"/>
          <w:sz w:val="22"/>
        </w:rPr>
        <w:t>Accounting Standards notified under Section 133 of the Companies Act, 2013 read with the Companies (Indian Accounting Standards) Rules, 2015, as amended</w:t>
      </w:r>
    </w:p>
    <w:p>
      <w:pPr>
        <w:spacing w:after="80" w:line="276" w:lineRule="auto"/>
      </w:pPr>
      <w:r>
        <w:rPr>
          <w:rFonts w:ascii="Calibri" w:hAnsi="Calibri"/>
          <w:color w:val="1E293B"/>
          <w:sz w:val="22"/>
        </w:rPr>
        <w:t>Ind AS 24</w:t>
      </w:r>
    </w:p>
    <w:p>
      <w:pPr>
        <w:spacing w:after="80" w:line="276" w:lineRule="auto"/>
      </w:pPr>
      <w:r>
        <w:rPr>
          <w:rFonts w:ascii="Calibri" w:hAnsi="Calibri"/>
          <w:color w:val="1E293B"/>
          <w:sz w:val="22"/>
        </w:rPr>
        <w:t>Indian Accounting Standard 24, “Related Party Disclosures”, notified under Section 133 of the Companies Act read with Companies (Indian Accounting Standards) Rules, 2015, as amended</w:t>
      </w:r>
    </w:p>
    <w:p>
      <w:pPr>
        <w:spacing w:after="80" w:line="276" w:lineRule="auto"/>
      </w:pPr>
      <w:r>
        <w:rPr>
          <w:rFonts w:ascii="Calibri" w:hAnsi="Calibri"/>
          <w:color w:val="1E293B"/>
          <w:sz w:val="22"/>
        </w:rPr>
        <w:t>from time to time</w:t>
      </w:r>
    </w:p>
    <w:p>
      <w:pPr>
        <w:spacing w:after="80" w:line="276" w:lineRule="auto"/>
      </w:pPr>
      <w:r>
        <w:rPr>
          <w:rFonts w:ascii="Calibri" w:hAnsi="Calibri"/>
          <w:color w:val="1E293B"/>
          <w:sz w:val="22"/>
        </w:rPr>
        <w:t>Indian GAAP</w:t>
      </w:r>
    </w:p>
    <w:p>
      <w:pPr>
        <w:spacing w:after="80" w:line="276" w:lineRule="auto"/>
      </w:pPr>
      <w:r>
        <w:rPr>
          <w:rFonts w:ascii="Calibri" w:hAnsi="Calibri"/>
          <w:color w:val="1E293B"/>
          <w:sz w:val="22"/>
        </w:rPr>
        <w:t>Generally Accepted Accounting Principles in India, being, accounting principles generally accepted in India including the accounting standards specified under Section 133 of the</w:t>
      </w:r>
    </w:p>
    <w:p>
      <w:pPr>
        <w:spacing w:after="80" w:line="276" w:lineRule="auto"/>
      </w:pPr>
      <w:r>
        <w:rPr>
          <w:rFonts w:ascii="Calibri" w:hAnsi="Calibri"/>
          <w:color w:val="1E293B"/>
          <w:sz w:val="22"/>
        </w:rPr>
        <w:t>Companies Act, 2013 read with Rule 7 of the Companies (Accounts) Rules, 2014, as amended</w:t>
      </w:r>
    </w:p>
    <w:p>
      <w:pPr>
        <w:spacing w:after="80" w:line="276" w:lineRule="auto"/>
      </w:pPr>
      <w:r>
        <w:rPr>
          <w:rFonts w:ascii="Calibri" w:hAnsi="Calibri"/>
          <w:color w:val="1E293B"/>
          <w:sz w:val="22"/>
        </w:rPr>
        <w:t>IPO</w:t>
      </w:r>
    </w:p>
    <w:p>
      <w:pPr>
        <w:spacing w:after="80" w:line="276" w:lineRule="auto"/>
      </w:pPr>
      <w:r>
        <w:rPr>
          <w:rFonts w:ascii="Calibri" w:hAnsi="Calibri"/>
          <w:color w:val="1E293B"/>
          <w:sz w:val="22"/>
        </w:rPr>
        <w:t>Initial public offer</w:t>
      </w:r>
    </w:p>
    <w:p>
      <w:pPr>
        <w:spacing w:after="80" w:line="276" w:lineRule="auto"/>
      </w:pPr>
      <w:r>
        <w:rPr>
          <w:rFonts w:ascii="Calibri" w:hAnsi="Calibri"/>
          <w:color w:val="1E293B"/>
          <w:sz w:val="22"/>
        </w:rPr>
        <w:t>ISO</w:t>
      </w:r>
    </w:p>
    <w:p>
      <w:pPr>
        <w:spacing w:after="80" w:line="276" w:lineRule="auto"/>
      </w:pPr>
      <w:r>
        <w:rPr>
          <w:rFonts w:ascii="Calibri" w:hAnsi="Calibri"/>
          <w:color w:val="1E293B"/>
          <w:sz w:val="22"/>
        </w:rPr>
        <w:t>International Organization for Standards</w:t>
      </w:r>
    </w:p>
    <w:p>
      <w:pPr>
        <w:spacing w:after="80" w:line="276" w:lineRule="auto"/>
      </w:pPr>
      <w:r>
        <w:rPr>
          <w:rFonts w:ascii="Calibri" w:hAnsi="Calibri"/>
          <w:color w:val="1E293B"/>
          <w:sz w:val="22"/>
        </w:rPr>
        <w:t>IST</w:t>
      </w:r>
    </w:p>
    <w:p>
      <w:pPr>
        <w:spacing w:after="80" w:line="276" w:lineRule="auto"/>
      </w:pPr>
      <w:r>
        <w:rPr>
          <w:rFonts w:ascii="Calibri" w:hAnsi="Calibri"/>
          <w:color w:val="1E293B"/>
          <w:sz w:val="22"/>
        </w:rPr>
        <w:t>Indian Standard Time</w:t>
      </w:r>
    </w:p>
    <w:p>
      <w:pPr>
        <w:spacing w:after="80" w:line="276" w:lineRule="auto"/>
      </w:pPr>
      <w:r>
        <w:rPr>
          <w:rFonts w:ascii="Calibri" w:hAnsi="Calibri"/>
          <w:color w:val="1E293B"/>
          <w:sz w:val="22"/>
        </w:rPr>
        <w:t>IT</w:t>
      </w:r>
    </w:p>
    <w:p>
      <w:pPr>
        <w:spacing w:after="80" w:line="276" w:lineRule="auto"/>
      </w:pPr>
      <w:r>
        <w:rPr>
          <w:rFonts w:ascii="Calibri" w:hAnsi="Calibri"/>
          <w:color w:val="1E293B"/>
          <w:sz w:val="22"/>
        </w:rPr>
        <w:t>Information technology</w:t>
      </w:r>
    </w:p>
    <w:p>
      <w:pPr>
        <w:spacing w:after="80" w:line="276" w:lineRule="auto"/>
      </w:pPr>
      <w:r>
        <w:rPr>
          <w:rFonts w:ascii="Calibri" w:hAnsi="Calibri"/>
          <w:color w:val="1E293B"/>
          <w:sz w:val="22"/>
        </w:rPr>
        <w:t>LEI</w:t>
      </w:r>
    </w:p>
    <w:p>
      <w:pPr>
        <w:spacing w:after="80" w:line="276" w:lineRule="auto"/>
      </w:pPr>
      <w:r>
        <w:rPr>
          <w:rFonts w:ascii="Calibri" w:hAnsi="Calibri"/>
          <w:color w:val="1E293B"/>
          <w:sz w:val="22"/>
        </w:rPr>
        <w:t>Legal entity identifier</w:t>
      </w:r>
    </w:p>
    <w:p>
      <w:pPr>
        <w:spacing w:after="80" w:line="276" w:lineRule="auto"/>
      </w:pPr>
      <w:r>
        <w:rPr>
          <w:rFonts w:ascii="Calibri" w:hAnsi="Calibri"/>
          <w:color w:val="1E293B"/>
          <w:sz w:val="22"/>
        </w:rPr>
        <w:t>MCLR</w:t>
      </w:r>
    </w:p>
    <w:p>
      <w:pPr>
        <w:spacing w:after="80" w:line="276" w:lineRule="auto"/>
      </w:pPr>
      <w:r>
        <w:rPr>
          <w:rFonts w:ascii="Calibri" w:hAnsi="Calibri"/>
          <w:color w:val="1E293B"/>
          <w:sz w:val="22"/>
        </w:rPr>
        <w:t>Marginal cost of funds based lending rate</w:t>
      </w:r>
    </w:p>
    <w:p>
      <w:pPr>
        <w:spacing w:after="80" w:line="276" w:lineRule="auto"/>
      </w:pPr>
      <w:r>
        <w:rPr>
          <w:rFonts w:ascii="Calibri" w:hAnsi="Calibri"/>
          <w:color w:val="1E293B"/>
          <w:sz w:val="22"/>
        </w:rPr>
        <w:t>Mn/ mn</w:t>
      </w:r>
    </w:p>
    <w:p>
      <w:pPr>
        <w:spacing w:after="80" w:line="276" w:lineRule="auto"/>
      </w:pPr>
      <w:r>
        <w:rPr>
          <w:rFonts w:ascii="Calibri" w:hAnsi="Calibri"/>
          <w:color w:val="1E293B"/>
          <w:sz w:val="22"/>
        </w:rPr>
        <w:t>Million</w:t>
      </w:r>
    </w:p>
    <w:p>
      <w:pPr>
        <w:spacing w:after="80" w:line="276" w:lineRule="auto"/>
      </w:pPr>
      <w:r>
        <w:rPr>
          <w:rFonts w:ascii="Calibri" w:hAnsi="Calibri"/>
          <w:color w:val="1E293B"/>
          <w:sz w:val="22"/>
        </w:rPr>
        <w:t>MT</w:t>
      </w:r>
    </w:p>
    <w:p>
      <w:pPr>
        <w:spacing w:after="80" w:line="276" w:lineRule="auto"/>
      </w:pPr>
      <w:r>
        <w:rPr>
          <w:rFonts w:ascii="Calibri" w:hAnsi="Calibri"/>
          <w:color w:val="1E293B"/>
          <w:sz w:val="22"/>
        </w:rPr>
        <w:t>Metric ton</w:t>
      </w:r>
    </w:p>
    <w:p>
      <w:pPr>
        <w:spacing w:after="80" w:line="276" w:lineRule="auto"/>
      </w:pPr>
      <w:r>
        <w:rPr>
          <w:rFonts w:ascii="Calibri" w:hAnsi="Calibri"/>
          <w:color w:val="1E293B"/>
          <w:sz w:val="22"/>
        </w:rPr>
        <w:t>N.A. or NA</w:t>
      </w:r>
    </w:p>
    <w:p>
      <w:pPr>
        <w:spacing w:after="80" w:line="276" w:lineRule="auto"/>
      </w:pPr>
      <w:r>
        <w:rPr>
          <w:rFonts w:ascii="Calibri" w:hAnsi="Calibri"/>
          <w:color w:val="1E293B"/>
          <w:sz w:val="22"/>
        </w:rPr>
        <w:t>Not applicable</w:t>
      </w:r>
    </w:p>
    <w:p>
      <w:pPr>
        <w:spacing w:after="80" w:line="276" w:lineRule="auto"/>
      </w:pPr>
      <w:r>
        <w:rPr>
          <w:rFonts w:ascii="Calibri" w:hAnsi="Calibri"/>
          <w:color w:val="1E293B"/>
          <w:sz w:val="22"/>
        </w:rPr>
        <w:t>NACH</w:t>
      </w:r>
    </w:p>
    <w:p>
      <w:pPr>
        <w:spacing w:after="80" w:line="276" w:lineRule="auto"/>
      </w:pPr>
      <w:r>
        <w:rPr>
          <w:rFonts w:ascii="Calibri" w:hAnsi="Calibri"/>
          <w:color w:val="1E293B"/>
          <w:sz w:val="22"/>
        </w:rPr>
        <w:t>National Automated Clearing House</w:t>
      </w:r>
    </w:p>
    <w:p>
      <w:pPr>
        <w:spacing w:after="80" w:line="276" w:lineRule="auto"/>
      </w:pPr>
      <w:r>
        <w:rPr>
          <w:rFonts w:ascii="Calibri" w:hAnsi="Calibri"/>
          <w:color w:val="1E293B"/>
          <w:sz w:val="22"/>
        </w:rPr>
        <w:t>NEFT</w:t>
      </w:r>
    </w:p>
    <w:p>
      <w:pPr>
        <w:spacing w:after="80" w:line="276" w:lineRule="auto"/>
      </w:pPr>
      <w:r>
        <w:rPr>
          <w:rFonts w:ascii="Calibri" w:hAnsi="Calibri"/>
          <w:color w:val="1E293B"/>
          <w:sz w:val="22"/>
        </w:rPr>
        <w:t>National electronic fund transfer</w:t>
      </w:r>
    </w:p>
    <w:p>
      <w:pPr>
        <w:spacing w:after="80" w:line="276" w:lineRule="auto"/>
      </w:pPr>
      <w:r>
        <w:rPr>
          <w:rFonts w:ascii="Calibri" w:hAnsi="Calibri"/>
          <w:color w:val="1E293B"/>
          <w:sz w:val="22"/>
        </w:rPr>
        <w:t>Non-Resident</w:t>
      </w:r>
    </w:p>
    <w:p>
      <w:pPr>
        <w:spacing w:after="80" w:line="276" w:lineRule="auto"/>
      </w:pPr>
      <w:r>
        <w:rPr>
          <w:rFonts w:ascii="Calibri" w:hAnsi="Calibri"/>
          <w:color w:val="1E293B"/>
          <w:sz w:val="22"/>
        </w:rPr>
        <w:t>A person resident outside India, as defined under FEMA</w:t>
      </w:r>
    </w:p>
    <w:p>
      <w:pPr>
        <w:spacing w:after="80" w:line="276" w:lineRule="auto"/>
      </w:pPr>
      <w:r>
        <w:rPr>
          <w:rFonts w:ascii="Calibri" w:hAnsi="Calibri"/>
          <w:color w:val="1E293B"/>
          <w:sz w:val="22"/>
        </w:rPr>
        <w:t>NPCI</w:t>
      </w:r>
    </w:p>
    <w:p>
      <w:pPr>
        <w:spacing w:after="80" w:line="276" w:lineRule="auto"/>
      </w:pPr>
      <w:r>
        <w:rPr>
          <w:rFonts w:ascii="Calibri" w:hAnsi="Calibri"/>
          <w:color w:val="1E293B"/>
          <w:sz w:val="22"/>
        </w:rPr>
        <w:t>Acme Private Limited of India</w:t>
      </w:r>
    </w:p>
    <w:p>
      <w:pPr>
        <w:spacing w:after="80" w:line="276" w:lineRule="auto"/>
      </w:pPr>
      <w:r>
        <w:rPr>
          <w:rFonts w:ascii="Calibri" w:hAnsi="Calibri"/>
          <w:color w:val="1E293B"/>
          <w:sz w:val="22"/>
        </w:rPr>
        <w:t>NRE Account</w:t>
      </w:r>
    </w:p>
    <w:p>
      <w:pPr>
        <w:spacing w:after="80" w:line="276" w:lineRule="auto"/>
      </w:pPr>
      <w:r>
        <w:rPr>
          <w:rFonts w:ascii="Calibri" w:hAnsi="Calibri"/>
          <w:color w:val="1E293B"/>
          <w:sz w:val="22"/>
        </w:rPr>
        <w:t>Non-resident external account established in accordance with the Foreign Exchange Management (Deposit) Regulations, 2016</w:t>
      </w:r>
    </w:p>
    <w:p>
      <w:pPr>
        <w:spacing w:after="80" w:line="276" w:lineRule="auto"/>
      </w:pPr>
      <w:r>
        <w:rPr>
          <w:rFonts w:ascii="Calibri" w:hAnsi="Calibri"/>
          <w:color w:val="1E293B"/>
          <w:sz w:val="22"/>
        </w:rPr>
        <w:t>NRI</w:t>
      </w:r>
    </w:p>
    <w:p>
      <w:pPr>
        <w:spacing w:after="80" w:line="276" w:lineRule="auto"/>
      </w:pPr>
      <w:r>
        <w:rPr>
          <w:rFonts w:ascii="Calibri" w:hAnsi="Calibri"/>
          <w:color w:val="1E293B"/>
          <w:sz w:val="22"/>
        </w:rPr>
        <w:t>A person resident outside India who is a citizen of India as defined under the Foreign Exchange Management (Deposit) Regulations, 2016 or is an ‘Overseas Citizen of India’ cardholder within the meaning of section 7(A) of the Citizenship Act, 1955</w:t>
      </w:r>
    </w:p>
    <w:p>
      <w:pPr>
        <w:spacing w:after="80" w:line="276" w:lineRule="auto"/>
      </w:pPr>
      <w:r>
        <w:rPr>
          <w:rFonts w:ascii="Calibri" w:hAnsi="Calibri"/>
          <w:color w:val="1E293B"/>
          <w:sz w:val="22"/>
        </w:rPr>
        <w:t>NRO Account</w:t>
      </w:r>
    </w:p>
    <w:p>
      <w:pPr>
        <w:spacing w:after="80" w:line="276" w:lineRule="auto"/>
      </w:pPr>
      <w:r>
        <w:rPr>
          <w:rFonts w:ascii="Calibri" w:hAnsi="Calibri"/>
          <w:color w:val="1E293B"/>
          <w:sz w:val="22"/>
        </w:rPr>
        <w:t>Non-resident ordinary account established in accordance with the Foreign Exchange Management (Deposit) Regulations, 2016</w:t>
      </w:r>
    </w:p>
    <w:p>
      <w:pPr>
        <w:spacing w:after="80" w:line="276" w:lineRule="auto"/>
      </w:pPr>
      <w:r>
        <w:rPr>
          <w:rFonts w:ascii="Calibri" w:hAnsi="Calibri"/>
          <w:color w:val="1E293B"/>
          <w:sz w:val="22"/>
        </w:rPr>
        <w:t>NSDL</w:t>
      </w:r>
    </w:p>
    <w:p>
      <w:pPr>
        <w:spacing w:after="80" w:line="276" w:lineRule="auto"/>
      </w:pPr>
      <w:r>
        <w:rPr>
          <w:rFonts w:ascii="Calibri" w:hAnsi="Calibri"/>
          <w:color w:val="1E293B"/>
          <w:sz w:val="22"/>
        </w:rPr>
        <w:t>Northstar Technologies Ltd</w:t>
      </w:r>
    </w:p>
    <w:p>
      <w:pPr>
        <w:spacing w:after="80" w:line="276" w:lineRule="auto"/>
      </w:pPr>
      <w:r>
        <w:rPr>
          <w:rFonts w:ascii="Calibri" w:hAnsi="Calibri"/>
          <w:color w:val="1E293B"/>
          <w:sz w:val="22"/>
        </w:rPr>
        <w:t>NSE</w:t>
      </w:r>
    </w:p>
    <w:p>
      <w:pPr>
        <w:spacing w:after="80" w:line="276" w:lineRule="auto"/>
      </w:pPr>
      <w:r>
        <w:rPr>
          <w:rFonts w:ascii="Calibri" w:hAnsi="Calibri"/>
          <w:color w:val="1E293B"/>
          <w:sz w:val="22"/>
        </w:rPr>
        <w:t>Bluebird Capital LLP</w:t>
      </w:r>
    </w:p>
    <w:p>
      <w:pPr>
        <w:spacing w:after="80" w:line="276" w:lineRule="auto"/>
      </w:pPr>
      <w:r>
        <w:rPr>
          <w:rFonts w:ascii="Calibri" w:hAnsi="Calibri"/>
          <w:color w:val="1E293B"/>
          <w:sz w:val="22"/>
        </w:rPr>
        <w:t>OCB</w:t>
      </w:r>
    </w:p>
    <w:p>
      <w:pPr>
        <w:spacing w:after="80" w:line="276" w:lineRule="auto"/>
      </w:pPr>
      <w:r>
        <w:rPr>
          <w:rFonts w:ascii="Calibri" w:hAnsi="Calibri"/>
          <w:color w:val="1E293B"/>
          <w:sz w:val="22"/>
        </w:rPr>
        <w:t>Acme Private Limited, partnership, society or other corporate body owned directly or indirectly to the extent of at least 60% by NRIs including overseas trusts in which not less than 60% of the beneficial interest is irrevocably held by NRIs directly or indirectly and which was in existence on October 3, 2003, and immediately before such date had taken benefits under the general permission granted</w:t>
      </w:r>
    </w:p>
    <w:p>
      <w:pPr>
        <w:spacing w:after="80" w:line="276" w:lineRule="auto"/>
      </w:pPr>
      <w:r>
        <w:rPr>
          <w:rFonts w:ascii="Calibri" w:hAnsi="Calibri"/>
          <w:color w:val="1E293B"/>
          <w:sz w:val="22"/>
        </w:rPr>
        <w:t>to overseas corporate bodies under the FEMA. Overseas corporate bodies are not allowed to invest in the Offer</w:t>
      </w:r>
    </w:p>
    <w:p>
      <w:pPr>
        <w:spacing w:after="80" w:line="276" w:lineRule="auto"/>
      </w:pPr>
      <w:r>
        <w:rPr>
          <w:rFonts w:ascii="Calibri" w:hAnsi="Calibri"/>
          <w:color w:val="1E293B"/>
          <w:sz w:val="22"/>
        </w:rPr>
        <w:t>Term</w:t>
      </w:r>
    </w:p>
    <w:p>
      <w:pPr>
        <w:spacing w:after="80" w:line="276" w:lineRule="auto"/>
      </w:pPr>
      <w:r>
        <w:rPr>
          <w:rFonts w:ascii="Calibri" w:hAnsi="Calibri"/>
          <w:color w:val="1E293B"/>
          <w:sz w:val="22"/>
        </w:rPr>
        <w:t>Description</w:t>
      </w:r>
    </w:p>
    <w:p>
      <w:pPr>
        <w:spacing w:after="80" w:line="276" w:lineRule="auto"/>
      </w:pPr>
      <w:r>
        <w:rPr>
          <w:rFonts w:ascii="Calibri" w:hAnsi="Calibri"/>
          <w:color w:val="1E293B"/>
          <w:sz w:val="22"/>
        </w:rPr>
        <w:t>OCI</w:t>
      </w:r>
    </w:p>
    <w:p>
      <w:pPr>
        <w:spacing w:after="80" w:line="276" w:lineRule="auto"/>
      </w:pPr>
      <w:r>
        <w:rPr>
          <w:rFonts w:ascii="Calibri" w:hAnsi="Calibri"/>
          <w:color w:val="1E293B"/>
          <w:sz w:val="22"/>
        </w:rPr>
        <w:t>Overseas Citizen of India</w:t>
      </w:r>
    </w:p>
    <w:p>
      <w:pPr>
        <w:spacing w:after="80" w:line="276" w:lineRule="auto"/>
      </w:pPr>
      <w:r>
        <w:rPr>
          <w:rFonts w:ascii="Calibri" w:hAnsi="Calibri"/>
          <w:color w:val="1E293B"/>
          <w:sz w:val="22"/>
        </w:rPr>
        <w:t>P/E Ratio</w:t>
      </w:r>
    </w:p>
    <w:p>
      <w:pPr>
        <w:spacing w:after="80" w:line="276" w:lineRule="auto"/>
      </w:pPr>
      <w:r>
        <w:rPr>
          <w:rFonts w:ascii="Calibri" w:hAnsi="Calibri"/>
          <w:color w:val="1E293B"/>
          <w:sz w:val="22"/>
        </w:rPr>
        <w:t>Price/earnings ratio</w:t>
      </w:r>
    </w:p>
    <w:p>
      <w:pPr>
        <w:spacing w:after="80" w:line="276" w:lineRule="auto"/>
      </w:pPr>
      <w:r>
        <w:rPr>
          <w:rFonts w:ascii="Calibri" w:hAnsi="Calibri"/>
          <w:color w:val="1E293B"/>
          <w:sz w:val="22"/>
        </w:rPr>
        <w:t>PAN</w:t>
      </w:r>
    </w:p>
    <w:p>
      <w:pPr>
        <w:spacing w:after="80" w:line="276" w:lineRule="auto"/>
      </w:pPr>
      <w:r>
        <w:rPr>
          <w:rFonts w:ascii="Calibri" w:hAnsi="Calibri"/>
          <w:color w:val="1E293B"/>
          <w:sz w:val="22"/>
        </w:rPr>
        <w:t>Permanent account number allotted under the I.T. Act</w:t>
      </w:r>
    </w:p>
    <w:p>
      <w:pPr>
        <w:spacing w:after="80" w:line="276" w:lineRule="auto"/>
      </w:pPr>
      <w:r>
        <w:rPr>
          <w:rFonts w:ascii="Calibri" w:hAnsi="Calibri"/>
          <w:color w:val="1E293B"/>
          <w:sz w:val="22"/>
        </w:rPr>
        <w:t>PAT</w:t>
      </w:r>
    </w:p>
    <w:p>
      <w:pPr>
        <w:spacing w:after="80" w:line="276" w:lineRule="auto"/>
      </w:pPr>
      <w:r>
        <w:rPr>
          <w:rFonts w:ascii="Calibri" w:hAnsi="Calibri"/>
          <w:color w:val="1E293B"/>
          <w:sz w:val="22"/>
        </w:rPr>
        <w:t>Profit after tax</w:t>
      </w:r>
    </w:p>
    <w:p>
      <w:pPr>
        <w:spacing w:after="80" w:line="276" w:lineRule="auto"/>
      </w:pPr>
      <w:r>
        <w:rPr>
          <w:rFonts w:ascii="Calibri" w:hAnsi="Calibri"/>
          <w:color w:val="1E293B"/>
          <w:sz w:val="22"/>
        </w:rPr>
        <w:t>RBI</w:t>
      </w:r>
    </w:p>
    <w:p>
      <w:pPr>
        <w:spacing w:after="80" w:line="276" w:lineRule="auto"/>
      </w:pPr>
      <w:r>
        <w:rPr>
          <w:rFonts w:ascii="Calibri" w:hAnsi="Calibri"/>
          <w:color w:val="1E293B"/>
          <w:sz w:val="22"/>
        </w:rPr>
        <w:t>Reserve Bank of India</w:t>
      </w:r>
    </w:p>
    <w:p>
      <w:pPr>
        <w:spacing w:after="80" w:line="276" w:lineRule="auto"/>
      </w:pPr>
      <w:r>
        <w:rPr>
          <w:rFonts w:ascii="Calibri" w:hAnsi="Calibri"/>
          <w:color w:val="1E293B"/>
          <w:sz w:val="22"/>
        </w:rPr>
        <w:t>Regulation S</w:t>
      </w:r>
    </w:p>
    <w:p>
      <w:pPr>
        <w:spacing w:after="80" w:line="276" w:lineRule="auto"/>
      </w:pPr>
      <w:r>
        <w:rPr>
          <w:rFonts w:ascii="Calibri" w:hAnsi="Calibri"/>
          <w:color w:val="1E293B"/>
          <w:sz w:val="22"/>
        </w:rPr>
        <w:t>Regulation S under the U.S. Securities Act</w:t>
      </w:r>
    </w:p>
    <w:p>
      <w:pPr>
        <w:spacing w:after="80" w:line="276" w:lineRule="auto"/>
      </w:pPr>
      <w:r>
        <w:rPr>
          <w:rFonts w:ascii="Calibri" w:hAnsi="Calibri"/>
          <w:color w:val="1E293B"/>
          <w:sz w:val="22"/>
        </w:rPr>
        <w:t>Rs. / Rupees/ ₹/ INR</w:t>
      </w:r>
    </w:p>
    <w:p>
      <w:pPr>
        <w:spacing w:after="80" w:line="276" w:lineRule="auto"/>
      </w:pPr>
      <w:r>
        <w:rPr>
          <w:rFonts w:ascii="Calibri" w:hAnsi="Calibri"/>
          <w:color w:val="1E293B"/>
          <w:sz w:val="22"/>
        </w:rPr>
        <w:t>Indian Rupees</w:t>
      </w:r>
    </w:p>
    <w:p>
      <w:pPr>
        <w:spacing w:after="80" w:line="276" w:lineRule="auto"/>
      </w:pPr>
      <w:r>
        <w:rPr>
          <w:rFonts w:ascii="Calibri" w:hAnsi="Calibri"/>
          <w:color w:val="1E293B"/>
          <w:sz w:val="22"/>
        </w:rPr>
        <w:t>RBI</w:t>
      </w:r>
    </w:p>
    <w:p>
      <w:pPr>
        <w:spacing w:after="80" w:line="276" w:lineRule="auto"/>
      </w:pPr>
      <w:r>
        <w:rPr>
          <w:rFonts w:ascii="Calibri" w:hAnsi="Calibri"/>
          <w:color w:val="1E293B"/>
          <w:sz w:val="22"/>
        </w:rPr>
        <w:t>Reserve Bank of India</w:t>
      </w:r>
    </w:p>
    <w:p>
      <w:pPr>
        <w:spacing w:after="80" w:line="276" w:lineRule="auto"/>
      </w:pPr>
      <w:r>
        <w:rPr>
          <w:rFonts w:ascii="Calibri" w:hAnsi="Calibri"/>
          <w:color w:val="1E293B"/>
          <w:sz w:val="22"/>
        </w:rPr>
        <w:t>RTGS</w:t>
      </w:r>
    </w:p>
    <w:p>
      <w:pPr>
        <w:spacing w:after="80" w:line="276" w:lineRule="auto"/>
      </w:pPr>
      <w:r>
        <w:rPr>
          <w:rFonts w:ascii="Calibri" w:hAnsi="Calibri"/>
          <w:color w:val="1E293B"/>
          <w:sz w:val="22"/>
        </w:rPr>
        <w:t>Real time gross settlement</w:t>
      </w:r>
    </w:p>
    <w:p>
      <w:pPr>
        <w:spacing w:after="80" w:line="276" w:lineRule="auto"/>
      </w:pPr>
      <w:r>
        <w:rPr>
          <w:rFonts w:ascii="Calibri" w:hAnsi="Calibri"/>
          <w:color w:val="1E293B"/>
          <w:sz w:val="22"/>
        </w:rPr>
        <w:t>SCRA</w:t>
      </w:r>
    </w:p>
    <w:p>
      <w:pPr>
        <w:spacing w:after="80" w:line="276" w:lineRule="auto"/>
      </w:pPr>
      <w:r>
        <w:rPr>
          <w:rFonts w:ascii="Calibri" w:hAnsi="Calibri"/>
          <w:color w:val="1E293B"/>
          <w:sz w:val="22"/>
        </w:rPr>
        <w:t>Securities Contracts (Regulation) Act, 1956</w:t>
      </w:r>
    </w:p>
    <w:p>
      <w:pPr>
        <w:spacing w:after="80" w:line="276" w:lineRule="auto"/>
      </w:pPr>
      <w:r>
        <w:rPr>
          <w:rFonts w:ascii="Calibri" w:hAnsi="Calibri"/>
          <w:color w:val="1E293B"/>
          <w:sz w:val="22"/>
        </w:rPr>
        <w:t>SCRR</w:t>
      </w:r>
    </w:p>
    <w:p>
      <w:pPr>
        <w:spacing w:after="80" w:line="276" w:lineRule="auto"/>
      </w:pPr>
      <w:r>
        <w:rPr>
          <w:rFonts w:ascii="Calibri" w:hAnsi="Calibri"/>
          <w:color w:val="1E293B"/>
          <w:sz w:val="22"/>
        </w:rPr>
        <w:t>Securities Contracts (Regulation) Rules, 1957</w:t>
      </w:r>
    </w:p>
    <w:p>
      <w:pPr>
        <w:spacing w:after="80" w:line="276" w:lineRule="auto"/>
      </w:pPr>
      <w:r>
        <w:rPr>
          <w:rFonts w:ascii="Calibri" w:hAnsi="Calibri"/>
          <w:color w:val="1E293B"/>
          <w:sz w:val="22"/>
        </w:rPr>
        <w:t>SEBI</w:t>
      </w:r>
    </w:p>
    <w:p>
      <w:pPr>
        <w:spacing w:after="80" w:line="276" w:lineRule="auto"/>
      </w:pPr>
      <w:r>
        <w:rPr>
          <w:rFonts w:ascii="Calibri" w:hAnsi="Calibri"/>
          <w:color w:val="1E293B"/>
          <w:sz w:val="22"/>
        </w:rPr>
        <w:t>Securities and Exchange Board of India constituted under the SEBI Act</w:t>
      </w:r>
    </w:p>
    <w:p>
      <w:pPr>
        <w:spacing w:after="80" w:line="276" w:lineRule="auto"/>
      </w:pPr>
      <w:r>
        <w:rPr>
          <w:rFonts w:ascii="Calibri" w:hAnsi="Calibri"/>
          <w:color w:val="1E293B"/>
          <w:sz w:val="22"/>
        </w:rPr>
        <w:t>SEBI Act</w:t>
      </w:r>
    </w:p>
    <w:p>
      <w:pPr>
        <w:spacing w:after="80" w:line="276" w:lineRule="auto"/>
      </w:pPr>
      <w:r>
        <w:rPr>
          <w:rFonts w:ascii="Calibri" w:hAnsi="Calibri"/>
          <w:color w:val="1E293B"/>
          <w:sz w:val="22"/>
        </w:rPr>
        <w:t>Securities and Exchange Board of India Act, 1992</w:t>
      </w:r>
    </w:p>
    <w:p>
      <w:pPr>
        <w:spacing w:after="80" w:line="276" w:lineRule="auto"/>
      </w:pPr>
      <w:r>
        <w:rPr>
          <w:rFonts w:ascii="Calibri" w:hAnsi="Calibri"/>
          <w:color w:val="1E293B"/>
          <w:sz w:val="22"/>
        </w:rPr>
        <w:t>SEBI AIF Regulations</w:t>
      </w:r>
    </w:p>
    <w:p>
      <w:pPr>
        <w:spacing w:after="80" w:line="276" w:lineRule="auto"/>
      </w:pPr>
      <w:r>
        <w:rPr>
          <w:rFonts w:ascii="Calibri" w:hAnsi="Calibri"/>
          <w:color w:val="1E293B"/>
          <w:sz w:val="22"/>
        </w:rPr>
        <w:t>Securities and Exchange Board of India (Alternative Investment Funds) Regulations, 2012</w:t>
      </w:r>
    </w:p>
    <w:p>
      <w:pPr>
        <w:spacing w:after="80" w:line="276" w:lineRule="auto"/>
      </w:pPr>
      <w:r>
        <w:rPr>
          <w:rFonts w:ascii="Calibri" w:hAnsi="Calibri"/>
          <w:color w:val="1E293B"/>
          <w:sz w:val="22"/>
        </w:rPr>
        <w:t>SEBI BTI Regulations</w:t>
      </w:r>
    </w:p>
    <w:p>
      <w:pPr>
        <w:spacing w:after="80" w:line="276" w:lineRule="auto"/>
      </w:pPr>
      <w:r>
        <w:rPr>
          <w:rFonts w:ascii="Calibri" w:hAnsi="Calibri"/>
          <w:color w:val="1E293B"/>
          <w:sz w:val="22"/>
        </w:rPr>
        <w:t>Securities and Exchange Board of India (Bankers to an Issue) Regulations, 1994</w:t>
      </w:r>
    </w:p>
    <w:p>
      <w:pPr>
        <w:spacing w:after="80" w:line="276" w:lineRule="auto"/>
      </w:pPr>
      <w:r>
        <w:rPr>
          <w:rFonts w:ascii="Calibri" w:hAnsi="Calibri"/>
          <w:color w:val="1E293B"/>
          <w:sz w:val="22"/>
        </w:rPr>
        <w:t>SEBI FPI Regulations</w:t>
      </w:r>
    </w:p>
    <w:p>
      <w:pPr>
        <w:spacing w:after="80" w:line="276" w:lineRule="auto"/>
      </w:pPr>
      <w:r>
        <w:rPr>
          <w:rFonts w:ascii="Calibri" w:hAnsi="Calibri"/>
          <w:color w:val="1E293B"/>
          <w:sz w:val="22"/>
        </w:rPr>
        <w:t>Securities and Exchange Board of India (Foreign Portfolio Investors) Regulations, 2019</w:t>
      </w:r>
    </w:p>
    <w:p>
      <w:pPr>
        <w:spacing w:after="80" w:line="276" w:lineRule="auto"/>
      </w:pPr>
      <w:r>
        <w:rPr>
          <w:rFonts w:ascii="Calibri" w:hAnsi="Calibri"/>
          <w:color w:val="1E293B"/>
          <w:sz w:val="22"/>
        </w:rPr>
        <w:t>SEBI FVCI Regulations</w:t>
      </w:r>
    </w:p>
    <w:p>
      <w:pPr>
        <w:spacing w:after="80" w:line="276" w:lineRule="auto"/>
      </w:pPr>
      <w:r>
        <w:rPr>
          <w:rFonts w:ascii="Calibri" w:hAnsi="Calibri"/>
          <w:color w:val="1E293B"/>
          <w:sz w:val="22"/>
        </w:rPr>
        <w:t>Securities and Exchange Board of India (Foreign Venture Capital Investors) Regulations, 2000</w:t>
      </w:r>
    </w:p>
    <w:p>
      <w:pPr>
        <w:spacing w:after="80" w:line="276" w:lineRule="auto"/>
      </w:pPr>
      <w:r>
        <w:rPr>
          <w:rFonts w:ascii="Calibri" w:hAnsi="Calibri"/>
          <w:color w:val="1E293B"/>
          <w:sz w:val="22"/>
        </w:rPr>
        <w:t>SEBI ICDR Master Circular</w:t>
      </w:r>
    </w:p>
    <w:p>
      <w:pPr>
        <w:spacing w:after="80" w:line="276" w:lineRule="auto"/>
      </w:pPr>
      <w:r>
        <w:rPr>
          <w:rFonts w:ascii="Calibri" w:hAnsi="Calibri"/>
          <w:color w:val="1E293B"/>
          <w:sz w:val="22"/>
        </w:rPr>
        <w:t>SEBI ICDR Master Circular - SEBI master circular bearing reference SEBI/HO/CFD/PoD-1/P/CIR/2024/0154 dated November 11, 2024, as amended</w:t>
      </w:r>
    </w:p>
    <w:p>
      <w:pPr>
        <w:spacing w:after="80" w:line="276" w:lineRule="auto"/>
      </w:pPr>
      <w:r>
        <w:rPr>
          <w:rFonts w:ascii="Calibri" w:hAnsi="Calibri"/>
          <w:color w:val="1E293B"/>
          <w:sz w:val="22"/>
        </w:rPr>
        <w:t>SEBI ICDR Regulations</w:t>
      </w:r>
    </w:p>
    <w:p>
      <w:pPr>
        <w:spacing w:after="80" w:line="276" w:lineRule="auto"/>
      </w:pPr>
      <w:r>
        <w:rPr>
          <w:rFonts w:ascii="Calibri" w:hAnsi="Calibri"/>
          <w:color w:val="1E293B"/>
          <w:sz w:val="22"/>
        </w:rPr>
        <w:t>Securities and Exchange Board of India (Issue of Capital and Disclosure Requirements) Regulations, 2018</w:t>
      </w:r>
    </w:p>
    <w:p>
      <w:pPr>
        <w:spacing w:after="80" w:line="276" w:lineRule="auto"/>
      </w:pPr>
      <w:r>
        <w:rPr>
          <w:rFonts w:ascii="Calibri" w:hAnsi="Calibri"/>
          <w:color w:val="1E293B"/>
          <w:sz w:val="22"/>
        </w:rPr>
        <w:t>SEBI Listing Regulations</w:t>
      </w:r>
    </w:p>
    <w:p>
      <w:pPr>
        <w:spacing w:after="80" w:line="276" w:lineRule="auto"/>
      </w:pPr>
      <w:r>
        <w:rPr>
          <w:rFonts w:ascii="Calibri" w:hAnsi="Calibri"/>
          <w:color w:val="1E293B"/>
          <w:sz w:val="22"/>
        </w:rPr>
        <w:t>Securities and Exchange Board of India (Listing Obligations and Disclosure Requirements) Regulations, 2015</w:t>
      </w:r>
    </w:p>
    <w:p>
      <w:pPr>
        <w:spacing w:after="80" w:line="276" w:lineRule="auto"/>
      </w:pPr>
      <w:r>
        <w:rPr>
          <w:rFonts w:ascii="Calibri" w:hAnsi="Calibri"/>
          <w:color w:val="1E293B"/>
          <w:sz w:val="22"/>
        </w:rPr>
        <w:t>SEBI Mutual Funds Regulations</w:t>
      </w:r>
    </w:p>
    <w:p>
      <w:pPr>
        <w:spacing w:after="80" w:line="276" w:lineRule="auto"/>
      </w:pPr>
      <w:r>
        <w:rPr>
          <w:rFonts w:ascii="Calibri" w:hAnsi="Calibri"/>
          <w:color w:val="1E293B"/>
          <w:sz w:val="22"/>
        </w:rPr>
        <w:t>Securities and Exchange Board of India (Mutual Funds) Regulations, 1996</w:t>
      </w:r>
    </w:p>
    <w:p>
      <w:pPr>
        <w:spacing w:after="80" w:line="276" w:lineRule="auto"/>
      </w:pPr>
      <w:r>
        <w:rPr>
          <w:rFonts w:ascii="Calibri" w:hAnsi="Calibri"/>
          <w:color w:val="1E293B"/>
          <w:sz w:val="22"/>
        </w:rPr>
        <w:t>SEBI RTA Master Circular</w:t>
      </w:r>
    </w:p>
    <w:p>
      <w:pPr>
        <w:spacing w:after="80" w:line="276" w:lineRule="auto"/>
      </w:pPr>
      <w:r>
        <w:rPr>
          <w:rFonts w:ascii="Calibri" w:hAnsi="Calibri"/>
          <w:color w:val="1E293B"/>
          <w:sz w:val="22"/>
        </w:rPr>
        <w:t>SEBI master circular bearing number SEBI/HO/MIRSD/MIRSD-PoD/P/CIR/2025/91 dated June 23, 2025</w:t>
      </w:r>
    </w:p>
    <w:p>
      <w:pPr>
        <w:spacing w:after="80" w:line="276" w:lineRule="auto"/>
      </w:pPr>
      <w:r>
        <w:rPr>
          <w:rFonts w:ascii="Calibri" w:hAnsi="Calibri"/>
          <w:color w:val="1E293B"/>
          <w:sz w:val="22"/>
        </w:rPr>
        <w:t>SEBI SBEB &amp; SE Regulations</w:t>
      </w:r>
    </w:p>
    <w:p>
      <w:pPr>
        <w:spacing w:after="80" w:line="276" w:lineRule="auto"/>
      </w:pPr>
      <w:r>
        <w:rPr>
          <w:rFonts w:ascii="Calibri" w:hAnsi="Calibri"/>
          <w:color w:val="1E293B"/>
          <w:sz w:val="22"/>
        </w:rPr>
        <w:t>Securities and Exchange Board of India (Share Based Employee Maya Rao) Regulations, 2021</w:t>
      </w:r>
    </w:p>
    <w:p>
      <w:pPr>
        <w:spacing w:after="80" w:line="276" w:lineRule="auto"/>
      </w:pPr>
      <w:r>
        <w:rPr>
          <w:rFonts w:ascii="Calibri" w:hAnsi="Calibri"/>
          <w:color w:val="1E293B"/>
          <w:sz w:val="22"/>
        </w:rPr>
        <w:t>SEBI Takeover Regulations</w:t>
      </w:r>
    </w:p>
    <w:p>
      <w:pPr>
        <w:spacing w:after="80" w:line="276" w:lineRule="auto"/>
      </w:pPr>
      <w:r>
        <w:rPr>
          <w:rFonts w:ascii="Calibri" w:hAnsi="Calibri"/>
          <w:color w:val="1E293B"/>
          <w:sz w:val="22"/>
        </w:rPr>
        <w:t>Securities and Exchange Board of India (Substantial Acquisition of Shares and Takeovers) Regulations, 2011</w:t>
      </w:r>
    </w:p>
    <w:p>
      <w:pPr>
        <w:spacing w:after="80" w:line="276" w:lineRule="auto"/>
      </w:pPr>
      <w:r>
        <w:rPr>
          <w:rFonts w:ascii="Calibri" w:hAnsi="Calibri"/>
          <w:color w:val="1E293B"/>
          <w:sz w:val="22"/>
        </w:rPr>
        <w:t>SEBI VCF Regulations</w:t>
      </w:r>
    </w:p>
    <w:p>
      <w:pPr>
        <w:spacing w:after="80" w:line="276" w:lineRule="auto"/>
      </w:pPr>
      <w:r>
        <w:rPr>
          <w:rFonts w:ascii="Calibri" w:hAnsi="Calibri"/>
          <w:color w:val="1E293B"/>
          <w:sz w:val="22"/>
        </w:rPr>
        <w:t>Securities and Exchange Board of India (Venture Capital Fund) Regulations, 1996 as repealed pursuant to SEBI AIF Regulations</w:t>
      </w:r>
    </w:p>
    <w:p>
      <w:pPr>
        <w:spacing w:after="80" w:line="276" w:lineRule="auto"/>
      </w:pPr>
      <w:r>
        <w:rPr>
          <w:rFonts w:ascii="Calibri" w:hAnsi="Calibri"/>
          <w:color w:val="1E293B"/>
          <w:sz w:val="22"/>
        </w:rPr>
        <w:t>State Government</w:t>
      </w:r>
    </w:p>
    <w:p>
      <w:pPr>
        <w:spacing w:after="80" w:line="276" w:lineRule="auto"/>
      </w:pPr>
      <w:r>
        <w:rPr>
          <w:rFonts w:ascii="Calibri" w:hAnsi="Calibri"/>
          <w:color w:val="1E293B"/>
          <w:sz w:val="22"/>
        </w:rPr>
        <w:t>Government of a state of India.</w:t>
      </w:r>
    </w:p>
    <w:p>
      <w:pPr>
        <w:spacing w:after="80" w:line="276" w:lineRule="auto"/>
      </w:pPr>
      <w:r>
        <w:rPr>
          <w:rFonts w:ascii="Calibri" w:hAnsi="Calibri"/>
          <w:color w:val="1E293B"/>
          <w:sz w:val="22"/>
        </w:rPr>
        <w:t>U.S. Securities Act</w:t>
      </w:r>
    </w:p>
    <w:p>
      <w:pPr>
        <w:spacing w:after="80" w:line="276" w:lineRule="auto"/>
      </w:pPr>
      <w:r>
        <w:rPr>
          <w:rFonts w:ascii="Calibri" w:hAnsi="Calibri"/>
          <w:color w:val="1E293B"/>
          <w:sz w:val="22"/>
        </w:rPr>
        <w:t>United States Securities Act of 1933, as amended</w:t>
      </w:r>
    </w:p>
    <w:p>
      <w:pPr>
        <w:spacing w:after="80" w:line="276" w:lineRule="auto"/>
      </w:pPr>
      <w:r>
        <w:rPr>
          <w:rFonts w:ascii="Calibri" w:hAnsi="Calibri"/>
          <w:color w:val="1E293B"/>
          <w:sz w:val="22"/>
        </w:rPr>
        <w:t>US GAAP</w:t>
      </w:r>
    </w:p>
    <w:p>
      <w:pPr>
        <w:spacing w:after="80" w:line="276" w:lineRule="auto"/>
      </w:pPr>
      <w:r>
        <w:rPr>
          <w:rFonts w:ascii="Calibri" w:hAnsi="Calibri"/>
          <w:color w:val="1E293B"/>
          <w:sz w:val="22"/>
        </w:rPr>
        <w:t>Generally Accepted Accounting Principles in the United States of America.</w:t>
      </w:r>
    </w:p>
    <w:p>
      <w:pPr>
        <w:spacing w:after="80" w:line="276" w:lineRule="auto"/>
      </w:pPr>
      <w:r>
        <w:rPr>
          <w:rFonts w:ascii="Calibri" w:hAnsi="Calibri"/>
          <w:color w:val="1E293B"/>
          <w:sz w:val="22"/>
        </w:rPr>
        <w:t>USA/ United States/ U.S. / US</w:t>
      </w:r>
    </w:p>
    <w:p>
      <w:pPr>
        <w:spacing w:after="80" w:line="276" w:lineRule="auto"/>
      </w:pPr>
      <w:r>
        <w:rPr>
          <w:rFonts w:ascii="Calibri" w:hAnsi="Calibri"/>
          <w:color w:val="1E293B"/>
          <w:sz w:val="22"/>
        </w:rPr>
        <w:t>The United States of America</w:t>
      </w:r>
    </w:p>
    <w:p>
      <w:pPr>
        <w:spacing w:after="80" w:line="276" w:lineRule="auto"/>
      </w:pPr>
      <w:r>
        <w:rPr>
          <w:rFonts w:ascii="Calibri" w:hAnsi="Calibri"/>
          <w:color w:val="1E293B"/>
          <w:sz w:val="22"/>
        </w:rPr>
        <w:t>USD</w:t>
      </w:r>
    </w:p>
    <w:p>
      <w:pPr>
        <w:spacing w:after="80" w:line="276" w:lineRule="auto"/>
      </w:pPr>
      <w:r>
        <w:rPr>
          <w:rFonts w:ascii="Calibri" w:hAnsi="Calibri"/>
          <w:color w:val="1E293B"/>
          <w:sz w:val="22"/>
        </w:rPr>
        <w:t>United States Dollars</w:t>
      </w:r>
    </w:p>
    <w:p>
      <w:pPr>
        <w:spacing w:after="80" w:line="276" w:lineRule="auto"/>
      </w:pPr>
      <w:r>
        <w:rPr>
          <w:rFonts w:ascii="Calibri" w:hAnsi="Calibri"/>
          <w:color w:val="1E293B"/>
          <w:sz w:val="22"/>
        </w:rPr>
        <w:t>VCFs</w:t>
      </w:r>
    </w:p>
    <w:p>
      <w:pPr>
        <w:spacing w:after="80" w:line="276" w:lineRule="auto"/>
      </w:pPr>
      <w:r>
        <w:rPr>
          <w:rFonts w:ascii="Calibri" w:hAnsi="Calibri"/>
          <w:color w:val="1E293B"/>
          <w:sz w:val="22"/>
        </w:rPr>
        <w:t>Venture capital funds as defined in, and registered with SEBI under, the SEBI VCF Regulations (now repealed) or the SEBI AIF Regulations, as the case may be</w:t>
      </w:r>
    </w:p>
    <w:p>
      <w:pPr>
        <w:spacing w:after="80" w:line="276" w:lineRule="auto"/>
      </w:pPr>
      <w:r>
        <w:rPr>
          <w:rFonts w:ascii="Calibri" w:hAnsi="Calibri"/>
          <w:color w:val="1E293B"/>
          <w:sz w:val="22"/>
        </w:rPr>
        <w:t>Technical and Industry Related Terms</w:t>
      </w:r>
    </w:p>
    <w:p>
      <w:pPr>
        <w:spacing w:after="80" w:line="276" w:lineRule="auto"/>
      </w:pPr>
      <w:r>
        <w:rPr>
          <w:rFonts w:ascii="Calibri" w:hAnsi="Calibri"/>
          <w:color w:val="1E293B"/>
          <w:sz w:val="22"/>
        </w:rPr>
        <w:t>Term</w:t>
      </w:r>
    </w:p>
    <w:p>
      <w:pPr>
        <w:spacing w:after="80" w:line="276" w:lineRule="auto"/>
      </w:pPr>
      <w:r>
        <w:rPr>
          <w:rFonts w:ascii="Calibri" w:hAnsi="Calibri"/>
          <w:color w:val="1E293B"/>
          <w:sz w:val="22"/>
        </w:rPr>
        <w:t>Abbreviations</w:t>
      </w:r>
    </w:p>
    <w:p>
      <w:pPr>
        <w:spacing w:after="80" w:line="276" w:lineRule="auto"/>
      </w:pPr>
      <w:r>
        <w:rPr>
          <w:rFonts w:ascii="Calibri" w:hAnsi="Calibri"/>
          <w:color w:val="1E293B"/>
          <w:sz w:val="22"/>
        </w:rPr>
        <w:t>2W</w:t>
      </w:r>
    </w:p>
    <w:p>
      <w:pPr>
        <w:spacing w:after="80" w:line="276" w:lineRule="auto"/>
      </w:pPr>
      <w:r>
        <w:rPr>
          <w:rFonts w:ascii="Calibri" w:hAnsi="Calibri"/>
          <w:color w:val="1E293B"/>
          <w:sz w:val="22"/>
        </w:rPr>
        <w:t>Two-Wheelers</w:t>
      </w:r>
    </w:p>
    <w:p>
      <w:pPr>
        <w:spacing w:after="80" w:line="276" w:lineRule="auto"/>
      </w:pPr>
      <w:r>
        <w:rPr>
          <w:rFonts w:ascii="Calibri" w:hAnsi="Calibri"/>
          <w:color w:val="1E293B"/>
          <w:sz w:val="22"/>
        </w:rPr>
        <w:t>3W</w:t>
      </w:r>
    </w:p>
    <w:p>
      <w:pPr>
        <w:spacing w:after="80" w:line="276" w:lineRule="auto"/>
      </w:pPr>
      <w:r>
        <w:rPr>
          <w:rFonts w:ascii="Calibri" w:hAnsi="Calibri"/>
          <w:color w:val="1E293B"/>
          <w:sz w:val="22"/>
        </w:rPr>
        <w:t>Three Wheelers</w:t>
      </w:r>
    </w:p>
    <w:p>
      <w:pPr>
        <w:spacing w:after="80" w:line="276" w:lineRule="auto"/>
      </w:pPr>
      <w:r>
        <w:rPr>
          <w:rFonts w:ascii="Calibri" w:hAnsi="Calibri"/>
          <w:color w:val="1E293B"/>
          <w:sz w:val="22"/>
        </w:rPr>
        <w:t>4W</w:t>
      </w:r>
    </w:p>
    <w:p>
      <w:pPr>
        <w:spacing w:after="80" w:line="276" w:lineRule="auto"/>
      </w:pPr>
      <w:r>
        <w:rPr>
          <w:rFonts w:ascii="Calibri" w:hAnsi="Calibri"/>
          <w:color w:val="1E293B"/>
          <w:sz w:val="22"/>
        </w:rPr>
        <w:t>Four Wheelers</w:t>
      </w:r>
    </w:p>
    <w:p>
      <w:pPr>
        <w:spacing w:after="80" w:line="276" w:lineRule="auto"/>
      </w:pPr>
      <w:r>
        <w:rPr>
          <w:rFonts w:ascii="Calibri" w:hAnsi="Calibri"/>
          <w:color w:val="1E293B"/>
          <w:sz w:val="22"/>
        </w:rPr>
        <w:t>AAS</w:t>
      </w:r>
    </w:p>
    <w:p>
      <w:pPr>
        <w:spacing w:after="80" w:line="276" w:lineRule="auto"/>
      </w:pPr>
      <w:r>
        <w:rPr>
          <w:rFonts w:ascii="Calibri" w:hAnsi="Calibri"/>
          <w:color w:val="1E293B"/>
          <w:sz w:val="22"/>
        </w:rPr>
        <w:t>Advance Authorization Scheme</w:t>
      </w:r>
    </w:p>
    <w:p>
      <w:pPr>
        <w:spacing w:after="80" w:line="276" w:lineRule="auto"/>
      </w:pPr>
      <w:r>
        <w:rPr>
          <w:rFonts w:ascii="Calibri" w:hAnsi="Calibri"/>
          <w:color w:val="1E293B"/>
          <w:sz w:val="22"/>
        </w:rPr>
        <w:t>ACC</w:t>
      </w:r>
    </w:p>
    <w:p>
      <w:pPr>
        <w:spacing w:after="80" w:line="276" w:lineRule="auto"/>
      </w:pPr>
      <w:r>
        <w:rPr>
          <w:rFonts w:ascii="Calibri" w:hAnsi="Calibri"/>
          <w:color w:val="1E293B"/>
          <w:sz w:val="22"/>
        </w:rPr>
        <w:t>Advanced Chemistry Cell</w:t>
      </w:r>
    </w:p>
    <w:p>
      <w:pPr>
        <w:spacing w:after="80" w:line="276" w:lineRule="auto"/>
      </w:pPr>
      <w:r>
        <w:rPr>
          <w:rFonts w:ascii="Calibri" w:hAnsi="Calibri"/>
          <w:color w:val="1E293B"/>
          <w:sz w:val="22"/>
        </w:rPr>
        <w:t>ADAS</w:t>
      </w:r>
    </w:p>
    <w:p>
      <w:pPr>
        <w:spacing w:after="80" w:line="276" w:lineRule="auto"/>
      </w:pPr>
      <w:r>
        <w:rPr>
          <w:rFonts w:ascii="Calibri" w:hAnsi="Calibri"/>
          <w:color w:val="1E293B"/>
          <w:sz w:val="22"/>
        </w:rPr>
        <w:t>Advanced driver-assistance systems</w:t>
      </w:r>
    </w:p>
    <w:p>
      <w:pPr>
        <w:spacing w:after="80" w:line="276" w:lineRule="auto"/>
      </w:pPr>
      <w:r>
        <w:rPr>
          <w:rFonts w:ascii="Calibri" w:hAnsi="Calibri"/>
          <w:color w:val="1E293B"/>
          <w:sz w:val="22"/>
        </w:rPr>
        <w:t>AMRUT</w:t>
      </w:r>
    </w:p>
    <w:p>
      <w:pPr>
        <w:spacing w:after="80" w:line="276" w:lineRule="auto"/>
      </w:pPr>
      <w:r>
        <w:rPr>
          <w:rFonts w:ascii="Calibri" w:hAnsi="Calibri"/>
          <w:color w:val="1E293B"/>
          <w:sz w:val="22"/>
        </w:rPr>
        <w:t>Atal Mission for Rejuvenation and Urban Transformation</w:t>
      </w:r>
    </w:p>
    <w:p>
      <w:pPr>
        <w:spacing w:after="80" w:line="276" w:lineRule="auto"/>
      </w:pPr>
      <w:r>
        <w:rPr>
          <w:rFonts w:ascii="Calibri" w:hAnsi="Calibri"/>
          <w:color w:val="1E293B"/>
          <w:sz w:val="22"/>
        </w:rPr>
        <w:t>BCD</w:t>
      </w:r>
    </w:p>
    <w:p>
      <w:pPr>
        <w:spacing w:after="80" w:line="276" w:lineRule="auto"/>
      </w:pPr>
      <w:r>
        <w:rPr>
          <w:rFonts w:ascii="Calibri" w:hAnsi="Calibri"/>
          <w:color w:val="1E293B"/>
          <w:sz w:val="22"/>
        </w:rPr>
        <w:t>Basic Custom Duty</w:t>
      </w:r>
    </w:p>
    <w:p>
      <w:pPr>
        <w:spacing w:after="80" w:line="276" w:lineRule="auto"/>
      </w:pPr>
      <w:r>
        <w:rPr>
          <w:rFonts w:ascii="Calibri" w:hAnsi="Calibri"/>
          <w:color w:val="1E293B"/>
          <w:sz w:val="22"/>
        </w:rPr>
        <w:t>BESS</w:t>
      </w:r>
    </w:p>
    <w:p>
      <w:pPr>
        <w:spacing w:after="80" w:line="276" w:lineRule="auto"/>
      </w:pPr>
      <w:r>
        <w:rPr>
          <w:rFonts w:ascii="Calibri" w:hAnsi="Calibri"/>
          <w:color w:val="1E293B"/>
          <w:sz w:val="22"/>
        </w:rPr>
        <w:t>Battery Energy Storage System</w:t>
      </w:r>
    </w:p>
    <w:p>
      <w:pPr>
        <w:spacing w:after="80" w:line="276" w:lineRule="auto"/>
      </w:pPr>
      <w:r>
        <w:rPr>
          <w:rFonts w:ascii="Calibri" w:hAnsi="Calibri"/>
          <w:color w:val="1E293B"/>
          <w:sz w:val="22"/>
        </w:rPr>
        <w:t>BIS</w:t>
      </w:r>
    </w:p>
    <w:p>
      <w:pPr>
        <w:spacing w:after="80" w:line="276" w:lineRule="auto"/>
      </w:pPr>
      <w:r>
        <w:rPr>
          <w:rFonts w:ascii="Calibri" w:hAnsi="Calibri"/>
          <w:color w:val="1E293B"/>
          <w:sz w:val="22"/>
        </w:rPr>
        <w:t>Bureau of Indian Standards</w:t>
      </w:r>
    </w:p>
    <w:p>
      <w:pPr>
        <w:spacing w:after="80" w:line="276" w:lineRule="auto"/>
      </w:pPr>
      <w:r>
        <w:rPr>
          <w:rFonts w:ascii="Calibri" w:hAnsi="Calibri"/>
          <w:color w:val="1E293B"/>
          <w:sz w:val="22"/>
        </w:rPr>
        <w:t>BLDC</w:t>
      </w:r>
    </w:p>
    <w:p>
      <w:pPr>
        <w:spacing w:after="80" w:line="276" w:lineRule="auto"/>
      </w:pPr>
      <w:r>
        <w:rPr>
          <w:rFonts w:ascii="Calibri" w:hAnsi="Calibri"/>
          <w:color w:val="1E293B"/>
          <w:sz w:val="22"/>
        </w:rPr>
        <w:t>Brushless Direct Current</w:t>
      </w:r>
    </w:p>
    <w:p>
      <w:pPr>
        <w:spacing w:after="80" w:line="276" w:lineRule="auto"/>
      </w:pPr>
      <w:r>
        <w:rPr>
          <w:rFonts w:ascii="Calibri" w:hAnsi="Calibri"/>
          <w:color w:val="1E293B"/>
          <w:sz w:val="22"/>
        </w:rPr>
        <w:t>BTA</w:t>
      </w:r>
    </w:p>
    <w:p>
      <w:pPr>
        <w:spacing w:after="80" w:line="276" w:lineRule="auto"/>
      </w:pPr>
      <w:r>
        <w:rPr>
          <w:rFonts w:ascii="Calibri" w:hAnsi="Calibri"/>
          <w:color w:val="1E293B"/>
          <w:sz w:val="22"/>
        </w:rPr>
        <w:t>Bilateral trade agreement</w:t>
      </w:r>
    </w:p>
    <w:p>
      <w:pPr>
        <w:spacing w:after="80" w:line="276" w:lineRule="auto"/>
      </w:pPr>
      <w:r>
        <w:rPr>
          <w:rFonts w:ascii="Calibri" w:hAnsi="Calibri"/>
          <w:color w:val="1E293B"/>
          <w:sz w:val="22"/>
        </w:rPr>
        <w:t>BU</w:t>
      </w:r>
    </w:p>
    <w:p>
      <w:pPr>
        <w:spacing w:after="80" w:line="276" w:lineRule="auto"/>
      </w:pPr>
      <w:r>
        <w:rPr>
          <w:rFonts w:ascii="Calibri" w:hAnsi="Calibri"/>
          <w:color w:val="1E293B"/>
          <w:sz w:val="22"/>
        </w:rPr>
        <w:t>Billion unit</w:t>
      </w:r>
    </w:p>
    <w:p>
      <w:pPr>
        <w:spacing w:after="80" w:line="276" w:lineRule="auto"/>
      </w:pPr>
      <w:r>
        <w:rPr>
          <w:rFonts w:ascii="Calibri" w:hAnsi="Calibri"/>
          <w:color w:val="1E293B"/>
          <w:sz w:val="22"/>
        </w:rPr>
        <w:t>CEA</w:t>
      </w:r>
    </w:p>
    <w:p>
      <w:pPr>
        <w:spacing w:after="80" w:line="276" w:lineRule="auto"/>
      </w:pPr>
      <w:r>
        <w:rPr>
          <w:rFonts w:ascii="Calibri" w:hAnsi="Calibri"/>
          <w:color w:val="1E293B"/>
          <w:sz w:val="22"/>
        </w:rPr>
        <w:t>Central Electricity Authority</w:t>
      </w:r>
    </w:p>
    <w:p>
      <w:pPr>
        <w:spacing w:after="80" w:line="276" w:lineRule="auto"/>
      </w:pPr>
      <w:r>
        <w:rPr>
          <w:rFonts w:ascii="Calibri" w:hAnsi="Calibri"/>
          <w:color w:val="1E293B"/>
          <w:sz w:val="22"/>
        </w:rPr>
        <w:t>CERC</w:t>
      </w:r>
    </w:p>
    <w:p>
      <w:pPr>
        <w:spacing w:after="80" w:line="276" w:lineRule="auto"/>
      </w:pPr>
      <w:r>
        <w:rPr>
          <w:rFonts w:ascii="Calibri" w:hAnsi="Calibri"/>
          <w:color w:val="1E293B"/>
          <w:sz w:val="22"/>
        </w:rPr>
        <w:t>Central Electricity Regulatory Commission</w:t>
      </w:r>
    </w:p>
    <w:p>
      <w:pPr>
        <w:spacing w:after="80" w:line="276" w:lineRule="auto"/>
      </w:pPr>
      <w:r>
        <w:rPr>
          <w:rFonts w:ascii="Calibri" w:hAnsi="Calibri"/>
          <w:color w:val="1E293B"/>
          <w:sz w:val="22"/>
        </w:rPr>
        <w:t>CKM</w:t>
      </w:r>
    </w:p>
    <w:p>
      <w:pPr>
        <w:spacing w:after="80" w:line="276" w:lineRule="auto"/>
      </w:pPr>
      <w:r>
        <w:rPr>
          <w:rFonts w:ascii="Calibri" w:hAnsi="Calibri"/>
          <w:color w:val="1E293B"/>
          <w:sz w:val="22"/>
        </w:rPr>
        <w:t>Circuit Kilometers</w:t>
      </w:r>
    </w:p>
    <w:p>
      <w:pPr>
        <w:spacing w:after="80" w:line="276" w:lineRule="auto"/>
      </w:pPr>
      <w:r>
        <w:rPr>
          <w:rFonts w:ascii="Calibri" w:hAnsi="Calibri"/>
          <w:color w:val="1E293B"/>
          <w:sz w:val="22"/>
        </w:rPr>
        <w:t>CTC</w:t>
      </w:r>
    </w:p>
    <w:p>
      <w:pPr>
        <w:spacing w:after="80" w:line="276" w:lineRule="auto"/>
      </w:pPr>
      <w:r>
        <w:rPr>
          <w:rFonts w:ascii="Calibri" w:hAnsi="Calibri"/>
          <w:color w:val="1E293B"/>
          <w:sz w:val="22"/>
        </w:rPr>
        <w:t>Continuous Transposed Conductors</w:t>
      </w:r>
    </w:p>
    <w:p>
      <w:pPr>
        <w:spacing w:after="80" w:line="276" w:lineRule="auto"/>
      </w:pPr>
      <w:r>
        <w:rPr>
          <w:rFonts w:ascii="Calibri" w:hAnsi="Calibri"/>
          <w:color w:val="1E293B"/>
          <w:sz w:val="22"/>
        </w:rPr>
        <w:t>CUF</w:t>
      </w:r>
    </w:p>
    <w:p>
      <w:pPr>
        <w:spacing w:after="80" w:line="276" w:lineRule="auto"/>
      </w:pPr>
      <w:r>
        <w:rPr>
          <w:rFonts w:ascii="Calibri" w:hAnsi="Calibri"/>
          <w:color w:val="1E293B"/>
          <w:sz w:val="22"/>
        </w:rPr>
        <w:t>Capacity Utilization Factor</w:t>
      </w:r>
    </w:p>
    <w:p>
      <w:pPr>
        <w:spacing w:after="80" w:line="276" w:lineRule="auto"/>
      </w:pPr>
      <w:r>
        <w:rPr>
          <w:rFonts w:ascii="Calibri" w:hAnsi="Calibri"/>
          <w:color w:val="1E293B"/>
          <w:sz w:val="22"/>
        </w:rPr>
        <w:t>DDUGJY</w:t>
      </w:r>
    </w:p>
    <w:p>
      <w:pPr>
        <w:spacing w:after="80" w:line="276" w:lineRule="auto"/>
      </w:pPr>
      <w:r>
        <w:rPr>
          <w:rFonts w:ascii="Calibri" w:hAnsi="Calibri"/>
          <w:color w:val="1E293B"/>
          <w:sz w:val="22"/>
        </w:rPr>
        <w:t>Deen Dayal Upadhyaya Gram Jyoti</w:t>
      </w:r>
    </w:p>
    <w:p>
      <w:pPr>
        <w:spacing w:after="80" w:line="276" w:lineRule="auto"/>
      </w:pPr>
      <w:r>
        <w:rPr>
          <w:rFonts w:ascii="Calibri" w:hAnsi="Calibri"/>
          <w:color w:val="1E293B"/>
          <w:sz w:val="22"/>
        </w:rPr>
        <w:t>DFI</w:t>
      </w:r>
    </w:p>
    <w:p>
      <w:pPr>
        <w:spacing w:after="80" w:line="276" w:lineRule="auto"/>
      </w:pPr>
      <w:r>
        <w:rPr>
          <w:rFonts w:ascii="Calibri" w:hAnsi="Calibri"/>
          <w:color w:val="1E293B"/>
          <w:sz w:val="22"/>
        </w:rPr>
        <w:t>Development Finance Institution</w:t>
      </w:r>
    </w:p>
    <w:p>
      <w:pPr>
        <w:spacing w:after="80" w:line="276" w:lineRule="auto"/>
      </w:pPr>
      <w:r>
        <w:rPr>
          <w:rFonts w:ascii="Calibri" w:hAnsi="Calibri"/>
          <w:color w:val="1E293B"/>
          <w:sz w:val="22"/>
        </w:rPr>
        <w:t>DFIA</w:t>
      </w:r>
    </w:p>
    <w:p>
      <w:pPr>
        <w:spacing w:after="80" w:line="276" w:lineRule="auto"/>
      </w:pPr>
      <w:r>
        <w:rPr>
          <w:rFonts w:ascii="Calibri" w:hAnsi="Calibri"/>
          <w:color w:val="1E293B"/>
          <w:sz w:val="22"/>
        </w:rPr>
        <w:t>Duty-Free Import Authorisation</w:t>
      </w:r>
    </w:p>
    <w:p>
      <w:pPr>
        <w:spacing w:after="80" w:line="276" w:lineRule="auto"/>
      </w:pPr>
      <w:r>
        <w:rPr>
          <w:rFonts w:ascii="Calibri" w:hAnsi="Calibri"/>
          <w:color w:val="1E293B"/>
          <w:sz w:val="22"/>
        </w:rPr>
        <w:t>DG</w:t>
      </w:r>
    </w:p>
    <w:p>
      <w:pPr>
        <w:spacing w:after="80" w:line="276" w:lineRule="auto"/>
      </w:pPr>
      <w:r>
        <w:rPr>
          <w:rFonts w:ascii="Calibri" w:hAnsi="Calibri"/>
          <w:color w:val="1E293B"/>
          <w:sz w:val="22"/>
        </w:rPr>
        <w:t>Diesel Generators</w:t>
      </w:r>
    </w:p>
    <w:p>
      <w:pPr>
        <w:spacing w:after="80" w:line="276" w:lineRule="auto"/>
      </w:pPr>
      <w:r>
        <w:rPr>
          <w:rFonts w:ascii="Calibri" w:hAnsi="Calibri"/>
          <w:color w:val="1E293B"/>
          <w:sz w:val="22"/>
        </w:rPr>
        <w:t>EBITDA</w:t>
      </w:r>
    </w:p>
    <w:p>
      <w:pPr>
        <w:spacing w:after="80" w:line="276" w:lineRule="auto"/>
      </w:pPr>
      <w:r>
        <w:rPr>
          <w:rFonts w:ascii="Calibri" w:hAnsi="Calibri"/>
          <w:color w:val="1E293B"/>
          <w:sz w:val="22"/>
        </w:rPr>
        <w:t>Earnings Before Interest, Taxes, Depreciation, and Amortization.</w:t>
      </w:r>
    </w:p>
    <w:p>
      <w:pPr>
        <w:spacing w:after="80" w:line="276" w:lineRule="auto"/>
      </w:pPr>
      <w:r>
        <w:rPr>
          <w:rFonts w:ascii="Calibri" w:hAnsi="Calibri"/>
          <w:color w:val="1E293B"/>
          <w:sz w:val="22"/>
        </w:rPr>
        <w:t>Term</w:t>
      </w:r>
    </w:p>
    <w:p>
      <w:pPr>
        <w:spacing w:after="80" w:line="276" w:lineRule="auto"/>
      </w:pPr>
      <w:r>
        <w:rPr>
          <w:rFonts w:ascii="Calibri" w:hAnsi="Calibri"/>
          <w:color w:val="1E293B"/>
          <w:sz w:val="22"/>
        </w:rPr>
        <w:t>Abbreviations</w:t>
      </w:r>
    </w:p>
    <w:p>
      <w:pPr>
        <w:spacing w:after="80" w:line="276" w:lineRule="auto"/>
      </w:pPr>
      <w:r>
        <w:rPr>
          <w:rFonts w:ascii="Calibri" w:hAnsi="Calibri"/>
          <w:color w:val="1E293B"/>
          <w:sz w:val="22"/>
        </w:rPr>
        <w:t>EMIS</w:t>
      </w:r>
    </w:p>
    <w:p>
      <w:pPr>
        <w:spacing w:after="80" w:line="276" w:lineRule="auto"/>
      </w:pPr>
      <w:r>
        <w:rPr>
          <w:rFonts w:ascii="Calibri" w:hAnsi="Calibri"/>
          <w:color w:val="1E293B"/>
          <w:sz w:val="22"/>
        </w:rPr>
        <w:t>Education Management Information System</w:t>
      </w:r>
    </w:p>
    <w:p>
      <w:pPr>
        <w:spacing w:after="80" w:line="276" w:lineRule="auto"/>
      </w:pPr>
      <w:r>
        <w:rPr>
          <w:rFonts w:ascii="Calibri" w:hAnsi="Calibri"/>
          <w:color w:val="1E293B"/>
          <w:sz w:val="22"/>
        </w:rPr>
        <w:t>EPCG</w:t>
      </w:r>
    </w:p>
    <w:p>
      <w:pPr>
        <w:spacing w:after="80" w:line="276" w:lineRule="auto"/>
      </w:pPr>
      <w:r>
        <w:rPr>
          <w:rFonts w:ascii="Calibri" w:hAnsi="Calibri"/>
          <w:color w:val="1E293B"/>
          <w:sz w:val="22"/>
        </w:rPr>
        <w:t>Export Promotion Capital Goods</w:t>
      </w:r>
    </w:p>
    <w:p>
      <w:pPr>
        <w:spacing w:after="80" w:line="276" w:lineRule="auto"/>
      </w:pPr>
      <w:r>
        <w:rPr>
          <w:rFonts w:ascii="Calibri" w:hAnsi="Calibri"/>
          <w:color w:val="1E293B"/>
          <w:sz w:val="22"/>
        </w:rPr>
        <w:t>EV</w:t>
      </w:r>
    </w:p>
    <w:p>
      <w:pPr>
        <w:spacing w:after="80" w:line="276" w:lineRule="auto"/>
      </w:pPr>
      <w:r>
        <w:rPr>
          <w:rFonts w:ascii="Calibri" w:hAnsi="Calibri"/>
          <w:color w:val="1E293B"/>
          <w:sz w:val="22"/>
        </w:rPr>
        <w:t>Electric Vehicles</w:t>
      </w:r>
    </w:p>
    <w:p>
      <w:pPr>
        <w:spacing w:after="80" w:line="276" w:lineRule="auto"/>
      </w:pPr>
      <w:r>
        <w:rPr>
          <w:rFonts w:ascii="Calibri" w:hAnsi="Calibri"/>
          <w:color w:val="1E293B"/>
          <w:sz w:val="22"/>
        </w:rPr>
        <w:t>FAME</w:t>
      </w:r>
    </w:p>
    <w:p>
      <w:pPr>
        <w:spacing w:after="80" w:line="276" w:lineRule="auto"/>
      </w:pPr>
      <w:r>
        <w:rPr>
          <w:rFonts w:ascii="Calibri" w:hAnsi="Calibri"/>
          <w:color w:val="1E293B"/>
          <w:sz w:val="22"/>
        </w:rPr>
        <w:t>Faster Adoption and Manufacturing of Hybrid and Electric Vehicles</w:t>
      </w:r>
    </w:p>
    <w:p>
      <w:pPr>
        <w:spacing w:after="80" w:line="276" w:lineRule="auto"/>
      </w:pPr>
      <w:r>
        <w:rPr>
          <w:rFonts w:ascii="Calibri" w:hAnsi="Calibri"/>
          <w:color w:val="1E293B"/>
          <w:sz w:val="22"/>
        </w:rPr>
        <w:t>FE</w:t>
      </w:r>
    </w:p>
    <w:p>
      <w:pPr>
        <w:spacing w:after="80" w:line="276" w:lineRule="auto"/>
      </w:pPr>
      <w:r>
        <w:rPr>
          <w:rFonts w:ascii="Calibri" w:hAnsi="Calibri"/>
          <w:color w:val="1E293B"/>
          <w:sz w:val="22"/>
        </w:rPr>
        <w:t>Final Estimates</w:t>
      </w:r>
    </w:p>
    <w:p>
      <w:pPr>
        <w:spacing w:after="80" w:line="276" w:lineRule="auto"/>
      </w:pPr>
      <w:r>
        <w:rPr>
          <w:rFonts w:ascii="Calibri" w:hAnsi="Calibri"/>
          <w:color w:val="1E293B"/>
          <w:sz w:val="22"/>
        </w:rPr>
        <w:t>FHP</w:t>
      </w:r>
    </w:p>
    <w:p>
      <w:pPr>
        <w:spacing w:after="80" w:line="276" w:lineRule="auto"/>
      </w:pPr>
      <w:r>
        <w:rPr>
          <w:rFonts w:ascii="Calibri" w:hAnsi="Calibri"/>
          <w:color w:val="1E293B"/>
          <w:sz w:val="22"/>
        </w:rPr>
        <w:t>Fractional Horsepower</w:t>
      </w:r>
    </w:p>
    <w:p>
      <w:pPr>
        <w:spacing w:after="80" w:line="276" w:lineRule="auto"/>
      </w:pPr>
      <w:r>
        <w:rPr>
          <w:rFonts w:ascii="Calibri" w:hAnsi="Calibri"/>
          <w:color w:val="1E293B"/>
          <w:sz w:val="22"/>
        </w:rPr>
        <w:t>FRE</w:t>
      </w:r>
    </w:p>
    <w:p>
      <w:pPr>
        <w:spacing w:after="80" w:line="276" w:lineRule="auto"/>
      </w:pPr>
      <w:r>
        <w:rPr>
          <w:rFonts w:ascii="Calibri" w:hAnsi="Calibri"/>
          <w:color w:val="1E293B"/>
          <w:sz w:val="22"/>
        </w:rPr>
        <w:t>First Revised Estimates</w:t>
      </w:r>
    </w:p>
    <w:p>
      <w:pPr>
        <w:spacing w:after="80" w:line="276" w:lineRule="auto"/>
      </w:pPr>
      <w:r>
        <w:rPr>
          <w:rFonts w:ascii="Calibri" w:hAnsi="Calibri"/>
          <w:color w:val="1E293B"/>
          <w:sz w:val="22"/>
        </w:rPr>
        <w:t>FSA</w:t>
      </w:r>
    </w:p>
    <w:p>
      <w:pPr>
        <w:spacing w:after="80" w:line="276" w:lineRule="auto"/>
      </w:pPr>
      <w:r>
        <w:rPr>
          <w:rFonts w:ascii="Calibri" w:hAnsi="Calibri"/>
          <w:color w:val="1E293B"/>
          <w:sz w:val="22"/>
        </w:rPr>
        <w:t>Fuel Supply Agreements</w:t>
      </w:r>
    </w:p>
    <w:p>
      <w:pPr>
        <w:spacing w:after="80" w:line="276" w:lineRule="auto"/>
      </w:pPr>
      <w:r>
        <w:rPr>
          <w:rFonts w:ascii="Calibri" w:hAnsi="Calibri"/>
          <w:color w:val="1E293B"/>
          <w:sz w:val="22"/>
        </w:rPr>
        <w:t>FTA</w:t>
      </w:r>
    </w:p>
    <w:p>
      <w:pPr>
        <w:spacing w:after="80" w:line="276" w:lineRule="auto"/>
      </w:pPr>
      <w:r>
        <w:rPr>
          <w:rFonts w:ascii="Calibri" w:hAnsi="Calibri"/>
          <w:color w:val="1E293B"/>
          <w:sz w:val="22"/>
        </w:rPr>
        <w:t>Free Trade Agreements</w:t>
      </w:r>
    </w:p>
    <w:p>
      <w:pPr>
        <w:spacing w:after="80" w:line="276" w:lineRule="auto"/>
      </w:pPr>
      <w:r>
        <w:rPr>
          <w:rFonts w:ascii="Calibri" w:hAnsi="Calibri"/>
          <w:color w:val="1E293B"/>
          <w:sz w:val="22"/>
        </w:rPr>
        <w:t>GDP</w:t>
      </w:r>
    </w:p>
    <w:p>
      <w:pPr>
        <w:spacing w:after="80" w:line="276" w:lineRule="auto"/>
      </w:pPr>
      <w:r>
        <w:rPr>
          <w:rFonts w:ascii="Calibri" w:hAnsi="Calibri"/>
          <w:color w:val="1E293B"/>
          <w:sz w:val="22"/>
        </w:rPr>
        <w:t>Gross Domestic Product</w:t>
      </w:r>
    </w:p>
    <w:p>
      <w:pPr>
        <w:spacing w:after="80" w:line="276" w:lineRule="auto"/>
      </w:pPr>
      <w:r>
        <w:rPr>
          <w:rFonts w:ascii="Calibri" w:hAnsi="Calibri"/>
          <w:color w:val="1E293B"/>
          <w:sz w:val="22"/>
        </w:rPr>
        <w:t>GNDI</w:t>
      </w:r>
    </w:p>
    <w:p>
      <w:pPr>
        <w:spacing w:after="80" w:line="276" w:lineRule="auto"/>
      </w:pPr>
      <w:r>
        <w:rPr>
          <w:rFonts w:ascii="Calibri" w:hAnsi="Calibri"/>
          <w:color w:val="1E293B"/>
          <w:sz w:val="22"/>
        </w:rPr>
        <w:t>Gross National Disposable Income</w:t>
      </w:r>
    </w:p>
    <w:p>
      <w:pPr>
        <w:spacing w:after="80" w:line="276" w:lineRule="auto"/>
      </w:pPr>
      <w:r>
        <w:rPr>
          <w:rFonts w:ascii="Calibri" w:hAnsi="Calibri"/>
          <w:color w:val="1E293B"/>
          <w:sz w:val="22"/>
        </w:rPr>
        <w:t>GVA</w:t>
      </w:r>
    </w:p>
    <w:p>
      <w:pPr>
        <w:spacing w:after="80" w:line="276" w:lineRule="auto"/>
      </w:pPr>
      <w:r>
        <w:rPr>
          <w:rFonts w:ascii="Calibri" w:hAnsi="Calibri"/>
          <w:color w:val="1E293B"/>
          <w:sz w:val="22"/>
        </w:rPr>
        <w:t>Gross Value Added</w:t>
      </w:r>
    </w:p>
    <w:p>
      <w:pPr>
        <w:spacing w:after="80" w:line="276" w:lineRule="auto"/>
      </w:pPr>
      <w:r>
        <w:rPr>
          <w:rFonts w:ascii="Calibri" w:hAnsi="Calibri"/>
          <w:color w:val="1E293B"/>
          <w:sz w:val="22"/>
        </w:rPr>
        <w:t>GW</w:t>
      </w:r>
    </w:p>
    <w:p>
      <w:pPr>
        <w:spacing w:after="80" w:line="276" w:lineRule="auto"/>
      </w:pPr>
      <w:r>
        <w:rPr>
          <w:rFonts w:ascii="Calibri" w:hAnsi="Calibri"/>
          <w:color w:val="1E293B"/>
          <w:sz w:val="22"/>
        </w:rPr>
        <w:t>Gigawatt</w:t>
      </w:r>
    </w:p>
    <w:p>
      <w:pPr>
        <w:spacing w:after="80" w:line="276" w:lineRule="auto"/>
      </w:pPr>
      <w:r>
        <w:rPr>
          <w:rFonts w:ascii="Calibri" w:hAnsi="Calibri"/>
          <w:color w:val="1E293B"/>
          <w:sz w:val="22"/>
        </w:rPr>
        <w:t>GWH</w:t>
      </w:r>
    </w:p>
    <w:p>
      <w:pPr>
        <w:spacing w:after="80" w:line="276" w:lineRule="auto"/>
      </w:pPr>
      <w:r>
        <w:rPr>
          <w:rFonts w:ascii="Calibri" w:hAnsi="Calibri"/>
          <w:color w:val="1E293B"/>
          <w:sz w:val="22"/>
        </w:rPr>
        <w:t>Gigawatt-Hour</w:t>
      </w:r>
    </w:p>
    <w:p>
      <w:pPr>
        <w:spacing w:after="80" w:line="276" w:lineRule="auto"/>
      </w:pPr>
      <w:r>
        <w:rPr>
          <w:rFonts w:ascii="Calibri" w:hAnsi="Calibri"/>
          <w:color w:val="1E293B"/>
          <w:sz w:val="22"/>
        </w:rPr>
        <w:t>HT</w:t>
      </w:r>
    </w:p>
    <w:p>
      <w:pPr>
        <w:spacing w:after="80" w:line="276" w:lineRule="auto"/>
      </w:pPr>
      <w:r>
        <w:rPr>
          <w:rFonts w:ascii="Calibri" w:hAnsi="Calibri"/>
          <w:color w:val="1E293B"/>
          <w:sz w:val="22"/>
        </w:rPr>
        <w:t>High Tension</w:t>
      </w:r>
    </w:p>
    <w:p>
      <w:pPr>
        <w:spacing w:after="80" w:line="276" w:lineRule="auto"/>
      </w:pPr>
      <w:r>
        <w:rPr>
          <w:rFonts w:ascii="Calibri" w:hAnsi="Calibri"/>
          <w:color w:val="1E293B"/>
          <w:sz w:val="22"/>
        </w:rPr>
        <w:t>HVAC</w:t>
      </w:r>
    </w:p>
    <w:p>
      <w:pPr>
        <w:spacing w:after="80" w:line="276" w:lineRule="auto"/>
      </w:pPr>
      <w:r>
        <w:rPr>
          <w:rFonts w:ascii="Calibri" w:hAnsi="Calibri"/>
          <w:color w:val="1E293B"/>
          <w:sz w:val="22"/>
        </w:rPr>
        <w:t>Heating, Ventilation, and Air Conditioning</w:t>
      </w:r>
    </w:p>
    <w:p>
      <w:pPr>
        <w:spacing w:after="80" w:line="276" w:lineRule="auto"/>
      </w:pPr>
      <w:r>
        <w:rPr>
          <w:rFonts w:ascii="Calibri" w:hAnsi="Calibri"/>
          <w:color w:val="1E293B"/>
          <w:sz w:val="22"/>
        </w:rPr>
        <w:t>HVDC</w:t>
      </w:r>
    </w:p>
    <w:p>
      <w:pPr>
        <w:spacing w:after="80" w:line="276" w:lineRule="auto"/>
      </w:pPr>
      <w:r>
        <w:rPr>
          <w:rFonts w:ascii="Calibri" w:hAnsi="Calibri"/>
          <w:color w:val="1E293B"/>
          <w:sz w:val="22"/>
        </w:rPr>
        <w:t>High Voltage Direct Current</w:t>
      </w:r>
    </w:p>
    <w:p>
      <w:pPr>
        <w:spacing w:after="80" w:line="276" w:lineRule="auto"/>
      </w:pPr>
      <w:r>
        <w:rPr>
          <w:rFonts w:ascii="Calibri" w:hAnsi="Calibri"/>
          <w:color w:val="1E293B"/>
          <w:sz w:val="22"/>
        </w:rPr>
        <w:t>IATF</w:t>
      </w:r>
    </w:p>
    <w:p>
      <w:pPr>
        <w:spacing w:after="80" w:line="276" w:lineRule="auto"/>
      </w:pPr>
      <w:r>
        <w:rPr>
          <w:rFonts w:ascii="Calibri" w:hAnsi="Calibri"/>
          <w:color w:val="1E293B"/>
          <w:sz w:val="22"/>
        </w:rPr>
        <w:t>International Automotive Task Force</w:t>
      </w:r>
    </w:p>
    <w:p>
      <w:pPr>
        <w:spacing w:after="80" w:line="276" w:lineRule="auto"/>
      </w:pPr>
      <w:r>
        <w:rPr>
          <w:rFonts w:ascii="Calibri" w:hAnsi="Calibri"/>
          <w:color w:val="1E293B"/>
          <w:sz w:val="22"/>
        </w:rPr>
        <w:t>ICE</w:t>
      </w:r>
    </w:p>
    <w:p>
      <w:pPr>
        <w:spacing w:after="80" w:line="276" w:lineRule="auto"/>
      </w:pPr>
      <w:r>
        <w:rPr>
          <w:rFonts w:ascii="Calibri" w:hAnsi="Calibri"/>
          <w:color w:val="1E293B"/>
          <w:sz w:val="22"/>
        </w:rPr>
        <w:t>Internal Combustion Engine</w:t>
      </w:r>
    </w:p>
    <w:p>
      <w:pPr>
        <w:spacing w:after="80" w:line="276" w:lineRule="auto"/>
      </w:pPr>
      <w:r>
        <w:rPr>
          <w:rFonts w:ascii="Calibri" w:hAnsi="Calibri"/>
          <w:color w:val="1E293B"/>
          <w:sz w:val="22"/>
        </w:rPr>
        <w:t>IEA</w:t>
      </w:r>
    </w:p>
    <w:p>
      <w:pPr>
        <w:spacing w:after="80" w:line="276" w:lineRule="auto"/>
      </w:pPr>
      <w:r>
        <w:rPr>
          <w:rFonts w:ascii="Calibri" w:hAnsi="Calibri"/>
          <w:color w:val="1E293B"/>
          <w:sz w:val="22"/>
        </w:rPr>
        <w:t>International Energy Agency</w:t>
      </w:r>
    </w:p>
    <w:p>
      <w:pPr>
        <w:spacing w:after="80" w:line="276" w:lineRule="auto"/>
      </w:pPr>
      <w:r>
        <w:rPr>
          <w:rFonts w:ascii="Calibri" w:hAnsi="Calibri"/>
          <w:color w:val="1E293B"/>
          <w:sz w:val="22"/>
        </w:rPr>
        <w:t>IEBR</w:t>
      </w:r>
    </w:p>
    <w:p>
      <w:pPr>
        <w:spacing w:after="80" w:line="276" w:lineRule="auto"/>
      </w:pPr>
      <w:r>
        <w:rPr>
          <w:rFonts w:ascii="Calibri" w:hAnsi="Calibri"/>
          <w:color w:val="1E293B"/>
          <w:sz w:val="22"/>
        </w:rPr>
        <w:t>Internal and Extra Budgetary Resources</w:t>
      </w:r>
    </w:p>
    <w:p>
      <w:pPr>
        <w:spacing w:after="80" w:line="276" w:lineRule="auto"/>
      </w:pPr>
      <w:r>
        <w:rPr>
          <w:rFonts w:ascii="Calibri" w:hAnsi="Calibri"/>
          <w:color w:val="1E293B"/>
          <w:sz w:val="22"/>
        </w:rPr>
        <w:t>IEC</w:t>
      </w:r>
    </w:p>
    <w:p>
      <w:pPr>
        <w:spacing w:after="80" w:line="276" w:lineRule="auto"/>
      </w:pPr>
      <w:r>
        <w:rPr>
          <w:rFonts w:ascii="Calibri" w:hAnsi="Calibri"/>
          <w:color w:val="1E293B"/>
          <w:sz w:val="22"/>
        </w:rPr>
        <w:t>International Electrotechnical Commission</w:t>
      </w:r>
    </w:p>
    <w:p>
      <w:pPr>
        <w:spacing w:after="80" w:line="276" w:lineRule="auto"/>
      </w:pPr>
      <w:r>
        <w:rPr>
          <w:rFonts w:ascii="Calibri" w:hAnsi="Calibri"/>
          <w:color w:val="1E293B"/>
          <w:sz w:val="22"/>
        </w:rPr>
        <w:t>IIP</w:t>
      </w:r>
    </w:p>
    <w:p>
      <w:pPr>
        <w:spacing w:after="80" w:line="276" w:lineRule="auto"/>
      </w:pPr>
      <w:r>
        <w:rPr>
          <w:rFonts w:ascii="Calibri" w:hAnsi="Calibri"/>
          <w:color w:val="1E293B"/>
          <w:sz w:val="22"/>
        </w:rPr>
        <w:t>Index of Industrial Production</w:t>
      </w:r>
    </w:p>
    <w:p>
      <w:pPr>
        <w:spacing w:after="80" w:line="276" w:lineRule="auto"/>
      </w:pPr>
      <w:r>
        <w:rPr>
          <w:rFonts w:ascii="Calibri" w:hAnsi="Calibri"/>
          <w:color w:val="1E293B"/>
          <w:sz w:val="22"/>
        </w:rPr>
        <w:t>IMF</w:t>
      </w:r>
    </w:p>
    <w:p>
      <w:pPr>
        <w:spacing w:after="80" w:line="276" w:lineRule="auto"/>
      </w:pPr>
      <w:r>
        <w:rPr>
          <w:rFonts w:ascii="Calibri" w:hAnsi="Calibri"/>
          <w:color w:val="1E293B"/>
          <w:sz w:val="22"/>
        </w:rPr>
        <w:t>International Monetary Fund</w:t>
      </w:r>
    </w:p>
    <w:p>
      <w:pPr>
        <w:spacing w:after="80" w:line="276" w:lineRule="auto"/>
      </w:pPr>
      <w:r>
        <w:rPr>
          <w:rFonts w:ascii="Calibri" w:hAnsi="Calibri"/>
          <w:color w:val="1E293B"/>
          <w:sz w:val="22"/>
        </w:rPr>
        <w:t>IPDS</w:t>
      </w:r>
    </w:p>
    <w:p>
      <w:pPr>
        <w:spacing w:after="80" w:line="276" w:lineRule="auto"/>
      </w:pPr>
      <w:r>
        <w:rPr>
          <w:rFonts w:ascii="Calibri" w:hAnsi="Calibri"/>
          <w:color w:val="1E293B"/>
          <w:sz w:val="22"/>
        </w:rPr>
        <w:t>Integrated Power Development Scheme</w:t>
      </w:r>
    </w:p>
    <w:p>
      <w:pPr>
        <w:spacing w:after="80" w:line="276" w:lineRule="auto"/>
      </w:pPr>
      <w:r>
        <w:rPr>
          <w:rFonts w:ascii="Calibri" w:hAnsi="Calibri"/>
          <w:color w:val="1E293B"/>
          <w:sz w:val="22"/>
        </w:rPr>
        <w:t>ISTS</w:t>
      </w:r>
    </w:p>
    <w:p>
      <w:pPr>
        <w:spacing w:after="80" w:line="276" w:lineRule="auto"/>
      </w:pPr>
      <w:r>
        <w:rPr>
          <w:rFonts w:ascii="Calibri" w:hAnsi="Calibri"/>
          <w:color w:val="1E293B"/>
          <w:sz w:val="22"/>
        </w:rPr>
        <w:t>Inter-State Transmission System</w:t>
      </w:r>
    </w:p>
    <w:p>
      <w:pPr>
        <w:spacing w:after="80" w:line="276" w:lineRule="auto"/>
      </w:pPr>
      <w:r>
        <w:rPr>
          <w:rFonts w:ascii="Calibri" w:hAnsi="Calibri"/>
          <w:color w:val="1E293B"/>
          <w:sz w:val="22"/>
        </w:rPr>
        <w:t>kV</w:t>
      </w:r>
    </w:p>
    <w:p>
      <w:pPr>
        <w:spacing w:after="80" w:line="276" w:lineRule="auto"/>
      </w:pPr>
      <w:r>
        <w:rPr>
          <w:rFonts w:ascii="Calibri" w:hAnsi="Calibri"/>
          <w:color w:val="1E293B"/>
          <w:sz w:val="22"/>
        </w:rPr>
        <w:t>Kilovolt</w:t>
      </w:r>
    </w:p>
    <w:p>
      <w:pPr>
        <w:spacing w:after="80" w:line="276" w:lineRule="auto"/>
      </w:pPr>
      <w:r>
        <w:rPr>
          <w:rFonts w:ascii="Calibri" w:hAnsi="Calibri"/>
          <w:color w:val="1E293B"/>
          <w:sz w:val="22"/>
        </w:rPr>
        <w:t>LPG</w:t>
      </w:r>
    </w:p>
    <w:p>
      <w:pPr>
        <w:spacing w:after="80" w:line="276" w:lineRule="auto"/>
      </w:pPr>
      <w:r>
        <w:rPr>
          <w:rFonts w:ascii="Calibri" w:hAnsi="Calibri"/>
          <w:color w:val="1E293B"/>
          <w:sz w:val="22"/>
        </w:rPr>
        <w:t>Liquid Propane Gas</w:t>
      </w:r>
    </w:p>
    <w:p>
      <w:pPr>
        <w:spacing w:after="80" w:line="276" w:lineRule="auto"/>
      </w:pPr>
      <w:r>
        <w:rPr>
          <w:rFonts w:ascii="Calibri" w:hAnsi="Calibri"/>
          <w:color w:val="1E293B"/>
          <w:sz w:val="22"/>
        </w:rPr>
        <w:t>LT</w:t>
      </w:r>
    </w:p>
    <w:p>
      <w:pPr>
        <w:spacing w:after="80" w:line="276" w:lineRule="auto"/>
      </w:pPr>
      <w:r>
        <w:rPr>
          <w:rFonts w:ascii="Calibri" w:hAnsi="Calibri"/>
          <w:color w:val="1E293B"/>
          <w:sz w:val="22"/>
        </w:rPr>
        <w:t>Low Tension</w:t>
      </w:r>
    </w:p>
    <w:p>
      <w:pPr>
        <w:spacing w:after="80" w:line="276" w:lineRule="auto"/>
      </w:pPr>
      <w:r>
        <w:rPr>
          <w:rFonts w:ascii="Calibri" w:hAnsi="Calibri"/>
          <w:color w:val="1E293B"/>
          <w:sz w:val="22"/>
        </w:rPr>
        <w:t>MOSPI</w:t>
      </w:r>
    </w:p>
    <w:p>
      <w:pPr>
        <w:spacing w:after="80" w:line="276" w:lineRule="auto"/>
      </w:pPr>
      <w:r>
        <w:rPr>
          <w:rFonts w:ascii="Calibri" w:hAnsi="Calibri"/>
          <w:color w:val="1E293B"/>
          <w:sz w:val="22"/>
        </w:rPr>
        <w:t>Ministry of Statistics and Programme Implementation</w:t>
      </w:r>
    </w:p>
    <w:p>
      <w:pPr>
        <w:spacing w:after="80" w:line="276" w:lineRule="auto"/>
      </w:pPr>
      <w:r>
        <w:rPr>
          <w:rFonts w:ascii="Calibri" w:hAnsi="Calibri"/>
          <w:color w:val="1E293B"/>
          <w:sz w:val="22"/>
        </w:rPr>
        <w:t>MVA</w:t>
      </w:r>
    </w:p>
    <w:p>
      <w:pPr>
        <w:spacing w:after="80" w:line="276" w:lineRule="auto"/>
      </w:pPr>
      <w:r>
        <w:rPr>
          <w:rFonts w:ascii="Calibri" w:hAnsi="Calibri"/>
          <w:color w:val="1E293B"/>
          <w:sz w:val="22"/>
        </w:rPr>
        <w:t>Mega Volt-Amperes</w:t>
      </w:r>
    </w:p>
    <w:p>
      <w:pPr>
        <w:spacing w:after="80" w:line="276" w:lineRule="auto"/>
      </w:pPr>
      <w:r>
        <w:rPr>
          <w:rFonts w:ascii="Calibri" w:hAnsi="Calibri"/>
          <w:color w:val="1E293B"/>
          <w:sz w:val="22"/>
        </w:rPr>
        <w:t>MW</w:t>
      </w:r>
    </w:p>
    <w:p>
      <w:pPr>
        <w:spacing w:after="80" w:line="276" w:lineRule="auto"/>
      </w:pPr>
      <w:r>
        <w:rPr>
          <w:rFonts w:ascii="Calibri" w:hAnsi="Calibri"/>
          <w:color w:val="1E293B"/>
          <w:sz w:val="22"/>
        </w:rPr>
        <w:t>Megawatt</w:t>
      </w:r>
    </w:p>
    <w:p>
      <w:pPr>
        <w:spacing w:after="80" w:line="276" w:lineRule="auto"/>
      </w:pPr>
      <w:r>
        <w:rPr>
          <w:rFonts w:ascii="Calibri" w:hAnsi="Calibri"/>
          <w:color w:val="1E293B"/>
          <w:sz w:val="22"/>
        </w:rPr>
        <w:t>MWW</w:t>
      </w:r>
    </w:p>
    <w:p>
      <w:pPr>
        <w:spacing w:after="80" w:line="276" w:lineRule="auto"/>
      </w:pPr>
      <w:r>
        <w:rPr>
          <w:rFonts w:ascii="Calibri" w:hAnsi="Calibri"/>
          <w:color w:val="1E293B"/>
          <w:sz w:val="22"/>
        </w:rPr>
        <w:t>Magnet Winding Wires</w:t>
      </w:r>
    </w:p>
    <w:p>
      <w:pPr>
        <w:spacing w:after="80" w:line="276" w:lineRule="auto"/>
      </w:pPr>
      <w:r>
        <w:rPr>
          <w:rFonts w:ascii="Calibri" w:hAnsi="Calibri"/>
          <w:color w:val="1E293B"/>
          <w:sz w:val="22"/>
        </w:rPr>
        <w:t>NEMMP</w:t>
      </w:r>
    </w:p>
    <w:p>
      <w:pPr>
        <w:spacing w:after="80" w:line="276" w:lineRule="auto"/>
      </w:pPr>
      <w:r>
        <w:rPr>
          <w:rFonts w:ascii="Calibri" w:hAnsi="Calibri"/>
          <w:color w:val="1E293B"/>
          <w:sz w:val="22"/>
        </w:rPr>
        <w:t>National Electric Mobility Mission Plan</w:t>
      </w:r>
    </w:p>
    <w:p>
      <w:pPr>
        <w:spacing w:after="80" w:line="276" w:lineRule="auto"/>
      </w:pPr>
      <w:r>
        <w:rPr>
          <w:rFonts w:ascii="Calibri" w:hAnsi="Calibri"/>
          <w:color w:val="1E293B"/>
          <w:sz w:val="22"/>
        </w:rPr>
        <w:t>NEP</w:t>
      </w:r>
    </w:p>
    <w:p>
      <w:pPr>
        <w:spacing w:after="80" w:line="276" w:lineRule="auto"/>
      </w:pPr>
      <w:r>
        <w:rPr>
          <w:rFonts w:ascii="Calibri" w:hAnsi="Calibri"/>
          <w:color w:val="1E293B"/>
          <w:sz w:val="22"/>
        </w:rPr>
        <w:t>National Electricity Plan</w:t>
      </w:r>
    </w:p>
    <w:p>
      <w:pPr>
        <w:spacing w:after="80" w:line="276" w:lineRule="auto"/>
      </w:pPr>
      <w:r>
        <w:rPr>
          <w:rFonts w:ascii="Calibri" w:hAnsi="Calibri"/>
          <w:color w:val="1E293B"/>
          <w:sz w:val="22"/>
        </w:rPr>
        <w:t>NIP</w:t>
      </w:r>
    </w:p>
    <w:p>
      <w:pPr>
        <w:spacing w:after="80" w:line="276" w:lineRule="auto"/>
      </w:pPr>
      <w:r>
        <w:rPr>
          <w:rFonts w:ascii="Calibri" w:hAnsi="Calibri"/>
          <w:color w:val="1E293B"/>
          <w:sz w:val="22"/>
        </w:rPr>
        <w:t>National Infrastructure Pipeline</w:t>
      </w:r>
    </w:p>
    <w:p>
      <w:pPr>
        <w:spacing w:after="80" w:line="276" w:lineRule="auto"/>
      </w:pPr>
      <w:r>
        <w:rPr>
          <w:rFonts w:ascii="Calibri" w:hAnsi="Calibri"/>
          <w:color w:val="1E293B"/>
          <w:sz w:val="22"/>
        </w:rPr>
        <w:t>NMP</w:t>
      </w:r>
    </w:p>
    <w:p>
      <w:pPr>
        <w:spacing w:after="80" w:line="276" w:lineRule="auto"/>
      </w:pPr>
      <w:r>
        <w:rPr>
          <w:rFonts w:ascii="Calibri" w:hAnsi="Calibri"/>
          <w:color w:val="1E293B"/>
          <w:sz w:val="22"/>
        </w:rPr>
        <w:t>National Monetization Pipeline</w:t>
      </w:r>
    </w:p>
    <w:p>
      <w:pPr>
        <w:spacing w:after="80" w:line="276" w:lineRule="auto"/>
      </w:pPr>
      <w:r>
        <w:rPr>
          <w:rFonts w:ascii="Calibri" w:hAnsi="Calibri"/>
          <w:color w:val="1E293B"/>
          <w:sz w:val="22"/>
        </w:rPr>
        <w:t>OEMs</w:t>
      </w:r>
    </w:p>
    <w:p>
      <w:pPr>
        <w:spacing w:after="80" w:line="276" w:lineRule="auto"/>
      </w:pPr>
      <w:r>
        <w:rPr>
          <w:rFonts w:ascii="Calibri" w:hAnsi="Calibri"/>
          <w:color w:val="1E293B"/>
          <w:sz w:val="22"/>
        </w:rPr>
        <w:t>Original equipment manufacturer</w:t>
      </w:r>
    </w:p>
    <w:p>
      <w:pPr>
        <w:spacing w:after="80" w:line="276" w:lineRule="auto"/>
      </w:pPr>
      <w:r>
        <w:rPr>
          <w:rFonts w:ascii="Calibri" w:hAnsi="Calibri"/>
          <w:color w:val="1E293B"/>
          <w:sz w:val="22"/>
        </w:rPr>
        <w:t>OTG</w:t>
      </w:r>
    </w:p>
    <w:p>
      <w:pPr>
        <w:spacing w:after="80" w:line="276" w:lineRule="auto"/>
      </w:pPr>
      <w:r>
        <w:rPr>
          <w:rFonts w:ascii="Calibri" w:hAnsi="Calibri"/>
          <w:color w:val="1E293B"/>
          <w:sz w:val="22"/>
        </w:rPr>
        <w:t>Oven, Toaster, Grill</w:t>
      </w:r>
    </w:p>
    <w:p>
      <w:pPr>
        <w:spacing w:after="80" w:line="276" w:lineRule="auto"/>
      </w:pPr>
      <w:r>
        <w:rPr>
          <w:rFonts w:ascii="Calibri" w:hAnsi="Calibri"/>
          <w:color w:val="1E293B"/>
          <w:sz w:val="22"/>
        </w:rPr>
        <w:t>PAT</w:t>
      </w:r>
    </w:p>
    <w:p>
      <w:pPr>
        <w:spacing w:after="80" w:line="276" w:lineRule="auto"/>
      </w:pPr>
      <w:r>
        <w:rPr>
          <w:rFonts w:ascii="Calibri" w:hAnsi="Calibri"/>
          <w:color w:val="1E293B"/>
          <w:sz w:val="22"/>
        </w:rPr>
        <w:t>Profit After Tax</w:t>
      </w:r>
    </w:p>
    <w:p>
      <w:pPr>
        <w:spacing w:after="80" w:line="276" w:lineRule="auto"/>
      </w:pPr>
      <w:r>
        <w:rPr>
          <w:rFonts w:ascii="Calibri" w:hAnsi="Calibri"/>
          <w:color w:val="1E293B"/>
          <w:sz w:val="22"/>
        </w:rPr>
        <w:t>PFCE</w:t>
      </w:r>
    </w:p>
    <w:p>
      <w:pPr>
        <w:spacing w:after="80" w:line="276" w:lineRule="auto"/>
      </w:pPr>
      <w:r>
        <w:rPr>
          <w:rFonts w:ascii="Calibri" w:hAnsi="Calibri"/>
          <w:color w:val="1E293B"/>
          <w:sz w:val="22"/>
        </w:rPr>
        <w:t>Private Final Consumption Expenditure</w:t>
      </w:r>
    </w:p>
    <w:p>
      <w:pPr>
        <w:spacing w:after="80" w:line="276" w:lineRule="auto"/>
      </w:pPr>
      <w:r>
        <w:rPr>
          <w:rFonts w:ascii="Calibri" w:hAnsi="Calibri"/>
          <w:color w:val="1E293B"/>
          <w:sz w:val="22"/>
        </w:rPr>
        <w:t>PLI</w:t>
      </w:r>
    </w:p>
    <w:p>
      <w:pPr>
        <w:spacing w:after="80" w:line="276" w:lineRule="auto"/>
      </w:pPr>
      <w:r>
        <w:rPr>
          <w:rFonts w:ascii="Calibri" w:hAnsi="Calibri"/>
          <w:color w:val="1E293B"/>
          <w:sz w:val="22"/>
        </w:rPr>
        <w:t>Production Linked Incentives</w:t>
      </w:r>
    </w:p>
    <w:p>
      <w:pPr>
        <w:spacing w:after="80" w:line="276" w:lineRule="auto"/>
      </w:pPr>
      <w:r>
        <w:rPr>
          <w:rFonts w:ascii="Calibri" w:hAnsi="Calibri"/>
          <w:color w:val="1E293B"/>
          <w:sz w:val="22"/>
        </w:rPr>
        <w:t>PMAY</w:t>
      </w:r>
    </w:p>
    <w:p>
      <w:pPr>
        <w:spacing w:after="80" w:line="276" w:lineRule="auto"/>
      </w:pPr>
      <w:r>
        <w:rPr>
          <w:rFonts w:ascii="Calibri" w:hAnsi="Calibri"/>
          <w:color w:val="1E293B"/>
          <w:sz w:val="22"/>
        </w:rPr>
        <w:t>Pradhan Mantri Awas Yojana</w:t>
      </w:r>
    </w:p>
    <w:p>
      <w:pPr>
        <w:spacing w:after="80" w:line="276" w:lineRule="auto"/>
      </w:pPr>
      <w:r>
        <w:rPr>
          <w:rFonts w:ascii="Calibri" w:hAnsi="Calibri"/>
          <w:color w:val="1E293B"/>
          <w:sz w:val="22"/>
        </w:rPr>
        <w:t>PM-KUSUM</w:t>
      </w:r>
    </w:p>
    <w:p>
      <w:pPr>
        <w:spacing w:after="80" w:line="276" w:lineRule="auto"/>
      </w:pPr>
      <w:r>
        <w:rPr>
          <w:rFonts w:ascii="Calibri" w:hAnsi="Calibri"/>
          <w:color w:val="1E293B"/>
          <w:sz w:val="22"/>
        </w:rPr>
        <w:t>Pradhan Mantri Kisan Urja Suraksha evam Utthaan Mahabhiyan Yojana</w:t>
      </w:r>
    </w:p>
    <w:p>
      <w:pPr>
        <w:spacing w:after="80" w:line="276" w:lineRule="auto"/>
      </w:pPr>
      <w:r>
        <w:rPr>
          <w:rFonts w:ascii="Calibri" w:hAnsi="Calibri"/>
          <w:color w:val="1E293B"/>
          <w:sz w:val="22"/>
        </w:rPr>
        <w:t>PV</w:t>
      </w:r>
    </w:p>
    <w:p>
      <w:pPr>
        <w:spacing w:after="80" w:line="276" w:lineRule="auto"/>
      </w:pPr>
      <w:r>
        <w:rPr>
          <w:rFonts w:ascii="Calibri" w:hAnsi="Calibri"/>
          <w:color w:val="1E293B"/>
          <w:sz w:val="22"/>
        </w:rPr>
        <w:t>Photo Voltaic</w:t>
      </w:r>
    </w:p>
    <w:p>
      <w:pPr>
        <w:spacing w:after="80" w:line="276" w:lineRule="auto"/>
      </w:pPr>
      <w:r>
        <w:rPr>
          <w:rFonts w:ascii="Calibri" w:hAnsi="Calibri"/>
          <w:color w:val="1E293B"/>
          <w:sz w:val="22"/>
        </w:rPr>
        <w:t>PWIL</w:t>
      </w:r>
    </w:p>
    <w:p>
      <w:pPr>
        <w:spacing w:after="80" w:line="276" w:lineRule="auto"/>
      </w:pPr>
      <w:r>
        <w:rPr>
          <w:rFonts w:ascii="Calibri" w:hAnsi="Calibri"/>
          <w:color w:val="1E293B"/>
          <w:sz w:val="22"/>
        </w:rPr>
        <w:t>Northstar Technologies Ltd</w:t>
      </w:r>
    </w:p>
    <w:p>
      <w:pPr>
        <w:spacing w:after="80" w:line="276" w:lineRule="auto"/>
      </w:pPr>
      <w:r>
        <w:rPr>
          <w:rFonts w:ascii="Calibri" w:hAnsi="Calibri"/>
          <w:color w:val="1E293B"/>
          <w:sz w:val="22"/>
        </w:rPr>
        <w:t>QSR</w:t>
      </w:r>
    </w:p>
    <w:p>
      <w:pPr>
        <w:spacing w:after="80" w:line="276" w:lineRule="auto"/>
      </w:pPr>
      <w:r>
        <w:rPr>
          <w:rFonts w:ascii="Calibri" w:hAnsi="Calibri"/>
          <w:color w:val="1E293B"/>
          <w:sz w:val="22"/>
        </w:rPr>
        <w:t>Quick Service Restaurants</w:t>
      </w:r>
    </w:p>
    <w:p>
      <w:pPr>
        <w:spacing w:after="80" w:line="276" w:lineRule="auto"/>
      </w:pPr>
      <w:r>
        <w:rPr>
          <w:rFonts w:ascii="Calibri" w:hAnsi="Calibri"/>
          <w:color w:val="1E293B"/>
          <w:sz w:val="22"/>
        </w:rPr>
        <w:t>RBI</w:t>
      </w:r>
    </w:p>
    <w:p>
      <w:pPr>
        <w:spacing w:after="80" w:line="276" w:lineRule="auto"/>
      </w:pPr>
      <w:r>
        <w:rPr>
          <w:rFonts w:ascii="Calibri" w:hAnsi="Calibri"/>
          <w:color w:val="1E293B"/>
          <w:sz w:val="22"/>
        </w:rPr>
        <w:t>Reserve Bank of India</w:t>
      </w:r>
    </w:p>
    <w:p>
      <w:pPr>
        <w:spacing w:after="80" w:line="276" w:lineRule="auto"/>
      </w:pPr>
      <w:r>
        <w:rPr>
          <w:rFonts w:ascii="Calibri" w:hAnsi="Calibri"/>
          <w:color w:val="1E293B"/>
          <w:sz w:val="22"/>
        </w:rPr>
        <w:t>RDSS</w:t>
      </w:r>
    </w:p>
    <w:p>
      <w:pPr>
        <w:spacing w:after="80" w:line="276" w:lineRule="auto"/>
      </w:pPr>
      <w:r>
        <w:rPr>
          <w:rFonts w:ascii="Calibri" w:hAnsi="Calibri"/>
          <w:color w:val="1E293B"/>
          <w:sz w:val="22"/>
        </w:rPr>
        <w:t>Revamped Distribution Sector Scheme</w:t>
      </w:r>
    </w:p>
    <w:p>
      <w:pPr>
        <w:spacing w:after="80" w:line="276" w:lineRule="auto"/>
      </w:pPr>
      <w:r>
        <w:rPr>
          <w:rFonts w:ascii="Calibri" w:hAnsi="Calibri"/>
          <w:color w:val="1E293B"/>
          <w:sz w:val="22"/>
        </w:rPr>
        <w:t>RES</w:t>
      </w:r>
    </w:p>
    <w:p>
      <w:pPr>
        <w:spacing w:after="80" w:line="276" w:lineRule="auto"/>
      </w:pPr>
      <w:r>
        <w:rPr>
          <w:rFonts w:ascii="Calibri" w:hAnsi="Calibri"/>
          <w:color w:val="1E293B"/>
          <w:sz w:val="22"/>
        </w:rPr>
        <w:t>Renewable Energy Resources</w:t>
      </w:r>
    </w:p>
    <w:p>
      <w:pPr>
        <w:spacing w:after="80" w:line="276" w:lineRule="auto"/>
      </w:pPr>
      <w:r>
        <w:rPr>
          <w:rFonts w:ascii="Calibri" w:hAnsi="Calibri"/>
          <w:color w:val="1E293B"/>
          <w:sz w:val="22"/>
        </w:rPr>
        <w:t>ROCE</w:t>
      </w:r>
    </w:p>
    <w:p>
      <w:pPr>
        <w:spacing w:after="80" w:line="276" w:lineRule="auto"/>
      </w:pPr>
      <w:r>
        <w:rPr>
          <w:rFonts w:ascii="Calibri" w:hAnsi="Calibri"/>
          <w:color w:val="1E293B"/>
          <w:sz w:val="22"/>
        </w:rPr>
        <w:t>Return on Capital Employed</w:t>
      </w:r>
    </w:p>
    <w:p>
      <w:pPr>
        <w:spacing w:after="80" w:line="276" w:lineRule="auto"/>
      </w:pPr>
      <w:r>
        <w:rPr>
          <w:rFonts w:ascii="Calibri" w:hAnsi="Calibri"/>
          <w:color w:val="1E293B"/>
          <w:sz w:val="22"/>
        </w:rPr>
        <w:t>RoDTEP</w:t>
      </w:r>
    </w:p>
    <w:p>
      <w:pPr>
        <w:spacing w:after="80" w:line="276" w:lineRule="auto"/>
      </w:pPr>
      <w:r>
        <w:rPr>
          <w:rFonts w:ascii="Calibri" w:hAnsi="Calibri"/>
          <w:color w:val="1E293B"/>
          <w:sz w:val="22"/>
        </w:rPr>
        <w:t>Remission of Duties and Taxes on Exported Products</w:t>
      </w:r>
    </w:p>
    <w:p>
      <w:pPr>
        <w:spacing w:after="80" w:line="276" w:lineRule="auto"/>
      </w:pPr>
      <w:r>
        <w:rPr>
          <w:rFonts w:ascii="Calibri" w:hAnsi="Calibri"/>
          <w:color w:val="1E293B"/>
          <w:sz w:val="22"/>
        </w:rPr>
        <w:t>RoHS</w:t>
      </w:r>
    </w:p>
    <w:p>
      <w:pPr>
        <w:spacing w:after="80" w:line="276" w:lineRule="auto"/>
      </w:pPr>
      <w:r>
        <w:rPr>
          <w:rFonts w:ascii="Calibri" w:hAnsi="Calibri"/>
          <w:color w:val="1E293B"/>
          <w:sz w:val="22"/>
        </w:rPr>
        <w:t>Restriction of Hazardous Substances</w:t>
      </w:r>
    </w:p>
    <w:p>
      <w:pPr>
        <w:spacing w:after="80" w:line="276" w:lineRule="auto"/>
      </w:pPr>
      <w:r>
        <w:rPr>
          <w:rFonts w:ascii="Calibri" w:hAnsi="Calibri"/>
          <w:color w:val="1E293B"/>
          <w:sz w:val="22"/>
        </w:rPr>
        <w:t>RPO</w:t>
      </w:r>
    </w:p>
    <w:p>
      <w:pPr>
        <w:spacing w:after="80" w:line="276" w:lineRule="auto"/>
      </w:pPr>
      <w:r>
        <w:rPr>
          <w:rFonts w:ascii="Calibri" w:hAnsi="Calibri"/>
          <w:color w:val="1E293B"/>
          <w:sz w:val="22"/>
        </w:rPr>
        <w:t>Renewable Purchase Obligations</w:t>
      </w:r>
    </w:p>
    <w:p>
      <w:pPr>
        <w:spacing w:after="80" w:line="276" w:lineRule="auto"/>
      </w:pPr>
      <w:r>
        <w:rPr>
          <w:rFonts w:ascii="Calibri" w:hAnsi="Calibri"/>
          <w:color w:val="1E293B"/>
          <w:sz w:val="22"/>
        </w:rPr>
        <w:t>RRTS</w:t>
      </w:r>
    </w:p>
    <w:p>
      <w:pPr>
        <w:spacing w:after="80" w:line="276" w:lineRule="auto"/>
      </w:pPr>
      <w:r>
        <w:rPr>
          <w:rFonts w:ascii="Calibri" w:hAnsi="Calibri"/>
          <w:color w:val="1E293B"/>
          <w:sz w:val="22"/>
        </w:rPr>
        <w:t>Regional rapid transit systems</w:t>
      </w:r>
    </w:p>
    <w:p>
      <w:pPr>
        <w:spacing w:after="80" w:line="276" w:lineRule="auto"/>
      </w:pPr>
      <w:r>
        <w:rPr>
          <w:rFonts w:ascii="Calibri" w:hAnsi="Calibri"/>
          <w:color w:val="1E293B"/>
          <w:sz w:val="22"/>
        </w:rPr>
        <w:t>SAE</w:t>
      </w:r>
    </w:p>
    <w:p>
      <w:pPr>
        <w:spacing w:after="80" w:line="276" w:lineRule="auto"/>
      </w:pPr>
      <w:r>
        <w:rPr>
          <w:rFonts w:ascii="Calibri" w:hAnsi="Calibri"/>
          <w:color w:val="1E293B"/>
          <w:sz w:val="22"/>
        </w:rPr>
        <w:t>Second Advance Estimates</w:t>
      </w:r>
    </w:p>
    <w:p>
      <w:pPr>
        <w:spacing w:after="80" w:line="276" w:lineRule="auto"/>
      </w:pPr>
      <w:r>
        <w:rPr>
          <w:rFonts w:ascii="Calibri" w:hAnsi="Calibri"/>
          <w:color w:val="1E293B"/>
          <w:sz w:val="22"/>
        </w:rPr>
        <w:t>SECI</w:t>
      </w:r>
    </w:p>
    <w:p>
      <w:pPr>
        <w:spacing w:after="80" w:line="276" w:lineRule="auto"/>
      </w:pPr>
      <w:r>
        <w:rPr>
          <w:rFonts w:ascii="Calibri" w:hAnsi="Calibri"/>
          <w:color w:val="1E293B"/>
          <w:sz w:val="22"/>
        </w:rPr>
        <w:t>Bluebird Capital LLP</w:t>
      </w:r>
    </w:p>
    <w:p>
      <w:pPr>
        <w:spacing w:after="80" w:line="276" w:lineRule="auto"/>
      </w:pPr>
      <w:r>
        <w:rPr>
          <w:rFonts w:ascii="Calibri" w:hAnsi="Calibri"/>
          <w:color w:val="1E293B"/>
          <w:sz w:val="22"/>
        </w:rPr>
        <w:t>TIES</w:t>
      </w:r>
    </w:p>
    <w:p>
      <w:pPr>
        <w:spacing w:after="80" w:line="276" w:lineRule="auto"/>
      </w:pPr>
      <w:r>
        <w:rPr>
          <w:rFonts w:ascii="Calibri" w:hAnsi="Calibri"/>
          <w:color w:val="1E293B"/>
          <w:sz w:val="22"/>
        </w:rPr>
        <w:t>Trade Infrastructure for Export Scheme</w:t>
      </w:r>
    </w:p>
    <w:p>
      <w:pPr>
        <w:spacing w:after="80" w:line="276" w:lineRule="auto"/>
      </w:pPr>
      <w:r>
        <w:rPr>
          <w:rFonts w:ascii="Calibri" w:hAnsi="Calibri"/>
          <w:color w:val="1E293B"/>
          <w:sz w:val="22"/>
        </w:rPr>
        <w:t>UK</w:t>
      </w:r>
    </w:p>
    <w:p>
      <w:pPr>
        <w:spacing w:after="80" w:line="276" w:lineRule="auto"/>
      </w:pPr>
      <w:r>
        <w:rPr>
          <w:rFonts w:ascii="Calibri" w:hAnsi="Calibri"/>
          <w:color w:val="1E293B"/>
          <w:sz w:val="22"/>
        </w:rPr>
        <w:t>United Kingdom</w:t>
      </w:r>
    </w:p>
    <w:p>
      <w:pPr>
        <w:spacing w:after="80" w:line="276" w:lineRule="auto"/>
      </w:pPr>
      <w:r>
        <w:rPr>
          <w:rFonts w:ascii="Calibri" w:hAnsi="Calibri"/>
          <w:color w:val="1E293B"/>
          <w:sz w:val="22"/>
        </w:rPr>
        <w:t>UL</w:t>
      </w:r>
    </w:p>
    <w:p>
      <w:pPr>
        <w:spacing w:after="80" w:line="276" w:lineRule="auto"/>
      </w:pPr>
      <w:r>
        <w:rPr>
          <w:rFonts w:ascii="Calibri" w:hAnsi="Calibri"/>
          <w:color w:val="1E293B"/>
          <w:sz w:val="22"/>
        </w:rPr>
        <w:t>Underwriters Laboratories</w:t>
      </w:r>
    </w:p>
    <w:p>
      <w:pPr>
        <w:spacing w:after="80" w:line="276" w:lineRule="auto"/>
      </w:pPr>
      <w:r>
        <w:rPr>
          <w:rFonts w:ascii="Calibri" w:hAnsi="Calibri"/>
          <w:color w:val="1E293B"/>
          <w:sz w:val="22"/>
        </w:rPr>
        <w:t>W&amp;C</w:t>
      </w:r>
    </w:p>
    <w:p>
      <w:pPr>
        <w:spacing w:after="80" w:line="276" w:lineRule="auto"/>
      </w:pPr>
      <w:r>
        <w:rPr>
          <w:rFonts w:ascii="Calibri" w:hAnsi="Calibri"/>
          <w:color w:val="1E293B"/>
          <w:sz w:val="22"/>
        </w:rPr>
        <w:t>Wires and cables</w:t>
      </w:r>
    </w:p>
    <w:p>
      <w:pPr>
        <w:spacing w:after="80" w:line="276" w:lineRule="auto"/>
      </w:pPr>
      <w:r>
        <w:rPr>
          <w:rFonts w:ascii="Calibri" w:hAnsi="Calibri"/>
          <w:color w:val="1E293B"/>
          <w:sz w:val="22"/>
        </w:rPr>
        <w:t>WEO</w:t>
      </w:r>
    </w:p>
    <w:p>
      <w:pPr>
        <w:spacing w:after="80" w:line="276" w:lineRule="auto"/>
      </w:pPr>
      <w:r>
        <w:rPr>
          <w:rFonts w:ascii="Calibri" w:hAnsi="Calibri"/>
          <w:color w:val="1E293B"/>
          <w:sz w:val="22"/>
        </w:rPr>
        <w:t>World Economic Outlook</w:t>
      </w:r>
    </w:p>
    <w:p>
      <w:pPr>
        <w:spacing w:after="80" w:line="276" w:lineRule="auto"/>
      </w:pPr>
      <w:r>
        <w:rPr>
          <w:rFonts w:ascii="Calibri" w:hAnsi="Calibri"/>
          <w:color w:val="1E293B"/>
          <w:sz w:val="22"/>
        </w:rPr>
        <w:t>Y-O-Y</w:t>
      </w:r>
    </w:p>
    <w:p>
      <w:pPr>
        <w:spacing w:after="80" w:line="276" w:lineRule="auto"/>
      </w:pPr>
      <w:r>
        <w:rPr>
          <w:rFonts w:ascii="Calibri" w:hAnsi="Calibri"/>
          <w:color w:val="1E293B"/>
          <w:sz w:val="22"/>
        </w:rPr>
        <w:t>Year-on-year Growth</w:t>
      </w:r>
    </w:p>
    <w:p>
      <w:pPr>
        <w:spacing w:after="80" w:line="276" w:lineRule="auto"/>
      </w:pPr>
      <w:r>
        <w:rPr>
          <w:rFonts w:ascii="Calibri" w:hAnsi="Calibri"/>
          <w:color w:val="1E293B"/>
          <w:sz w:val="22"/>
        </w:rPr>
        <w:t>Key Financial and Operating Metrics used in this Red Herring Prospectus</w:t>
      </w:r>
    </w:p>
    <w:p>
      <w:pPr>
        <w:spacing w:after="80" w:line="276" w:lineRule="auto"/>
      </w:pPr>
      <w:r>
        <w:rPr>
          <w:rFonts w:ascii="Calibri" w:hAnsi="Calibri"/>
          <w:color w:val="1E293B"/>
          <w:sz w:val="22"/>
        </w:rPr>
        <w:t>Term</w:t>
      </w:r>
    </w:p>
    <w:p>
      <w:pPr>
        <w:spacing w:after="80" w:line="276" w:lineRule="auto"/>
      </w:pPr>
      <w:r>
        <w:rPr>
          <w:rFonts w:ascii="Calibri" w:hAnsi="Calibri"/>
          <w:color w:val="1E293B"/>
          <w:sz w:val="22"/>
        </w:rPr>
        <w:t>Description</w:t>
      </w:r>
    </w:p>
    <w:p>
      <w:pPr>
        <w:spacing w:after="80" w:line="276" w:lineRule="auto"/>
      </w:pPr>
      <w:r>
        <w:rPr>
          <w:rFonts w:ascii="Calibri" w:hAnsi="Calibri"/>
          <w:color w:val="1E293B"/>
          <w:sz w:val="22"/>
        </w:rPr>
        <w:t>A.  Financial metrics</w:t>
      </w:r>
    </w:p>
    <w:p>
      <w:pPr>
        <w:spacing w:after="80" w:line="276" w:lineRule="auto"/>
      </w:pPr>
      <w:r>
        <w:rPr>
          <w:rFonts w:ascii="Calibri" w:hAnsi="Calibri"/>
          <w:color w:val="1E293B"/>
          <w:sz w:val="22"/>
        </w:rPr>
        <w:t>Profit After Tax</w:t>
      </w:r>
    </w:p>
    <w:p>
      <w:pPr>
        <w:spacing w:after="80" w:line="276" w:lineRule="auto"/>
      </w:pPr>
      <w:r>
        <w:rPr>
          <w:rFonts w:ascii="Calibri" w:hAnsi="Calibri"/>
          <w:color w:val="1E293B"/>
          <w:sz w:val="22"/>
        </w:rPr>
        <w:t>Profit for the year is used by the management to track the overall profitability of the business</w:t>
      </w:r>
    </w:p>
    <w:p>
      <w:pPr>
        <w:spacing w:after="80" w:line="276" w:lineRule="auto"/>
      </w:pPr>
      <w:r>
        <w:rPr>
          <w:rFonts w:ascii="Calibri" w:hAnsi="Calibri"/>
          <w:color w:val="1E293B"/>
          <w:sz w:val="22"/>
        </w:rPr>
        <w:t>Revenue from Operations</w:t>
      </w:r>
    </w:p>
    <w:p>
      <w:pPr>
        <w:spacing w:after="80" w:line="276" w:lineRule="auto"/>
      </w:pPr>
      <w:r>
        <w:rPr>
          <w:rFonts w:ascii="Calibri" w:hAnsi="Calibri"/>
          <w:color w:val="1E293B"/>
          <w:sz w:val="22"/>
        </w:rPr>
        <w:t>Revenue from operation means revenue from operating activities</w:t>
      </w:r>
    </w:p>
    <w:p>
      <w:pPr>
        <w:spacing w:after="80" w:line="276" w:lineRule="auto"/>
      </w:pPr>
      <w:r>
        <w:rPr>
          <w:rFonts w:ascii="Calibri" w:hAnsi="Calibri"/>
          <w:color w:val="1E293B"/>
          <w:sz w:val="22"/>
        </w:rPr>
        <w:t>Total Income</w:t>
      </w:r>
    </w:p>
    <w:p>
      <w:pPr>
        <w:spacing w:after="80" w:line="276" w:lineRule="auto"/>
      </w:pPr>
      <w:r>
        <w:rPr>
          <w:rFonts w:ascii="Calibri" w:hAnsi="Calibri"/>
          <w:color w:val="1E293B"/>
          <w:sz w:val="22"/>
        </w:rPr>
        <w:t>Total Income is calculated as the sum of revenue from operations and other income</w:t>
      </w:r>
    </w:p>
    <w:p>
      <w:pPr>
        <w:spacing w:after="80" w:line="276" w:lineRule="auto"/>
      </w:pPr>
      <w:r>
        <w:rPr>
          <w:rFonts w:ascii="Calibri" w:hAnsi="Calibri"/>
          <w:color w:val="1E293B"/>
          <w:sz w:val="22"/>
        </w:rPr>
        <w:t>B.  Non-GAAP Measures</w:t>
      </w:r>
    </w:p>
    <w:p>
      <w:pPr>
        <w:spacing w:after="80" w:line="276" w:lineRule="auto"/>
      </w:pPr>
      <w:r>
        <w:rPr>
          <w:rFonts w:ascii="Calibri" w:hAnsi="Calibri"/>
          <w:color w:val="1E293B"/>
          <w:sz w:val="22"/>
        </w:rPr>
        <w:t>EBITDA</w:t>
      </w:r>
    </w:p>
    <w:p>
      <w:pPr>
        <w:spacing w:after="80" w:line="276" w:lineRule="auto"/>
      </w:pPr>
      <w:r>
        <w:rPr>
          <w:rFonts w:ascii="Calibri" w:hAnsi="Calibri"/>
          <w:color w:val="1E293B"/>
          <w:sz w:val="22"/>
        </w:rPr>
        <w:t>EBITDA is calculated as profit for the period minus other income plus finance costs, depreciation and amortization and total tax expense</w:t>
      </w:r>
    </w:p>
    <w:p>
      <w:pPr>
        <w:spacing w:after="80" w:line="276" w:lineRule="auto"/>
      </w:pPr>
      <w:r>
        <w:rPr>
          <w:rFonts w:ascii="Calibri" w:hAnsi="Calibri"/>
          <w:color w:val="1E293B"/>
          <w:sz w:val="22"/>
        </w:rPr>
        <w:t>EBITDA CAGR (FY23 - FY25)</w:t>
      </w:r>
    </w:p>
    <w:p>
      <w:pPr>
        <w:spacing w:after="80" w:line="276" w:lineRule="auto"/>
      </w:pPr>
      <w:r>
        <w:rPr>
          <w:rFonts w:ascii="Calibri" w:hAnsi="Calibri"/>
          <w:color w:val="1E293B"/>
          <w:sz w:val="22"/>
        </w:rPr>
        <w:t>EBITDA CAGR provides information regarding growth in EBITDA over a period</w:t>
      </w:r>
    </w:p>
    <w:p>
      <w:pPr>
        <w:spacing w:after="80" w:line="276" w:lineRule="auto"/>
      </w:pPr>
      <w:r>
        <w:rPr>
          <w:rFonts w:ascii="Calibri" w:hAnsi="Calibri"/>
          <w:color w:val="1E293B"/>
          <w:sz w:val="22"/>
        </w:rPr>
        <w:t>EBITDA Margin</w:t>
      </w:r>
    </w:p>
    <w:p>
      <w:pPr>
        <w:spacing w:after="80" w:line="276" w:lineRule="auto"/>
      </w:pPr>
      <w:r>
        <w:rPr>
          <w:rFonts w:ascii="Calibri" w:hAnsi="Calibri"/>
          <w:color w:val="1E293B"/>
          <w:sz w:val="22"/>
        </w:rPr>
        <w:t>EBITDA Margin is calculated as EBITDA divided by revenue from operations</w:t>
      </w:r>
    </w:p>
    <w:p>
      <w:pPr>
        <w:spacing w:after="80" w:line="276" w:lineRule="auto"/>
      </w:pPr>
      <w:r>
        <w:rPr>
          <w:rFonts w:ascii="Calibri" w:hAnsi="Calibri"/>
          <w:color w:val="1E293B"/>
          <w:sz w:val="22"/>
        </w:rPr>
        <w:t>Fixed Asset Turnover Ratio</w:t>
      </w:r>
    </w:p>
    <w:p>
      <w:pPr>
        <w:spacing w:after="80" w:line="276" w:lineRule="auto"/>
      </w:pPr>
      <w:r>
        <w:rPr>
          <w:rFonts w:ascii="Calibri" w:hAnsi="Calibri"/>
          <w:color w:val="1E293B"/>
          <w:sz w:val="22"/>
        </w:rPr>
        <w:t>Fixed Asset Turnover Ratio is calculated as Revenue from Operations divided by property, plant and equipment</w:t>
      </w:r>
    </w:p>
    <w:p>
      <w:pPr>
        <w:spacing w:after="80" w:line="276" w:lineRule="auto"/>
      </w:pPr>
      <w:r>
        <w:rPr>
          <w:rFonts w:ascii="Calibri" w:hAnsi="Calibri"/>
          <w:color w:val="1E293B"/>
          <w:sz w:val="22"/>
        </w:rPr>
        <w:t>Net Debt/ EBITDA</w:t>
      </w:r>
    </w:p>
    <w:p>
      <w:pPr>
        <w:spacing w:after="80" w:line="276" w:lineRule="auto"/>
      </w:pPr>
      <w:r>
        <w:rPr>
          <w:rFonts w:ascii="Calibri" w:hAnsi="Calibri"/>
          <w:color w:val="1E293B"/>
          <w:sz w:val="22"/>
        </w:rPr>
        <w:t>Net Debt/ EBITDA is calculated as net debt divided by EBITDA. Net debt is calculated as the sum of long-term borrowings and short-term borrowings less cash and cash equivalents and other bank balances</w:t>
      </w:r>
    </w:p>
    <w:p>
      <w:pPr>
        <w:spacing w:after="80" w:line="276" w:lineRule="auto"/>
      </w:pPr>
      <w:r>
        <w:rPr>
          <w:rFonts w:ascii="Calibri" w:hAnsi="Calibri"/>
          <w:color w:val="1E293B"/>
          <w:sz w:val="22"/>
        </w:rPr>
        <w:t>Net Debt/ Equity</w:t>
      </w:r>
    </w:p>
    <w:p>
      <w:pPr>
        <w:spacing w:after="80" w:line="276" w:lineRule="auto"/>
      </w:pPr>
      <w:r>
        <w:rPr>
          <w:rFonts w:ascii="Calibri" w:hAnsi="Calibri"/>
          <w:color w:val="1E293B"/>
          <w:sz w:val="22"/>
        </w:rPr>
        <w:t>Net Debt/ Equity is calculated as net debt divided by total equity. Net debt is calculated as the sum</w:t>
      </w:r>
    </w:p>
    <w:p>
      <w:pPr>
        <w:spacing w:after="80" w:line="276" w:lineRule="auto"/>
      </w:pPr>
      <w:r>
        <w:rPr>
          <w:rFonts w:ascii="Calibri" w:hAnsi="Calibri"/>
          <w:color w:val="1E293B"/>
          <w:sz w:val="22"/>
        </w:rPr>
        <w:t>of long-term borrowings and short-term borrowings less cash and cash equivalents and other bank balances. Total equity is calculated as share capital plus reserves and surplus</w:t>
      </w:r>
    </w:p>
    <w:p>
      <w:pPr>
        <w:spacing w:after="80" w:line="276" w:lineRule="auto"/>
      </w:pPr>
      <w:r>
        <w:rPr>
          <w:rFonts w:ascii="Calibri" w:hAnsi="Calibri"/>
          <w:color w:val="1E293B"/>
          <w:sz w:val="22"/>
        </w:rPr>
        <w:t>Net Working Capital Days</w:t>
      </w:r>
    </w:p>
    <w:p>
      <w:pPr>
        <w:spacing w:after="80" w:line="276" w:lineRule="auto"/>
      </w:pPr>
      <w:r>
        <w:rPr>
          <w:rFonts w:ascii="Calibri" w:hAnsi="Calibri"/>
          <w:color w:val="1E293B"/>
          <w:sz w:val="22"/>
        </w:rPr>
        <w:t>Working capital days is computed as inventory days plus trade receivable days minus trade payable days. Inventory days is calculated as inventory divided by cost of goods sold (“COGS”) from operations multiplied by 365 or 91 days. Trade receivables days is calculated as trade</w:t>
      </w:r>
    </w:p>
    <w:p>
      <w:pPr>
        <w:spacing w:after="80" w:line="276" w:lineRule="auto"/>
      </w:pPr>
      <w:r>
        <w:rPr>
          <w:rFonts w:ascii="Calibri" w:hAnsi="Calibri"/>
          <w:color w:val="1E293B"/>
          <w:sz w:val="22"/>
        </w:rPr>
        <w:t>receivables divided by revenue from operations multiplied by 365 or 91 days. Trade payable days is calculated as trade payable divided by COGS multiplied by 365 or 91 days</w:t>
      </w:r>
    </w:p>
    <w:p>
      <w:pPr>
        <w:spacing w:after="80" w:line="276" w:lineRule="auto"/>
      </w:pPr>
      <w:r>
        <w:rPr>
          <w:rFonts w:ascii="Calibri" w:hAnsi="Calibri"/>
          <w:color w:val="1E293B"/>
          <w:sz w:val="22"/>
        </w:rPr>
        <w:t>PAT CAGR (FY23 - FY25)</w:t>
      </w:r>
    </w:p>
    <w:p>
      <w:pPr>
        <w:spacing w:after="80" w:line="276" w:lineRule="auto"/>
      </w:pPr>
      <w:r>
        <w:rPr>
          <w:rFonts w:ascii="Calibri" w:hAnsi="Calibri"/>
          <w:color w:val="1E293B"/>
          <w:sz w:val="22"/>
        </w:rPr>
        <w:t>PAT CAGR provides information regarding growth in PAT over a period</w:t>
      </w:r>
    </w:p>
    <w:p>
      <w:pPr>
        <w:spacing w:after="80" w:line="276" w:lineRule="auto"/>
      </w:pPr>
      <w:r>
        <w:rPr>
          <w:rFonts w:ascii="Calibri" w:hAnsi="Calibri"/>
          <w:color w:val="1E293B"/>
          <w:sz w:val="22"/>
        </w:rPr>
        <w:t>Profit After Tax Margin</w:t>
      </w:r>
    </w:p>
    <w:p>
      <w:pPr>
        <w:spacing w:after="80" w:line="276" w:lineRule="auto"/>
      </w:pPr>
      <w:r>
        <w:rPr>
          <w:rFonts w:ascii="Calibri" w:hAnsi="Calibri"/>
          <w:color w:val="1E293B"/>
          <w:sz w:val="22"/>
        </w:rPr>
        <w:t>PAT Margin is calculated as profit for the period divided by Total Income</w:t>
      </w:r>
    </w:p>
    <w:p>
      <w:pPr>
        <w:spacing w:after="80" w:line="276" w:lineRule="auto"/>
      </w:pPr>
      <w:r>
        <w:rPr>
          <w:rFonts w:ascii="Calibri" w:hAnsi="Calibri"/>
          <w:color w:val="1E293B"/>
          <w:sz w:val="22"/>
        </w:rPr>
        <w:t>Revenue CAGR (FY23 - FY25)</w:t>
      </w:r>
    </w:p>
    <w:p>
      <w:pPr>
        <w:spacing w:after="80" w:line="276" w:lineRule="auto"/>
      </w:pPr>
      <w:r>
        <w:rPr>
          <w:rFonts w:ascii="Calibri" w:hAnsi="Calibri"/>
          <w:color w:val="1E293B"/>
          <w:sz w:val="22"/>
        </w:rPr>
        <w:t>Revenue CAGR provides information regarding growth in revenue over a period</w:t>
      </w:r>
    </w:p>
    <w:p>
      <w:pPr>
        <w:spacing w:after="80" w:line="276" w:lineRule="auto"/>
      </w:pPr>
      <w:r>
        <w:rPr>
          <w:rFonts w:ascii="Calibri" w:hAnsi="Calibri"/>
          <w:color w:val="1E293B"/>
          <w:sz w:val="22"/>
        </w:rPr>
        <w:t>ROCE</w:t>
      </w:r>
    </w:p>
    <w:p>
      <w:pPr>
        <w:spacing w:after="80" w:line="276" w:lineRule="auto"/>
      </w:pPr>
      <w:r>
        <w:rPr>
          <w:rFonts w:ascii="Calibri" w:hAnsi="Calibri"/>
          <w:color w:val="1E293B"/>
          <w:sz w:val="22"/>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w:t>
      </w:r>
    </w:p>
    <w:p>
      <w:pPr>
        <w:spacing w:after="80" w:line="276" w:lineRule="auto"/>
      </w:pPr>
      <w:r>
        <w:rPr>
          <w:rFonts w:ascii="Calibri" w:hAnsi="Calibri"/>
          <w:color w:val="1E293B"/>
          <w:sz w:val="22"/>
        </w:rPr>
        <w:t>bank balances</w:t>
      </w:r>
    </w:p>
    <w:p>
      <w:pPr>
        <w:spacing w:after="80" w:line="276" w:lineRule="auto"/>
      </w:pPr>
      <w:r>
        <w:rPr>
          <w:rFonts w:ascii="Calibri" w:hAnsi="Calibri"/>
          <w:color w:val="1E293B"/>
          <w:sz w:val="22"/>
        </w:rPr>
        <w:t>ROE</w:t>
      </w:r>
    </w:p>
    <w:p>
      <w:pPr>
        <w:spacing w:after="80" w:line="276" w:lineRule="auto"/>
      </w:pPr>
      <w:r>
        <w:rPr>
          <w:rFonts w:ascii="Calibri" w:hAnsi="Calibri"/>
          <w:color w:val="1E293B"/>
          <w:sz w:val="22"/>
        </w:rPr>
        <w:t>ReturnonEquityiscalculatedasPATdividedbyTotalEquity. Total Equity is calculated as share capital plus reserves and surplus</w:t>
      </w:r>
    </w:p>
    <w:p>
      <w:pPr>
        <w:spacing w:after="80" w:line="276" w:lineRule="auto"/>
      </w:pPr>
      <w:r>
        <w:rPr>
          <w:rFonts w:ascii="Calibri" w:hAnsi="Calibri"/>
          <w:color w:val="1E293B"/>
          <w:sz w:val="22"/>
        </w:rPr>
        <w:t>Y-o-Y Revenue growth</w:t>
      </w:r>
    </w:p>
    <w:p>
      <w:pPr>
        <w:spacing w:after="80" w:line="276" w:lineRule="auto"/>
      </w:pPr>
      <w:r>
        <w:rPr>
          <w:rFonts w:ascii="Calibri" w:hAnsi="Calibri"/>
          <w:color w:val="1E293B"/>
          <w:sz w:val="22"/>
        </w:rPr>
        <w:t>Growth in Revenue from Operations provides information regarding the growth of the business over the respective years</w:t>
      </w:r>
    </w:p>
    <w:p>
      <w:pPr>
        <w:spacing w:after="80" w:line="276" w:lineRule="auto"/>
      </w:pPr>
      <w:r>
        <w:rPr>
          <w:rFonts w:ascii="Calibri" w:hAnsi="Calibri"/>
          <w:color w:val="1E293B"/>
          <w:sz w:val="22"/>
        </w:rPr>
        <w:t>C.  Operational measures</w:t>
      </w:r>
    </w:p>
    <w:p>
      <w:pPr>
        <w:spacing w:after="80" w:line="276" w:lineRule="auto"/>
      </w:pPr>
      <w:r>
        <w:rPr>
          <w:rFonts w:ascii="Calibri" w:hAnsi="Calibri"/>
          <w:color w:val="1E293B"/>
          <w:sz w:val="22"/>
        </w:rPr>
        <w:t>Magnet winding wires sales volume</w:t>
      </w:r>
    </w:p>
    <w:p>
      <w:pPr>
        <w:spacing w:after="80" w:line="276" w:lineRule="auto"/>
      </w:pPr>
      <w:r>
        <w:rPr>
          <w:rFonts w:ascii="Calibri" w:hAnsi="Calibri"/>
          <w:color w:val="1E293B"/>
          <w:sz w:val="22"/>
        </w:rPr>
        <w:t>Magnet winding wires sales volume is used by the management to assess Acme Private Limited's products and to evaluate the effectiveness of sales strategies across the</w:t>
      </w:r>
    </w:p>
    <w:p>
      <w:pPr>
        <w:spacing w:after="80" w:line="276" w:lineRule="auto"/>
      </w:pPr>
      <w:r>
        <w:rPr>
          <w:rFonts w:ascii="Calibri" w:hAnsi="Calibri"/>
          <w:color w:val="1E293B"/>
          <w:sz w:val="22"/>
        </w:rPr>
        <w:t>product category</w:t>
      </w:r>
    </w:p>
    <w:p>
      <w:pPr>
        <w:spacing w:after="80" w:line="276" w:lineRule="auto"/>
      </w:pPr>
      <w:r>
        <w:rPr>
          <w:rFonts w:ascii="Calibri" w:hAnsi="Calibri"/>
          <w:color w:val="1E293B"/>
          <w:sz w:val="22"/>
        </w:rPr>
        <w:t>Production capacity</w:t>
      </w:r>
    </w:p>
    <w:p>
      <w:pPr>
        <w:spacing w:after="80" w:line="276" w:lineRule="auto"/>
      </w:pPr>
      <w:r>
        <w:rPr>
          <w:rFonts w:ascii="Calibri" w:hAnsi="Calibri"/>
          <w:color w:val="1E293B"/>
          <w:sz w:val="22"/>
        </w:rPr>
        <w:t>Production capacity indicates the maximum output that can be produced</w:t>
      </w:r>
    </w:p>
    <w:p>
      <w:pPr>
        <w:spacing w:after="80" w:line="276" w:lineRule="auto"/>
      </w:pPr>
      <w:r>
        <w:rPr>
          <w:rFonts w:ascii="Calibri" w:hAnsi="Calibri"/>
          <w:color w:val="1E293B"/>
          <w:sz w:val="22"/>
        </w:rPr>
        <w:t>Revenue from Exports</w:t>
      </w:r>
    </w:p>
    <w:p>
      <w:pPr>
        <w:spacing w:after="80" w:line="276" w:lineRule="auto"/>
      </w:pPr>
      <w:r>
        <w:rPr>
          <w:rFonts w:ascii="Calibri" w:hAnsi="Calibri"/>
          <w:color w:val="1E293B"/>
          <w:sz w:val="22"/>
        </w:rPr>
        <w:t>Revenue from exports indicates the revenue Northstar Technologies Ltd</w:t>
      </w:r>
    </w:p>
    <w:p>
      <w:pPr>
        <w:spacing w:after="80" w:line="276" w:lineRule="auto"/>
      </w:pPr>
      <w:r>
        <w:rPr>
          <w:rFonts w:ascii="Calibri" w:hAnsi="Calibri"/>
          <w:color w:val="1E293B"/>
          <w:sz w:val="22"/>
        </w:rPr>
        <w:t>Volume Growth</w:t>
      </w:r>
    </w:p>
    <w:p>
      <w:pPr>
        <w:spacing w:after="80" w:line="276" w:lineRule="auto"/>
      </w:pPr>
      <w:r>
        <w:rPr>
          <w:rFonts w:ascii="Calibri" w:hAnsi="Calibri"/>
          <w:color w:val="1E293B"/>
          <w:sz w:val="22"/>
        </w:rPr>
        <w:t>Growth in volumes provides information regarding the Bluebird Capital LLP's products across various product categories over the respective years</w:t>
      </w:r>
    </w:p>
    <w:p>
      <w:pPr>
        <w:spacing w:after="80" w:line="276" w:lineRule="auto"/>
      </w:pPr>
      <w:r>
        <w:rPr>
          <w:rFonts w:ascii="Calibri" w:hAnsi="Calibri"/>
          <w:color w:val="1E293B"/>
          <w:sz w:val="22"/>
        </w:rPr>
        <w:t>CERTAIN CONVENTIONS, USE OF FINANCIAL INFORMATION AND MARKET DATA AND CURRENCY OF PRESENTATION</w:t>
      </w:r>
    </w:p>
    <w:p>
      <w:pPr>
        <w:spacing w:after="80" w:line="276" w:lineRule="auto"/>
      </w:pPr>
      <w:r>
        <w:rPr>
          <w:rFonts w:ascii="Calibri" w:hAnsi="Calibri"/>
          <w:color w:val="1E293B"/>
          <w:sz w:val="22"/>
        </w:rPr>
        <w:t>Certain Conventions</w:t>
      </w:r>
    </w:p>
    <w:p>
      <w:pPr>
        <w:spacing w:after="80" w:line="276" w:lineRule="auto"/>
      </w:pPr>
      <w:r>
        <w:rPr>
          <w:rFonts w:ascii="Calibri" w:hAnsi="Calibri"/>
          <w:color w:val="1E293B"/>
          <w:sz w:val="22"/>
        </w:rPr>
        <w:t>All references in this Red Herring Prospectus to “India” are to the Republic of India and its territories and possessions and all references herein to the “Government”, “Indian Government”, “GoI”, “Central Government” or the “State Government” are to the Government of India, central or state, as applicable. All references herein to the “US”, “USA”, the “U.S.” or the “United States” are to the United States of America and its territories and possessions. All references herein to “EU” are to the European Union and its territories and possessions. All references herein to “Sweden” are to Sweden and its territories and possessions.</w:t>
      </w:r>
    </w:p>
    <w:p>
      <w:pPr>
        <w:spacing w:after="80" w:line="276" w:lineRule="auto"/>
      </w:pPr>
      <w:r>
        <w:rPr>
          <w:rFonts w:ascii="Calibri" w:hAnsi="Calibri"/>
          <w:color w:val="1E293B"/>
          <w:sz w:val="22"/>
        </w:rPr>
        <w:t>Unless indicated otherwise, all references to page numbers in this Red Herring Prospectus are to page numbers of this Red Herring Prospectus.</w:t>
      </w:r>
    </w:p>
    <w:p>
      <w:pPr>
        <w:spacing w:after="80" w:line="276" w:lineRule="auto"/>
      </w:pPr>
      <w:r>
        <w:rPr>
          <w:rFonts w:ascii="Calibri" w:hAnsi="Calibri"/>
          <w:color w:val="1E293B"/>
          <w:sz w:val="22"/>
        </w:rPr>
        <w:t>Financial Data</w:t>
      </w:r>
    </w:p>
    <w:p>
      <w:pPr>
        <w:spacing w:after="80" w:line="276" w:lineRule="auto"/>
      </w:pPr>
      <w:r>
        <w:rPr>
          <w:rFonts w:ascii="Calibri" w:hAnsi="Calibri"/>
          <w:color w:val="1E293B"/>
          <w:sz w:val="22"/>
        </w:rPr>
        <w:t>Northstar Technologies Ltd’s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a Fiscal/Fiscal Year are to the year ended on March 31, of that calendar year. Certain other financial information pertaining to our Group Companies are derived from their respective audited financial statements.</w:t>
      </w:r>
    </w:p>
    <w:p>
      <w:pPr>
        <w:spacing w:after="80" w:line="276" w:lineRule="auto"/>
      </w:pPr>
      <w:r>
        <w:rPr>
          <w:rFonts w:ascii="Calibri" w:hAnsi="Calibri"/>
          <w:color w:val="1E293B"/>
          <w:sz w:val="22"/>
        </w:rPr>
        <w:t>Unless indicated otherwise or the context requires otherwise, the financial information and financial ratios in this Red Herring Prospectus have been derived from the Restated Financial Statements. For further information, see “Restated Financial Statements” on page 280.</w:t>
      </w:r>
    </w:p>
    <w:p>
      <w:pPr>
        <w:spacing w:after="80" w:line="276" w:lineRule="auto"/>
      </w:pPr>
      <w:r>
        <w:rPr>
          <w:rFonts w:ascii="Calibri" w:hAnsi="Calibri"/>
          <w:color w:val="1E293B"/>
          <w:sz w:val="22"/>
        </w:rPr>
        <w:t>Northstar Technologies Ltd comprising the restated statements of assets and liabilities as on and for the three months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Fiscals 2025, 2024 and 2023, prepared in terms of the requirements of Section 26 of Part I of Chapter III of the Companies Act, SEBI ICDR Regulations, Bluebird Capital LLP Prospectuses (Revised 2019) issued by ICAI, as amended from time to time and the Indian Accounting Standards as specified under Section 133 of the Act and other accounting principles generally accepted in India.</w:t>
      </w:r>
    </w:p>
    <w:p>
      <w:pPr>
        <w:spacing w:after="80" w:line="276" w:lineRule="auto"/>
      </w:pPr>
      <w:r>
        <w:rPr>
          <w:rFonts w:ascii="Calibri" w:hAnsi="Calibri"/>
          <w:color w:val="1E293B"/>
          <w:sz w:val="22"/>
        </w:rPr>
        <w:t>There are significant differences between Ind AS, Indian GAAP, Acme Private Limited does not provide reconciliation of its financial information Northstar Technologies Ltd has not attempted to explain those differences or quantify their impact on the financial data included in this Red Herring Prospectus and it is urged that you consult your own advisors regarding such Bluebird Capital LLP’s financial data. For details in connection with risks involving differences between Ind AS, U.S. GAAP and IFRS, see “Risk Factors – Significant differences exist between Indian accounting standard (“Ind AS”) and other accounting principles, such as international financial reporting standards (“IFRS”) and United States generally accepted accounting principles (“U.S.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the SEBI ICDR Regulations. Any reliance by persons not familiar with Indian accounting policies and practices on the financial disclosures presented in this Acme Private Limited. Further, any figures sourced from third-party industry sources may be rounded off to other than two decimal points to conform to their respective sources.</w:t>
      </w:r>
    </w:p>
    <w:p>
      <w:pPr>
        <w:spacing w:after="80" w:line="276" w:lineRule="auto"/>
      </w:pPr>
      <w:r>
        <w:rPr>
          <w:rFonts w:ascii="Calibri" w:hAnsi="Calibri"/>
          <w:color w:val="1E293B"/>
          <w:sz w:val="22"/>
        </w:rPr>
        <w:t>In this Red Herring Prospectus, any discrepancies in any table between the total and the sums of the amounts listed are due to rounding off. All figures in decimals have been rounded off to the second decimal and all percentage figures have been rounded off to two decimal places. In certain instances, discrepancies in any table between the sums of the amounts listed in the table and totals are due to rounding off.</w:t>
      </w:r>
    </w:p>
    <w:p>
      <w:pPr>
        <w:spacing w:after="80" w:line="276" w:lineRule="auto"/>
      </w:pPr>
      <w:r>
        <w:rPr>
          <w:rFonts w:ascii="Calibri" w:hAnsi="Calibri"/>
          <w:color w:val="1E293B"/>
          <w:sz w:val="22"/>
        </w:rPr>
        <w:t>Further, any figures sourced from third party industry sources may be rounded off to other than to the second decimal to conform to their respective sources.</w:t>
      </w:r>
    </w:p>
    <w:p>
      <w:pPr>
        <w:spacing w:after="80" w:line="276" w:lineRule="auto"/>
      </w:pPr>
      <w:r>
        <w:rPr>
          <w:rFonts w:ascii="Calibri" w:hAnsi="Calibri"/>
          <w:color w:val="1E293B"/>
          <w:sz w:val="22"/>
        </w:rPr>
        <w:t>Any percentage amounts, as set forth in “Risk Factors”, “Our Business” and “Management’s Discussion and Analysis of Financial Position and Results of Operations” on pages 28, 211 and 356, respectively, and elsewhere in this Red Herring Prospectus, unless otherwise stated or context requires otherwise, have been derived from Restated Financial Statements or non-GAAP financial measures as described below.</w:t>
      </w:r>
    </w:p>
    <w:p>
      <w:pPr>
        <w:spacing w:after="80" w:line="276" w:lineRule="auto"/>
      </w:pPr>
      <w:r>
        <w:rPr>
          <w:rFonts w:ascii="Calibri" w:hAnsi="Calibri"/>
          <w:color w:val="1E293B"/>
          <w:sz w:val="22"/>
        </w:rPr>
        <w:t>Non-GAAP Financial Measures</w:t>
      </w:r>
    </w:p>
    <w:p>
      <w:pPr>
        <w:spacing w:after="80" w:line="276" w:lineRule="auto"/>
      </w:pPr>
      <w:r>
        <w:rPr>
          <w:rFonts w:ascii="Calibri" w:hAnsi="Calibri"/>
          <w:color w:val="1E293B"/>
          <w:sz w:val="22"/>
        </w:rPr>
        <w:t>Certain measures included in this Red Herring Prospectus, for instance EBITDA, EBITDA Margin, Net Debt, Return on Capital Employed, Return on Equity, and other non- GAAP measures (the “Non-GAAP Measures’’), presented in this Red Herring Prospectus are supplemental measures of our performance and liquidity that are not required by, or presented in accordance with Ind AS, IFRS or US GAAP. Furthermore, these Non-GAAP Measures are not a measurement of our financial performance or liquidity under Indian GAAP, IFRS or US GAAP and should not be considered as an alternative to net profit/loss, revenue from operations or any other performance measures derived in accordance with Ind AS, IFRS or US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Ind AS, Indian GAAP, IFRS or US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Ind AS and may not be comparable to similarly titled measures presented by other companies. Further, Northstar Technologies Ltd utility as a comparative measure. Although such Non-GAAP financial measures are not a measure of performance calculated in accordance with applicable accounting standards, Bluebird Capital LLP’s management believes that they are useful to an investor in evaluating us as they are Bluebird Capital LLP’s operating performance. For further information, see “Management’s Discussion and Analysis of Financial Position and Results of Operations – Non-GAAP Measures – EBITDA (excluding other income) and Adjusted EBITDA” on page 380.</w:t>
      </w:r>
    </w:p>
    <w:p>
      <w:pPr>
        <w:spacing w:after="80" w:line="276" w:lineRule="auto"/>
      </w:pPr>
      <w:r>
        <w:rPr>
          <w:rFonts w:ascii="Calibri" w:hAnsi="Calibri"/>
          <w:color w:val="1E293B"/>
          <w:sz w:val="22"/>
        </w:rPr>
        <w:t>Industry and Market Data</w:t>
      </w:r>
    </w:p>
    <w:p>
      <w:pPr>
        <w:spacing w:after="80" w:line="276" w:lineRule="auto"/>
      </w:pPr>
      <w:r>
        <w:rPr>
          <w:rFonts w:ascii="Calibri" w:hAnsi="Calibri"/>
          <w:color w:val="1E293B"/>
          <w:sz w:val="22"/>
        </w:rPr>
        <w:t>Unless stated otherwise, industry and market data used in this Red Herring Prospectus has been obtained or derived from the report titled “Industry Research Report on Magnet Winding Wires Market in India” dated November 26, 2025 (“CARE Report”), Acme Private Limited (“CareEdge Research”), which has been prepared exclusively for the purpose of understanding the industry in connection with the Offer and Northstar Technologies Ltd, pursuant to the engagement letter dated December 2, 2024. The CARE Report is Bluebird Capital LLP at the following weblink: https://kshinternational.com/investor-relations/industry-report/. Further, CareEdge Research, pursuant to their consent letter dated November 26, 2025 (“Letter”) has accorded their no objection and consent to use the CARE Report. CareEdge Research, pursuant to their Letter, has also confirmed that it is an independent agency and has no conflict of interest issuing the CARE Report, and confirmed that it is not related, either directly or indirectly, Bluebird Capital LLP, our Directors, our Promoters (including the Promoter Selling Shareholders), our Key Managerial Personnel, our Senior Management, our Group Companies or the Book Running Lead Managers.</w:t>
      </w:r>
    </w:p>
    <w:p>
      <w:pPr>
        <w:spacing w:after="80" w:line="276" w:lineRule="auto"/>
      </w:pPr>
      <w:r>
        <w:rPr>
          <w:rFonts w:ascii="Calibri" w:hAnsi="Calibri"/>
          <w:color w:val="1E293B"/>
          <w:sz w:val="22"/>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the CARE Report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Acme Private Limited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the CARE Report which has been commissioned by us and any reliance on such information for making an investment decision in this Offer is subject to inherent risks.” on page 40. Accordingly, no investment decision should be solely made on the basis of such information.</w:t>
      </w:r>
    </w:p>
    <w:p>
      <w:pPr>
        <w:spacing w:after="80" w:line="276" w:lineRule="auto"/>
      </w:pPr>
      <w:r>
        <w:rPr>
          <w:rFonts w:ascii="Calibri" w:hAnsi="Calibri"/>
          <w:color w:val="1E293B"/>
          <w:sz w:val="22"/>
        </w:rPr>
        <w:t>In accordance with the disclosure requirements under the SEBI ICDR Regulations, the section titled “Basis for the Offer Price” on page 124 includes information relating to our listed peer group companies. Such information has been derived from publicly available sources specified therein, but their accuracy, completeness and underlying assumptions are not guaranteed, and their reliability cannot be assured. Accordingly, no investment decisions should be based solely on such information.</w:t>
      </w:r>
    </w:p>
    <w:p>
      <w:pPr>
        <w:spacing w:after="80" w:line="276" w:lineRule="auto"/>
      </w:pPr>
      <w:r>
        <w:rPr>
          <w:rFonts w:ascii="Calibri" w:hAnsi="Calibri"/>
          <w:color w:val="1E293B"/>
          <w:sz w:val="22"/>
        </w:rPr>
        <w:t>The extent to which the industry and industry data used in this Red Herring Prospectus is meaningful depends on the reader’s familiarity with and understanding of the methodologies used in compiling such data. There are no standard data gathering methodologies in the industry Northstar Technologies Ltd is conducted, and methodologies and assumptions may vary widely among different industry sources.</w:t>
      </w:r>
    </w:p>
    <w:p>
      <w:pPr>
        <w:spacing w:after="80" w:line="276" w:lineRule="auto"/>
      </w:pPr>
      <w:r>
        <w:rPr>
          <w:rFonts w:ascii="Calibri" w:hAnsi="Calibri"/>
          <w:color w:val="1E293B"/>
          <w:sz w:val="22"/>
        </w:rPr>
        <w:t>Currency and Units of Presentation</w:t>
      </w:r>
    </w:p>
    <w:p>
      <w:pPr>
        <w:spacing w:after="80" w:line="276" w:lineRule="auto"/>
      </w:pPr>
      <w:r>
        <w:rPr>
          <w:rFonts w:ascii="Calibri" w:hAnsi="Calibri"/>
          <w:color w:val="1E293B"/>
          <w:sz w:val="22"/>
        </w:rPr>
        <w:t>All references to:</w:t>
      </w:r>
    </w:p>
    <w:p>
      <w:pPr>
        <w:spacing w:after="80" w:line="276" w:lineRule="auto"/>
      </w:pPr>
      <w:r>
        <w:rPr>
          <w:rFonts w:ascii="Calibri" w:hAnsi="Calibri"/>
          <w:color w:val="1E293B"/>
          <w:sz w:val="22"/>
        </w:rPr>
        <w:t>“Rupees” or “INR” or “₹” or “Rs.” are to Indian Rupees, the official currency of the Republic of India;</w:t>
      </w:r>
    </w:p>
    <w:p>
      <w:pPr>
        <w:spacing w:after="80" w:line="276" w:lineRule="auto"/>
      </w:pPr>
      <w:r>
        <w:rPr>
          <w:rFonts w:ascii="Calibri" w:hAnsi="Calibri"/>
          <w:color w:val="1E293B"/>
          <w:sz w:val="22"/>
        </w:rPr>
        <w:t>“U.S $”, “U.S. Dollar”, “USD” are to United States Dollars, the official currency of the United States of America;</w:t>
      </w:r>
    </w:p>
    <w:p>
      <w:pPr>
        <w:spacing w:after="80" w:line="276" w:lineRule="auto"/>
      </w:pPr>
      <w:r>
        <w:rPr>
          <w:rFonts w:ascii="Calibri" w:hAnsi="Calibri"/>
          <w:color w:val="1E293B"/>
          <w:sz w:val="22"/>
        </w:rPr>
        <w:t>‘EUR’, ‘Euro’ and ‘€’ are to the official currency of the European Union; and</w:t>
      </w:r>
    </w:p>
    <w:p>
      <w:pPr>
        <w:spacing w:after="80" w:line="276" w:lineRule="auto"/>
      </w:pPr>
      <w:r>
        <w:rPr>
          <w:rFonts w:ascii="Calibri" w:hAnsi="Calibri"/>
          <w:color w:val="1E293B"/>
          <w:sz w:val="22"/>
        </w:rPr>
        <w:t>“SEK” are to Swedish Krona, the official currency of Sweden.</w:t>
      </w:r>
    </w:p>
    <w:p>
      <w:pPr>
        <w:spacing w:after="80" w:line="276" w:lineRule="auto"/>
      </w:pPr>
      <w:r>
        <w:rPr>
          <w:rFonts w:ascii="Calibri" w:hAnsi="Calibri"/>
          <w:color w:val="1E293B"/>
          <w:sz w:val="22"/>
        </w:rPr>
        <w:t>All the figures in this Red Herring Prospectus, except for figures derived from the CARE Report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a column or row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Red Herring Prospectus in such denominations or rounded-off to such number of decimal points as provided in such respective sources.</w:t>
      </w:r>
    </w:p>
    <w:p>
      <w:pPr>
        <w:spacing w:after="80" w:line="276" w:lineRule="auto"/>
      </w:pPr>
      <w:r>
        <w:rPr>
          <w:rFonts w:ascii="Calibri" w:hAnsi="Calibri"/>
          <w:color w:val="1E293B"/>
          <w:sz w:val="22"/>
        </w:rPr>
        <w:t>Time</w:t>
      </w:r>
    </w:p>
    <w:p>
      <w:pPr>
        <w:spacing w:after="80" w:line="276" w:lineRule="auto"/>
      </w:pPr>
      <w:r>
        <w:rPr>
          <w:rFonts w:ascii="Calibri" w:hAnsi="Calibri"/>
          <w:color w:val="1E293B"/>
          <w:sz w:val="22"/>
        </w:rPr>
        <w:t>All references to time in this Red Herring Prospectus are to Indian Standard Time.</w:t>
      </w:r>
    </w:p>
    <w:p>
      <w:pPr>
        <w:spacing w:after="80" w:line="276" w:lineRule="auto"/>
      </w:pPr>
      <w:r>
        <w:rPr>
          <w:rFonts w:ascii="Calibri" w:hAnsi="Calibri"/>
          <w:color w:val="1E293B"/>
          <w:sz w:val="22"/>
        </w:rPr>
        <w:t>Exchange Rates</w:t>
      </w:r>
    </w:p>
    <w:p>
      <w:pPr>
        <w:spacing w:after="80" w:line="276" w:lineRule="auto"/>
      </w:pPr>
      <w:r>
        <w:rPr>
          <w:rFonts w:ascii="Calibri" w:hAnsi="Calibri"/>
          <w:color w:val="1E293B"/>
          <w:sz w:val="22"/>
        </w:rPr>
        <w:t>This Red Herring Prospectus may contain conversions of certain other currency amounts into Indian Rupees that have been presented solely to comply with the requirements of the SEBI ICDR Regulations. These conversions should not be construed as a representation that such currency amounts could have been, or can be converted into Indian Rupees, at any particular rate, or at all.</w:t>
      </w:r>
    </w:p>
    <w:p>
      <w:pPr>
        <w:spacing w:after="80" w:line="276" w:lineRule="auto"/>
      </w:pPr>
      <w:r>
        <w:rPr>
          <w:rFonts w:ascii="Calibri" w:hAnsi="Calibri"/>
          <w:color w:val="1E293B"/>
          <w:sz w:val="22"/>
        </w:rPr>
        <w:t>The following table sets forth, for the periods indicated, information with respect to the exchange rate between the ₹and the respective foreign currencies:</w:t>
      </w:r>
    </w:p>
    <w:p>
      <w:pPr>
        <w:spacing w:after="80" w:line="276" w:lineRule="auto"/>
      </w:pPr>
      <w:r>
        <w:rPr>
          <w:rFonts w:ascii="Calibri" w:hAnsi="Calibri"/>
          <w:color w:val="1E293B"/>
          <w:sz w:val="22"/>
        </w:rPr>
        <w:t>(in ₹)</w:t>
      </w:r>
    </w:p>
    <w:p>
      <w:pPr>
        <w:spacing w:after="80" w:line="276" w:lineRule="auto"/>
      </w:pPr>
      <w:r>
        <w:rPr>
          <w:rFonts w:ascii="Calibri" w:hAnsi="Calibri"/>
          <w:color w:val="1E293B"/>
          <w:sz w:val="22"/>
        </w:rPr>
        <w:t>Currency</w:t>
      </w:r>
    </w:p>
    <w:p>
      <w:pPr>
        <w:spacing w:after="80" w:line="276" w:lineRule="auto"/>
      </w:pPr>
      <w:r>
        <w:rPr>
          <w:rFonts w:ascii="Calibri" w:hAnsi="Calibri"/>
          <w:color w:val="1E293B"/>
          <w:sz w:val="22"/>
        </w:rPr>
        <w:t>As at</w:t>
      </w:r>
    </w:p>
    <w:p>
      <w:pPr>
        <w:spacing w:after="80" w:line="276" w:lineRule="auto"/>
      </w:pPr>
      <w:r>
        <w:rPr>
          <w:rFonts w:ascii="Calibri" w:hAnsi="Calibri"/>
          <w:color w:val="1E293B"/>
          <w:sz w:val="22"/>
        </w:rPr>
        <w:t>June 30, 2025</w:t>
      </w:r>
    </w:p>
    <w:p>
      <w:pPr>
        <w:spacing w:after="80" w:line="276" w:lineRule="auto"/>
      </w:pPr>
      <w:r>
        <w:rPr>
          <w:rFonts w:ascii="Calibri" w:hAnsi="Calibri"/>
          <w:color w:val="1E293B"/>
          <w:sz w:val="22"/>
        </w:rPr>
        <w:t>March 31, 2025</w:t>
      </w:r>
    </w:p>
    <w:p>
      <w:pPr>
        <w:spacing w:after="80" w:line="276" w:lineRule="auto"/>
      </w:pPr>
      <w:r>
        <w:rPr>
          <w:rFonts w:ascii="Calibri" w:hAnsi="Calibri"/>
          <w:color w:val="1E293B"/>
          <w:sz w:val="22"/>
        </w:rPr>
        <w:t>March 31, 2024</w:t>
      </w:r>
    </w:p>
    <w:p>
      <w:pPr>
        <w:spacing w:after="80" w:line="276" w:lineRule="auto"/>
      </w:pPr>
      <w:r>
        <w:rPr>
          <w:rFonts w:ascii="Calibri" w:hAnsi="Calibri"/>
          <w:color w:val="1E293B"/>
          <w:sz w:val="22"/>
        </w:rPr>
        <w:t>March 31, 2023</w:t>
      </w:r>
    </w:p>
    <w:p>
      <w:pPr>
        <w:spacing w:after="80" w:line="276" w:lineRule="auto"/>
      </w:pPr>
      <w:r>
        <w:rPr>
          <w:rFonts w:ascii="Calibri" w:hAnsi="Calibri"/>
          <w:color w:val="1E293B"/>
          <w:sz w:val="22"/>
        </w:rPr>
        <w:t>1 USD</w:t>
      </w:r>
    </w:p>
    <w:p>
      <w:pPr>
        <w:spacing w:after="80" w:line="276" w:lineRule="auto"/>
      </w:pPr>
      <w:r>
        <w:rPr>
          <w:rFonts w:ascii="Calibri" w:hAnsi="Calibri"/>
          <w:color w:val="1E293B"/>
          <w:sz w:val="22"/>
        </w:rPr>
        <w:t>85.54</w:t>
      </w:r>
    </w:p>
    <w:p>
      <w:pPr>
        <w:spacing w:after="80" w:line="276" w:lineRule="auto"/>
      </w:pPr>
      <w:r>
        <w:rPr>
          <w:rFonts w:ascii="Calibri" w:hAnsi="Calibri"/>
          <w:color w:val="1E293B"/>
          <w:sz w:val="22"/>
        </w:rPr>
        <w:t>85.58</w:t>
      </w:r>
    </w:p>
    <w:p>
      <w:pPr>
        <w:spacing w:after="80" w:line="276" w:lineRule="auto"/>
      </w:pPr>
      <w:r>
        <w:rPr>
          <w:rFonts w:ascii="Calibri" w:hAnsi="Calibri"/>
          <w:color w:val="1E293B"/>
          <w:sz w:val="22"/>
        </w:rPr>
        <w:t>83.37</w:t>
      </w:r>
    </w:p>
    <w:p>
      <w:pPr>
        <w:spacing w:after="80" w:line="276" w:lineRule="auto"/>
      </w:pPr>
      <w:r>
        <w:rPr>
          <w:rFonts w:ascii="Calibri" w:hAnsi="Calibri"/>
          <w:color w:val="1E293B"/>
          <w:sz w:val="22"/>
        </w:rPr>
        <w:t>82.22</w:t>
      </w:r>
    </w:p>
    <w:p>
      <w:pPr>
        <w:spacing w:after="80" w:line="276" w:lineRule="auto"/>
      </w:pPr>
      <w:r>
        <w:rPr>
          <w:rFonts w:ascii="Calibri" w:hAnsi="Calibri"/>
          <w:color w:val="1E293B"/>
          <w:sz w:val="22"/>
        </w:rPr>
        <w:t>1 EUR</w:t>
      </w:r>
    </w:p>
    <w:p>
      <w:pPr>
        <w:spacing w:after="80" w:line="276" w:lineRule="auto"/>
      </w:pPr>
      <w:r>
        <w:rPr>
          <w:rFonts w:ascii="Calibri" w:hAnsi="Calibri"/>
          <w:color w:val="1E293B"/>
          <w:sz w:val="22"/>
        </w:rPr>
        <w:t>100.45</w:t>
      </w:r>
    </w:p>
    <w:p>
      <w:pPr>
        <w:spacing w:after="80" w:line="276" w:lineRule="auto"/>
      </w:pPr>
      <w:r>
        <w:rPr>
          <w:rFonts w:ascii="Calibri" w:hAnsi="Calibri"/>
          <w:color w:val="1E293B"/>
          <w:sz w:val="22"/>
        </w:rPr>
        <w:t>92.32</w:t>
      </w:r>
    </w:p>
    <w:p>
      <w:pPr>
        <w:spacing w:after="80" w:line="276" w:lineRule="auto"/>
      </w:pPr>
      <w:r>
        <w:rPr>
          <w:rFonts w:ascii="Calibri" w:hAnsi="Calibri"/>
          <w:color w:val="1E293B"/>
          <w:sz w:val="22"/>
        </w:rPr>
        <w:t>90.22</w:t>
      </w:r>
    </w:p>
    <w:p>
      <w:pPr>
        <w:spacing w:after="80" w:line="276" w:lineRule="auto"/>
      </w:pPr>
      <w:r>
        <w:rPr>
          <w:rFonts w:ascii="Calibri" w:hAnsi="Calibri"/>
          <w:color w:val="1E293B"/>
          <w:sz w:val="22"/>
        </w:rPr>
        <w:t>89.61</w:t>
      </w:r>
    </w:p>
    <w:p>
      <w:pPr>
        <w:spacing w:after="80" w:line="276" w:lineRule="auto"/>
      </w:pPr>
      <w:r>
        <w:rPr>
          <w:rFonts w:ascii="Calibri" w:hAnsi="Calibri"/>
          <w:color w:val="1E293B"/>
          <w:sz w:val="22"/>
        </w:rPr>
        <w:t>1 SEK</w:t>
      </w:r>
    </w:p>
    <w:p>
      <w:pPr>
        <w:spacing w:after="80" w:line="276" w:lineRule="auto"/>
      </w:pPr>
      <w:r>
        <w:rPr>
          <w:rFonts w:ascii="Calibri" w:hAnsi="Calibri"/>
          <w:color w:val="1E293B"/>
          <w:sz w:val="22"/>
        </w:rPr>
        <w:t>9.00</w:t>
      </w:r>
    </w:p>
    <w:p>
      <w:pPr>
        <w:spacing w:after="80" w:line="276" w:lineRule="auto"/>
      </w:pPr>
      <w:r>
        <w:rPr>
          <w:rFonts w:ascii="Calibri" w:hAnsi="Calibri"/>
          <w:color w:val="1E293B"/>
          <w:sz w:val="22"/>
        </w:rPr>
        <w:t>8.54</w:t>
      </w:r>
    </w:p>
    <w:p>
      <w:pPr>
        <w:spacing w:after="80" w:line="276" w:lineRule="auto"/>
      </w:pPr>
      <w:r>
        <w:rPr>
          <w:rFonts w:ascii="Calibri" w:hAnsi="Calibri"/>
          <w:color w:val="1E293B"/>
          <w:sz w:val="22"/>
        </w:rPr>
        <w:t>7.82</w:t>
      </w:r>
    </w:p>
    <w:p>
      <w:pPr>
        <w:spacing w:after="80" w:line="276" w:lineRule="auto"/>
      </w:pPr>
      <w:r>
        <w:rPr>
          <w:rFonts w:ascii="Calibri" w:hAnsi="Calibri"/>
          <w:color w:val="1E293B"/>
          <w:sz w:val="22"/>
        </w:rPr>
        <w:t>7.91</w:t>
      </w:r>
    </w:p>
    <w:p>
      <w:pPr>
        <w:spacing w:after="80" w:line="276" w:lineRule="auto"/>
      </w:pPr>
      <w:r>
        <w:rPr>
          <w:rFonts w:ascii="Calibri" w:hAnsi="Calibri"/>
          <w:color w:val="1E293B"/>
          <w:sz w:val="22"/>
        </w:rPr>
        <w:t>Source: FBIL Reference Rate as available on www.fbil.org.in. and www.oanda.com/bvi-en/ Notes:</w:t>
      </w:r>
    </w:p>
    <w:p>
      <w:pPr>
        <w:spacing w:after="80" w:line="276" w:lineRule="auto"/>
      </w:pPr>
      <w:r>
        <w:rPr>
          <w:rFonts w:ascii="Calibri" w:hAnsi="Calibri"/>
          <w:color w:val="1E293B"/>
          <w:sz w:val="22"/>
        </w:rPr>
        <w:t>The exchange rates are rounded off to two decimal places.</w:t>
      </w:r>
    </w:p>
    <w:p>
      <w:pPr>
        <w:spacing w:after="80" w:line="276" w:lineRule="auto"/>
      </w:pPr>
      <w:r>
        <w:rPr>
          <w:rFonts w:ascii="Calibri" w:hAnsi="Calibri"/>
          <w:color w:val="1E293B"/>
          <w:sz w:val="22"/>
        </w:rPr>
        <w:t>In the event that any of the aforementioned date is a public holiday, the previous calendar day not being a public holiday has been considered.</w:t>
      </w:r>
    </w:p>
    <w:p>
      <w:pPr>
        <w:spacing w:after="80" w:line="276" w:lineRule="auto"/>
      </w:pPr>
      <w:r>
        <w:rPr>
          <w:rFonts w:ascii="Calibri" w:hAnsi="Calibri"/>
          <w:color w:val="1E293B"/>
          <w:sz w:val="22"/>
        </w:rPr>
        <w:t>FORWARD-LOOKING STATEMENTS</w:t>
      </w:r>
    </w:p>
    <w:p>
      <w:pPr>
        <w:spacing w:after="80" w:line="276" w:lineRule="auto"/>
      </w:pPr>
      <w:r>
        <w:rPr>
          <w:rFonts w:ascii="Calibri" w:hAnsi="Calibri"/>
          <w:color w:val="1E293B"/>
          <w:sz w:val="22"/>
        </w:rPr>
        <w:t>This Red Herring Prospectus contains certain statements which are not statements of historical fact and may be described as “forward-looking statements”. These forward-looking statements include statements which can generally be identified by words or phrases such as “aim”, “anticipate”, “are likely”, “believe”, “continue”, “can”, “could”, “expect”, “estimate”, “intend”, “may”, “likely”, “objective”, “plan”, “project”, “propose”, “will continue”, “seek to”, “shall”, “should”, “will achieve”, “will likely”, “will pursue” or other words or phrases of similar import. Similarly, statements that describe the strategies, objectives, Bluebird Capital LLP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w:t>
      </w:r>
    </w:p>
    <w:p>
      <w:pPr>
        <w:spacing w:after="80" w:line="276" w:lineRule="auto"/>
      </w:pPr>
      <w:r>
        <w:rPr>
          <w:rFonts w:ascii="Calibri" w:hAnsi="Calibri"/>
          <w:color w:val="1E293B"/>
          <w:sz w:val="22"/>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Acme Private Limited to, regulatory changes pertaining to the industries we cater and our ability to respond to them, our ability to successfully implement our strategies, our growth and expansion, technological changes, our exposure to market risks, general economic and political conditions in India and globally, which have an impact on our business activities or investments, the monetary and fiscal policies of India, inflation, deflation, unanticipated turbulence in interest rates, foreign exchange rates, equity prices or other rates or prices, the performance of the financial markets in India and globally, changes in domestic laws, regulations and taxes, changes in competition in our industry and incidence of any natural calamities and/or acts of violence.</w:t>
      </w:r>
    </w:p>
    <w:p>
      <w:pPr>
        <w:spacing w:after="80" w:line="276" w:lineRule="auto"/>
      </w:pPr>
      <w:r>
        <w:rPr>
          <w:rFonts w:ascii="Calibri" w:hAnsi="Calibri"/>
          <w:color w:val="1E293B"/>
          <w:sz w:val="22"/>
        </w:rPr>
        <w:t>Certain important factors that could cause actual results to differ materially from our expectations include, but are not lim ited to, the following:</w:t>
      </w:r>
    </w:p>
    <w:p>
      <w:pPr>
        <w:spacing w:after="80" w:line="276" w:lineRule="auto"/>
      </w:pPr>
      <w:r>
        <w:rPr>
          <w:rFonts w:ascii="Calibri" w:hAnsi="Calibri"/>
          <w:color w:val="1E293B"/>
          <w:sz w:val="22"/>
        </w:rPr>
        <w:t>Reliance on our key customers;</w:t>
      </w:r>
    </w:p>
    <w:p>
      <w:pPr>
        <w:spacing w:after="80" w:line="276" w:lineRule="auto"/>
      </w:pPr>
      <w:r>
        <w:rPr>
          <w:rFonts w:ascii="Calibri" w:hAnsi="Calibri"/>
          <w:color w:val="1E293B"/>
          <w:sz w:val="22"/>
        </w:rPr>
        <w:t>Reliance on our key suppliers;</w:t>
      </w:r>
    </w:p>
    <w:p>
      <w:pPr>
        <w:spacing w:after="80" w:line="276" w:lineRule="auto"/>
      </w:pPr>
      <w:r>
        <w:rPr>
          <w:rFonts w:ascii="Calibri" w:hAnsi="Calibri"/>
          <w:color w:val="1E293B"/>
          <w:sz w:val="22"/>
        </w:rPr>
        <w:t>Price and availability of primary raw materials i.e. copper and aluminium, and insulating materials such as enamel and paper;</w:t>
      </w:r>
    </w:p>
    <w:p>
      <w:pPr>
        <w:spacing w:after="80" w:line="276" w:lineRule="auto"/>
      </w:pPr>
      <w:r>
        <w:rPr>
          <w:rFonts w:ascii="Calibri" w:hAnsi="Calibri"/>
          <w:color w:val="1E293B"/>
          <w:sz w:val="22"/>
        </w:rPr>
        <w:t>Reliance on the power sector (generation, transmission and distribution) industry;</w:t>
      </w:r>
    </w:p>
    <w:p>
      <w:pPr>
        <w:spacing w:after="80" w:line="276" w:lineRule="auto"/>
      </w:pPr>
      <w:r>
        <w:rPr>
          <w:rFonts w:ascii="Calibri" w:hAnsi="Calibri"/>
          <w:color w:val="1E293B"/>
          <w:sz w:val="22"/>
        </w:rPr>
        <w:t>Reliance on the sale of our key product segment i.e., specialized magnet winding wires;</w:t>
      </w:r>
    </w:p>
    <w:p>
      <w:pPr>
        <w:spacing w:after="80" w:line="276" w:lineRule="auto"/>
      </w:pPr>
      <w:r>
        <w:rPr>
          <w:rFonts w:ascii="Calibri" w:hAnsi="Calibri"/>
          <w:color w:val="1E293B"/>
          <w:sz w:val="22"/>
        </w:rPr>
        <w:t>Delay in or inability of the vendors to provide the equipment in a timely manner in relation to the capital expenditure to be incurred for certain of our proposed objects of the Offer;</w:t>
      </w:r>
    </w:p>
    <w:p>
      <w:pPr>
        <w:spacing w:after="80" w:line="276" w:lineRule="auto"/>
      </w:pPr>
      <w:r>
        <w:rPr>
          <w:rFonts w:ascii="Calibri" w:hAnsi="Calibri"/>
          <w:color w:val="1E293B"/>
          <w:sz w:val="22"/>
        </w:rPr>
        <w:t>Any unscheduled, unplanned or prolonged disruption, slowdown or shutdown of our manufacturing facilities;</w:t>
      </w:r>
    </w:p>
    <w:p>
      <w:pPr>
        <w:spacing w:after="80" w:line="276" w:lineRule="auto"/>
      </w:pPr>
      <w:r>
        <w:rPr>
          <w:rFonts w:ascii="Calibri" w:hAnsi="Calibri"/>
          <w:color w:val="1E293B"/>
          <w:sz w:val="22"/>
        </w:rPr>
        <w:t>Any delays or cost overruns in the completion of the construction of the Supa Facility;</w:t>
      </w:r>
    </w:p>
    <w:p>
      <w:pPr>
        <w:spacing w:after="80" w:line="276" w:lineRule="auto"/>
      </w:pPr>
      <w:r>
        <w:rPr>
          <w:rFonts w:ascii="Calibri" w:hAnsi="Calibri"/>
          <w:color w:val="1E293B"/>
          <w:sz w:val="22"/>
        </w:rPr>
        <w:t>Product defect issues or failure by us or our raw materials suppliers to comply with the strict quality standards and requirements applicable to our business operations; and</w:t>
      </w:r>
    </w:p>
    <w:p>
      <w:pPr>
        <w:spacing w:after="80" w:line="276" w:lineRule="auto"/>
      </w:pPr>
      <w:r>
        <w:rPr>
          <w:rFonts w:ascii="Calibri" w:hAnsi="Calibri"/>
          <w:color w:val="1E293B"/>
          <w:sz w:val="22"/>
        </w:rPr>
        <w:t>Reliance on exports and any change in law, regulations and policies of foreign jurisdictions where we sell our products or plan to sell our products.</w:t>
      </w:r>
    </w:p>
    <w:p>
      <w:pPr>
        <w:spacing w:after="80" w:line="276" w:lineRule="auto"/>
      </w:pPr>
      <w:r>
        <w:rPr>
          <w:rFonts w:ascii="Calibri" w:hAnsi="Calibri"/>
          <w:color w:val="1E293B"/>
          <w:sz w:val="22"/>
        </w:rPr>
        <w:t>For further details of factors that could cause our actual results to differ from the expectations, see “Risk Factors”, “Our Business” and “Management’s Discussion and Analysis of Financial Position and Results of Operations”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Northstar Technologies Ltd, our Directors, the Promoter Selling Shareholders,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p>
    <w:p>
      <w:pPr>
        <w:spacing w:after="80" w:line="276" w:lineRule="auto"/>
      </w:pPr>
      <w:r>
        <w:rPr>
          <w:rFonts w:ascii="Calibri" w:hAnsi="Calibri"/>
          <w:color w:val="1E293B"/>
          <w:sz w:val="22"/>
        </w:rPr>
        <w:t>In accordance with the SEBI ICDR Regulations, Bluebird Capital LLP will ensure that investors in India are informed Bluebird Capital LLP from the date of this Red Herring Prospectus until the time of the grant of listing 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(Acme Private Limited and the Book Running Lead Managers) that the Bidders are informed of material developments in relation to statements specifically confirmed or undertaken by them in this Red Herring Prospectus and the Prospectus until the time of the grant of listing and trading permission by the Stock 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spacing w:after="80" w:line="276" w:lineRule="auto"/>
      </w:pPr>
      <w:r>
        <w:rPr>
          <w:rFonts w:ascii="Calibri" w:hAnsi="Calibri"/>
          <w:color w:val="1E293B"/>
          <w:sz w:val="22"/>
        </w:rPr>
        <w:t>SUMMARY OF THE OFFER DOCUMENT</w:t>
      </w:r>
    </w:p>
    <w:p>
      <w:pPr>
        <w:spacing w:after="80" w:line="276" w:lineRule="auto"/>
      </w:pPr>
      <w:r>
        <w:rPr>
          <w:rFonts w:ascii="Calibri" w:hAnsi="Calibri"/>
          <w:color w:val="1E293B"/>
          <w:sz w:val="22"/>
        </w:rPr>
        <w:t>This section is a general summary of certain disclosures included in this Red Herring Prospectus and is not exhaustive, nor does it purport to contain a summary of all the disclosures in this Red Herring Prospectus or all details relevant to prospective investors. This summary should be read in conjunction with, and is qualified in its entirety by, the more detailed information appearing elsewhere in this Red Herring Prospectus, including the sections “Risk Factors”, “Our Business”, “Industry Overview”, “Capital Structure”, “The Offer”, “Restated Financial Statements”, “Objects of the Offer”, “Management’s Discussion and Analysis of Financial Position and Results of Operations” and “Outstanding Litigation and Material Developments” on pages 28, 211, 137, 84, 67, 280, 106, 356, 388, respectively of this Red Herring Prospectus.</w:t>
      </w:r>
    </w:p>
    <w:p>
      <w:pPr>
        <w:spacing w:after="80" w:line="276" w:lineRule="auto"/>
      </w:pPr>
      <w:r>
        <w:rPr>
          <w:rFonts w:ascii="Calibri" w:hAnsi="Calibri"/>
          <w:color w:val="1E293B"/>
          <w:sz w:val="22"/>
        </w:rPr>
        <w:t>Northstar Technologies Ltd</w:t>
      </w:r>
    </w:p>
    <w:p>
      <w:pPr>
        <w:spacing w:after="80" w:line="276" w:lineRule="auto"/>
      </w:pPr>
      <w:r>
        <w:rPr>
          <w:rFonts w:ascii="Calibri" w:hAnsi="Calibri"/>
          <w:color w:val="1E293B"/>
          <w:sz w:val="22"/>
        </w:rPr>
        <w:t>We are the third largest manufacturer of magnet winding wires in India in terms of production capacity in Fiscal 2025 (Source: CARE Report). We are also the largest exporter of magnet winding wires from India in terms of export revenues in Fiscal 2025 (Source: CARE Report).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spacing w:after="80" w:line="276" w:lineRule="auto"/>
      </w:pPr>
      <w:r>
        <w:rPr>
          <w:rFonts w:ascii="Calibri" w:hAnsi="Calibri"/>
          <w:color w:val="1E293B"/>
          <w:sz w:val="22"/>
        </w:rPr>
        <w:t>For further details, see “Our Business” on page 211.</w:t>
      </w:r>
    </w:p>
    <w:p>
      <w:pPr>
        <w:spacing w:after="80" w:line="276" w:lineRule="auto"/>
      </w:pPr>
      <w:r>
        <w:rPr>
          <w:rFonts w:ascii="Calibri" w:hAnsi="Calibri"/>
          <w:color w:val="1E293B"/>
          <w:sz w:val="22"/>
        </w:rPr>
        <w:t>Bluebird Capital LLP operates</w:t>
      </w:r>
    </w:p>
    <w:p>
      <w:pPr>
        <w:spacing w:after="80" w:line="276" w:lineRule="auto"/>
      </w:pPr>
      <w:r>
        <w:rPr>
          <w:rFonts w:ascii="Calibri" w:hAnsi="Calibri"/>
          <w:color w:val="1E293B"/>
          <w:sz w:val="22"/>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 electric wires and cables market was valued at USD 19.68 billion in CY24, reflecting a CAGR of 6.08% from CY19 to CY24. The market is projected to reach USD 29.85 billion by CY28, expanding at a CAGR of 10.98% from CY24 to CY28.</w:t>
      </w:r>
    </w:p>
    <w:p>
      <w:pPr>
        <w:spacing w:after="80" w:line="276" w:lineRule="auto"/>
      </w:pPr>
      <w:r>
        <w:rPr>
          <w:rFonts w:ascii="Calibri" w:hAnsi="Calibri"/>
          <w:color w:val="1E293B"/>
          <w:sz w:val="22"/>
        </w:rPr>
        <w:t>For further details, see “Industry Overview” on page 137.</w:t>
      </w:r>
    </w:p>
    <w:p>
      <w:pPr>
        <w:spacing w:after="80" w:line="276" w:lineRule="auto"/>
      </w:pPr>
      <w:r>
        <w:rPr>
          <w:rFonts w:ascii="Calibri" w:hAnsi="Calibri"/>
          <w:color w:val="1E293B"/>
          <w:sz w:val="22"/>
        </w:rPr>
        <w:t>Our Promoters</w:t>
      </w:r>
    </w:p>
    <w:p>
      <w:pPr>
        <w:spacing w:after="80" w:line="276" w:lineRule="auto"/>
      </w:pPr>
      <w:r>
        <w:rPr>
          <w:rFonts w:ascii="Calibri" w:hAnsi="Calibri"/>
          <w:color w:val="1E293B"/>
          <w:sz w:val="22"/>
        </w:rPr>
        <w:t>Kushal Subbayya Hegde, Pushpa Kushal Hegde, Rajesh Kushal Hegde, Rohit Kushal Hegde, Rakhi Girija Shetty, Dhaulagiri Family Trust, Everest Family Trust, Makalu Family Trust, Broad Family Trust, Annapurna Family Trust, Kanchenjunga Family Bluebird Capital LLP Acme Private Limited.</w:t>
      </w:r>
    </w:p>
    <w:p>
      <w:pPr>
        <w:spacing w:after="80" w:line="276" w:lineRule="auto"/>
      </w:pPr>
      <w:r>
        <w:rPr>
          <w:rFonts w:ascii="Calibri" w:hAnsi="Calibri"/>
          <w:color w:val="1E293B"/>
          <w:sz w:val="22"/>
        </w:rPr>
        <w:t>For further details, see “Our Promoters and Promoter Group” on page 269.</w:t>
      </w:r>
    </w:p>
    <w:p>
      <w:pPr>
        <w:spacing w:after="80" w:line="276" w:lineRule="auto"/>
      </w:pPr>
      <w:r>
        <w:rPr>
          <w:rFonts w:ascii="Calibri" w:hAnsi="Calibri"/>
          <w:color w:val="1E293B"/>
          <w:sz w:val="22"/>
        </w:rPr>
        <w:t>The Offer</w:t>
      </w:r>
    </w:p>
    <w:p>
      <w:pPr>
        <w:spacing w:after="80" w:line="276" w:lineRule="auto"/>
      </w:pPr>
      <w:r>
        <w:rPr>
          <w:rFonts w:ascii="Calibri" w:hAnsi="Calibri"/>
          <w:color w:val="1E293B"/>
          <w:sz w:val="22"/>
        </w:rPr>
        <w:t>The following table summarizes the details of the Offer:</w:t>
      </w:r>
    </w:p>
    <w:p>
      <w:pPr>
        <w:spacing w:after="80" w:line="276" w:lineRule="auto"/>
      </w:pPr>
      <w:r>
        <w:rPr>
          <w:rFonts w:ascii="Calibri" w:hAnsi="Calibri"/>
          <w:color w:val="1E293B"/>
          <w:sz w:val="22"/>
        </w:rPr>
        <w:t>Offer(1)</w:t>
      </w:r>
    </w:p>
    <w:p>
      <w:pPr>
        <w:spacing w:after="80" w:line="276" w:lineRule="auto"/>
      </w:pPr>
      <w:r>
        <w:rPr>
          <w:rFonts w:ascii="Calibri" w:hAnsi="Calibri"/>
          <w:color w:val="1E293B"/>
          <w:sz w:val="22"/>
        </w:rPr>
        <w:t>Up to [●] Equity Shares of face value of ₹5 each for cash at price of ₹[●] per Equity Share (including a premium of [●] per Equity Share), aggregating up to ₹7,100.00 million</w:t>
      </w:r>
    </w:p>
    <w:p>
      <w:pPr>
        <w:spacing w:after="80" w:line="276" w:lineRule="auto"/>
      </w:pPr>
      <w:r>
        <w:rPr>
          <w:rFonts w:ascii="Calibri" w:hAnsi="Calibri"/>
          <w:color w:val="1E293B"/>
          <w:sz w:val="22"/>
        </w:rPr>
        <w:t>Of which</w:t>
      </w:r>
    </w:p>
    <w:p>
      <w:pPr>
        <w:spacing w:after="80" w:line="276" w:lineRule="auto"/>
      </w:pPr>
      <w:r>
        <w:rPr>
          <w:rFonts w:ascii="Calibri" w:hAnsi="Calibri"/>
          <w:color w:val="1E293B"/>
          <w:sz w:val="22"/>
        </w:rPr>
        <w:t>Fresh Issue(1)</w:t>
      </w:r>
    </w:p>
    <w:p>
      <w:pPr>
        <w:spacing w:after="80" w:line="276" w:lineRule="auto"/>
      </w:pPr>
      <w:r>
        <w:rPr>
          <w:rFonts w:ascii="Calibri" w:hAnsi="Calibri"/>
          <w:color w:val="1E293B"/>
          <w:sz w:val="22"/>
        </w:rPr>
        <w:t>Up to [●] Equity Shares of face value of ₹5 each aggregating up to ₹4,200.00 million</w:t>
      </w:r>
    </w:p>
    <w:p>
      <w:pPr>
        <w:spacing w:after="80" w:line="276" w:lineRule="auto"/>
      </w:pPr>
      <w:r>
        <w:rPr>
          <w:rFonts w:ascii="Calibri" w:hAnsi="Calibri"/>
          <w:color w:val="1E293B"/>
          <w:sz w:val="22"/>
        </w:rPr>
        <w:t>Offer for Sale(2)</w:t>
      </w:r>
    </w:p>
    <w:p>
      <w:pPr>
        <w:spacing w:after="80" w:line="276" w:lineRule="auto"/>
      </w:pPr>
      <w:r>
        <w:rPr>
          <w:rFonts w:ascii="Calibri" w:hAnsi="Calibri"/>
          <w:color w:val="1E293B"/>
          <w:sz w:val="22"/>
        </w:rPr>
        <w:t>Up to [●] Equity Shares of face value of ₹5 each aggregating up to ₹2,900.00 million</w:t>
      </w:r>
    </w:p>
    <w:p>
      <w:pPr>
        <w:spacing w:after="80" w:line="276" w:lineRule="auto"/>
      </w:pPr>
      <w:r>
        <w:rPr>
          <w:rFonts w:ascii="Calibri" w:hAnsi="Calibri"/>
          <w:color w:val="1E293B"/>
          <w:sz w:val="22"/>
        </w:rPr>
        <w:t>The Offer has been authorized pursuant to the resolution passed by our Board dated May 6, 2025 and the Fresh Issue has been authorized by our Shareholders pursuant to a special resolution passed on May 6, 2025.</w:t>
      </w:r>
    </w:p>
    <w:p>
      <w:pPr>
        <w:spacing w:after="80" w:line="276" w:lineRule="auto"/>
      </w:pPr>
      <w:r>
        <w:rPr>
          <w:rFonts w:ascii="Calibri" w:hAnsi="Calibri"/>
          <w:color w:val="1E293B"/>
          <w:sz w:val="22"/>
        </w:rPr>
        <w:t>Each of the Promoter Selling Shareholders, severally and not jointly, confirms that its portion of the Offered Shares are eligible for being offered for sale in terms of Regulation 8 of the SEBI ICDR Regulations. Each Promoter Selling Shareholder has, severally and not jointly, consented to the sale of its portion of the Offered Shares in the Offer for Sale. For further details on the authorisation of the Promoter Selling Shareholders in relation to the Offered Shares, see “Other Regulatory and Statutory Disclosures – Authority for the Offer” on page 398.</w:t>
      </w:r>
    </w:p>
    <w:p>
      <w:pPr>
        <w:spacing w:after="80" w:line="276" w:lineRule="auto"/>
      </w:pPr>
      <w:r>
        <w:rPr>
          <w:rFonts w:ascii="Calibri" w:hAnsi="Calibri"/>
          <w:color w:val="1E293B"/>
          <w:sz w:val="22"/>
        </w:rPr>
        <w:t>The Offer shall constitute [●]% of the post-Offer Northstar Technologies Ltd. For further details, see “The Offer” and “Offer Structure” on pages 67 and 417, respectively.</w:t>
      </w:r>
    </w:p>
    <w:p>
      <w:pPr>
        <w:spacing w:after="80" w:line="276" w:lineRule="auto"/>
      </w:pPr>
      <w:r>
        <w:rPr>
          <w:rFonts w:ascii="Calibri" w:hAnsi="Calibri"/>
          <w:color w:val="1E293B"/>
          <w:sz w:val="22"/>
        </w:rPr>
        <w:t>Objects of the Offer</w:t>
      </w:r>
    </w:p>
    <w:p>
      <w:pPr>
        <w:spacing w:after="80" w:line="276" w:lineRule="auto"/>
      </w:pPr>
      <w:r>
        <w:rPr>
          <w:rFonts w:ascii="Calibri" w:hAnsi="Calibri"/>
          <w:color w:val="1E293B"/>
          <w:sz w:val="22"/>
        </w:rPr>
        <w:t>The Net Proceeds are proposed to be utilised towards the following Objects:</w:t>
      </w:r>
    </w:p>
    <w:p>
      <w:pPr>
        <w:spacing w:after="80" w:line="276" w:lineRule="auto"/>
      </w:pPr>
      <w:r>
        <w:rPr>
          <w:rFonts w:ascii="Calibri" w:hAnsi="Calibri"/>
          <w:color w:val="1E293B"/>
          <w:sz w:val="22"/>
        </w:rPr>
        <w:t>(₹ in million)</w:t>
      </w:r>
    </w:p>
    <w:p>
      <w:pPr>
        <w:spacing w:after="80" w:line="276" w:lineRule="auto"/>
      </w:pPr>
      <w:r>
        <w:rPr>
          <w:rFonts w:ascii="Calibri" w:hAnsi="Calibri"/>
          <w:color w:val="1E293B"/>
          <w:sz w:val="22"/>
        </w:rPr>
        <w:t>Particulars</w:t>
      </w:r>
    </w:p>
    <w:p>
      <w:pPr>
        <w:spacing w:after="80" w:line="276" w:lineRule="auto"/>
      </w:pPr>
      <w:r>
        <w:rPr>
          <w:rFonts w:ascii="Calibri" w:hAnsi="Calibri"/>
          <w:color w:val="1E293B"/>
          <w:sz w:val="22"/>
        </w:rPr>
        <w:t>Estimated Amount</w:t>
      </w:r>
    </w:p>
    <w:p>
      <w:pPr>
        <w:spacing w:after="80" w:line="276" w:lineRule="auto"/>
      </w:pPr>
      <w:r>
        <w:rPr>
          <w:rFonts w:ascii="Calibri" w:hAnsi="Calibri"/>
          <w:color w:val="1E293B"/>
          <w:sz w:val="22"/>
        </w:rPr>
        <w:t>Prepayment and/or repayment, in full or in part, of all or a portion of Bluebird Capital LLP</w:t>
      </w:r>
    </w:p>
    <w:p>
      <w:pPr>
        <w:spacing w:after="80" w:line="276" w:lineRule="auto"/>
      </w:pPr>
      <w:r>
        <w:rPr>
          <w:rFonts w:ascii="Calibri" w:hAnsi="Calibri"/>
          <w:color w:val="1E293B"/>
          <w:sz w:val="22"/>
        </w:rPr>
        <w:t>2,259.77</w:t>
      </w:r>
    </w:p>
    <w:p>
      <w:pPr>
        <w:spacing w:after="80" w:line="276" w:lineRule="auto"/>
      </w:pPr>
      <w:r>
        <w:rPr>
          <w:rFonts w:ascii="Calibri" w:hAnsi="Calibri"/>
          <w:color w:val="1E293B"/>
          <w:sz w:val="22"/>
        </w:rPr>
        <w:t>Funding Acme Private Limited towards:</w:t>
      </w:r>
    </w:p>
    <w:p>
      <w:pPr>
        <w:spacing w:after="80" w:line="276" w:lineRule="auto"/>
      </w:pPr>
      <w:r>
        <w:rPr>
          <w:rFonts w:ascii="Calibri" w:hAnsi="Calibri"/>
          <w:color w:val="1E293B"/>
          <w:sz w:val="22"/>
        </w:rPr>
        <w:t>purchasing and setting up of new machinery for expansion at our Supa Facility</w:t>
      </w:r>
    </w:p>
    <w:p>
      <w:pPr>
        <w:spacing w:after="80" w:line="276" w:lineRule="auto"/>
      </w:pPr>
      <w:r>
        <w:rPr>
          <w:rFonts w:ascii="Calibri" w:hAnsi="Calibri"/>
          <w:color w:val="1E293B"/>
          <w:sz w:val="22"/>
        </w:rPr>
        <w:t>purchasing and setting up of new machinery at Unit 2 in Chakan, Pune in Maharashtra</w:t>
      </w:r>
    </w:p>
    <w:p>
      <w:pPr>
        <w:spacing w:after="80" w:line="276" w:lineRule="auto"/>
      </w:pPr>
      <w:r>
        <w:rPr>
          <w:rFonts w:ascii="Calibri" w:hAnsi="Calibri"/>
          <w:color w:val="1E293B"/>
          <w:sz w:val="22"/>
        </w:rPr>
        <w:t>870.17</w:t>
      </w:r>
    </w:p>
    <w:p>
      <w:pPr>
        <w:spacing w:after="80" w:line="276" w:lineRule="auto"/>
      </w:pPr>
      <w:r>
        <w:rPr>
          <w:rFonts w:ascii="Calibri" w:hAnsi="Calibri"/>
          <w:color w:val="1E293B"/>
          <w:sz w:val="22"/>
        </w:rPr>
        <w:t>Funding Acme Private Limited towards purchasing and setting up of a rooftop solar power plant for power generation at our Supa Facility</w:t>
      </w:r>
    </w:p>
    <w:p>
      <w:pPr>
        <w:spacing w:after="80" w:line="276" w:lineRule="auto"/>
      </w:pPr>
      <w:r>
        <w:rPr>
          <w:rFonts w:ascii="Calibri" w:hAnsi="Calibri"/>
          <w:color w:val="1E293B"/>
          <w:sz w:val="22"/>
        </w:rPr>
        <w:t>88.28</w:t>
      </w:r>
    </w:p>
    <w:p>
      <w:pPr>
        <w:spacing w:after="80" w:line="276" w:lineRule="auto"/>
      </w:pPr>
      <w:r>
        <w:rPr>
          <w:rFonts w:ascii="Calibri" w:hAnsi="Calibri"/>
          <w:color w:val="1E293B"/>
          <w:sz w:val="22"/>
        </w:rPr>
        <w:t>General corporate purposes(1)</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Net Proceeds(1)</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(1) To be finalised upon determination of the Offer Price and updated in the Prospectus prior to filing with the RoC. The amount utilised for general corporate purposes shall not exceed 25% of the Gross Proceeds.</w:t>
      </w:r>
    </w:p>
    <w:p>
      <w:pPr>
        <w:spacing w:after="80" w:line="276" w:lineRule="auto"/>
      </w:pPr>
      <w:r>
        <w:rPr>
          <w:rFonts w:ascii="Calibri" w:hAnsi="Calibri"/>
          <w:color w:val="1E293B"/>
          <w:sz w:val="22"/>
        </w:rPr>
        <w:t>For further information, see “Objects of the Offer” on page 106.</w:t>
      </w:r>
    </w:p>
    <w:p>
      <w:pPr>
        <w:spacing w:after="80" w:line="276" w:lineRule="auto"/>
      </w:pPr>
      <w:r>
        <w:rPr>
          <w:rFonts w:ascii="Calibri" w:hAnsi="Calibri"/>
          <w:color w:val="1E293B"/>
          <w:sz w:val="22"/>
        </w:rPr>
        <w:t>Aggregate pre-Offer and post-Offer shareholding of our Promoters, the members of our Promoter Group, Northstar Technologies Ltd</w:t>
      </w:r>
    </w:p>
    <w:p>
      <w:pPr>
        <w:spacing w:after="80" w:line="276" w:lineRule="auto"/>
      </w:pPr>
      <w:r>
        <w:rPr>
          <w:rFonts w:ascii="Calibri" w:hAnsi="Calibri"/>
          <w:color w:val="1E293B"/>
          <w:sz w:val="22"/>
        </w:rPr>
        <w:t>The aggregate pre-Offer and post-Offer shareholding of our Promoters, the members of our Promoter Group and Promoter Selling Shareholders as on the date of this Red Herring Prospectus is set out below:</w:t>
      </w:r>
    </w:p>
    <w:p>
      <w:pPr>
        <w:spacing w:after="80" w:line="276" w:lineRule="auto"/>
      </w:pPr>
      <w:r>
        <w:rPr>
          <w:rFonts w:ascii="Calibri" w:hAnsi="Calibri"/>
          <w:color w:val="1E293B"/>
          <w:sz w:val="22"/>
        </w:rPr>
        <w:t>S.</w:t>
      </w:r>
    </w:p>
    <w:p>
      <w:pPr>
        <w:spacing w:after="80" w:line="276" w:lineRule="auto"/>
      </w:pPr>
      <w:r>
        <w:rPr>
          <w:rFonts w:ascii="Calibri" w:hAnsi="Calibri"/>
          <w:color w:val="1E293B"/>
          <w:sz w:val="22"/>
        </w:rPr>
        <w:t>No.</w:t>
      </w:r>
    </w:p>
    <w:p>
      <w:pPr>
        <w:spacing w:after="80" w:line="276" w:lineRule="auto"/>
      </w:pPr>
      <w:r>
        <w:rPr>
          <w:rFonts w:ascii="Calibri" w:hAnsi="Calibri"/>
          <w:color w:val="1E293B"/>
          <w:sz w:val="22"/>
        </w:rPr>
        <w:t>Name John Doe</w:t>
      </w:r>
    </w:p>
    <w:p>
      <w:pPr>
        <w:spacing w:after="80" w:line="276" w:lineRule="auto"/>
      </w:pPr>
      <w:r>
        <w:rPr>
          <w:rFonts w:ascii="Calibri" w:hAnsi="Calibri"/>
          <w:color w:val="1E293B"/>
          <w:sz w:val="22"/>
        </w:rPr>
        <w:t>Pre-Offer equity share capital</w:t>
      </w:r>
    </w:p>
    <w:p>
      <w:pPr>
        <w:spacing w:after="80" w:line="276" w:lineRule="auto"/>
      </w:pPr>
      <w:r>
        <w:rPr>
          <w:rFonts w:ascii="Calibri" w:hAnsi="Calibri"/>
          <w:color w:val="1E293B"/>
          <w:sz w:val="22"/>
        </w:rPr>
        <w:t>Post-Offer equity share capital^</w:t>
      </w:r>
    </w:p>
    <w:p>
      <w:pPr>
        <w:spacing w:after="80" w:line="276" w:lineRule="auto"/>
      </w:pPr>
      <w:r>
        <w:rPr>
          <w:rFonts w:ascii="Calibri" w:hAnsi="Calibri"/>
          <w:color w:val="1E293B"/>
          <w:sz w:val="22"/>
        </w:rPr>
        <w:t>No. of Equity Shares of face value of ₹5 each</w:t>
      </w:r>
    </w:p>
    <w:p>
      <w:pPr>
        <w:spacing w:after="80" w:line="276" w:lineRule="auto"/>
      </w:pPr>
      <w:r>
        <w:rPr>
          <w:rFonts w:ascii="Calibri" w:hAnsi="Calibri"/>
          <w:color w:val="1E293B"/>
          <w:sz w:val="22"/>
        </w:rPr>
        <w:t>% of paid-up Equity Share capital</w:t>
      </w:r>
    </w:p>
    <w:p>
      <w:pPr>
        <w:spacing w:after="80" w:line="276" w:lineRule="auto"/>
      </w:pPr>
      <w:r>
        <w:rPr>
          <w:rFonts w:ascii="Calibri" w:hAnsi="Calibri"/>
          <w:color w:val="1E293B"/>
          <w:sz w:val="22"/>
        </w:rPr>
        <w:t>No. of Equity Shares of face value of ₹5 each</w:t>
      </w:r>
    </w:p>
    <w:p>
      <w:pPr>
        <w:spacing w:after="80" w:line="276" w:lineRule="auto"/>
      </w:pPr>
      <w:r>
        <w:rPr>
          <w:rFonts w:ascii="Calibri" w:hAnsi="Calibri"/>
          <w:color w:val="1E293B"/>
          <w:sz w:val="22"/>
        </w:rPr>
        <w:t>% of paid-up Equity Share capital</w:t>
      </w:r>
    </w:p>
    <w:p>
      <w:pPr>
        <w:spacing w:after="80" w:line="276" w:lineRule="auto"/>
      </w:pPr>
      <w:r>
        <w:rPr>
          <w:rFonts w:ascii="Calibri" w:hAnsi="Calibri"/>
          <w:color w:val="1E293B"/>
          <w:sz w:val="22"/>
        </w:rPr>
        <w:t>Promoters</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Kushal Subbayya Hegde*</w:t>
      </w:r>
    </w:p>
    <w:p>
      <w:pPr>
        <w:spacing w:after="80" w:line="276" w:lineRule="auto"/>
      </w:pPr>
      <w:r>
        <w:rPr>
          <w:rFonts w:ascii="Calibri" w:hAnsi="Calibri"/>
          <w:color w:val="1E293B"/>
          <w:sz w:val="22"/>
        </w:rPr>
        <w:t>26,704,570</w:t>
      </w:r>
    </w:p>
    <w:p>
      <w:pPr>
        <w:spacing w:after="80" w:line="276" w:lineRule="auto"/>
      </w:pPr>
      <w:r>
        <w:rPr>
          <w:rFonts w:ascii="Calibri" w:hAnsi="Calibri"/>
          <w:color w:val="1E293B"/>
          <w:sz w:val="22"/>
        </w:rPr>
        <w:t>47.00%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2.</w:t>
      </w:r>
    </w:p>
    <w:p>
      <w:pPr>
        <w:spacing w:after="80" w:line="276" w:lineRule="auto"/>
      </w:pPr>
      <w:r>
        <w:rPr>
          <w:rFonts w:ascii="Calibri" w:hAnsi="Calibri"/>
          <w:color w:val="1E293B"/>
          <w:sz w:val="22"/>
        </w:rPr>
        <w:t>Pushpa Kushal Hegde*</w:t>
      </w:r>
    </w:p>
    <w:p>
      <w:pPr>
        <w:spacing w:after="80" w:line="276" w:lineRule="auto"/>
      </w:pPr>
      <w:r>
        <w:rPr>
          <w:rFonts w:ascii="Calibri" w:hAnsi="Calibri"/>
          <w:color w:val="1E293B"/>
          <w:sz w:val="22"/>
        </w:rPr>
        <w:t>7,386,270</w:t>
      </w:r>
    </w:p>
    <w:p>
      <w:pPr>
        <w:spacing w:after="80" w:line="276" w:lineRule="auto"/>
      </w:pPr>
      <w:r>
        <w:rPr>
          <w:rFonts w:ascii="Calibri" w:hAnsi="Calibri"/>
          <w:color w:val="1E293B"/>
          <w:sz w:val="22"/>
        </w:rPr>
        <w:t>13.00%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3.</w:t>
      </w:r>
    </w:p>
    <w:p>
      <w:pPr>
        <w:spacing w:after="80" w:line="276" w:lineRule="auto"/>
      </w:pPr>
      <w:r>
        <w:rPr>
          <w:rFonts w:ascii="Calibri" w:hAnsi="Calibri"/>
          <w:color w:val="1E293B"/>
          <w:sz w:val="22"/>
        </w:rPr>
        <w:t>Rajesh Kushal Hegde*</w:t>
      </w:r>
    </w:p>
    <w:p>
      <w:pPr>
        <w:spacing w:after="80" w:line="276" w:lineRule="auto"/>
      </w:pPr>
      <w:r>
        <w:rPr>
          <w:rFonts w:ascii="Calibri" w:hAnsi="Calibri"/>
          <w:color w:val="1E293B"/>
          <w:sz w:val="22"/>
        </w:rPr>
        <w:t>10,907,771</w:t>
      </w:r>
    </w:p>
    <w:p>
      <w:pPr>
        <w:spacing w:after="80" w:line="276" w:lineRule="auto"/>
      </w:pPr>
      <w:r>
        <w:rPr>
          <w:rFonts w:ascii="Calibri" w:hAnsi="Calibri"/>
          <w:color w:val="1E293B"/>
          <w:sz w:val="22"/>
        </w:rPr>
        <w:t>19.20%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4.</w:t>
      </w:r>
    </w:p>
    <w:p>
      <w:pPr>
        <w:spacing w:after="80" w:line="276" w:lineRule="auto"/>
      </w:pPr>
      <w:r>
        <w:rPr>
          <w:rFonts w:ascii="Calibri" w:hAnsi="Calibri"/>
          <w:color w:val="1E293B"/>
          <w:sz w:val="22"/>
        </w:rPr>
        <w:t>Rohit Kushal Hegde*</w:t>
      </w:r>
    </w:p>
    <w:p>
      <w:pPr>
        <w:spacing w:after="80" w:line="276" w:lineRule="auto"/>
      </w:pPr>
      <w:r>
        <w:rPr>
          <w:rFonts w:ascii="Calibri" w:hAnsi="Calibri"/>
          <w:color w:val="1E293B"/>
          <w:sz w:val="22"/>
        </w:rPr>
        <w:t>10,907,771</w:t>
      </w:r>
    </w:p>
    <w:p>
      <w:pPr>
        <w:spacing w:after="80" w:line="276" w:lineRule="auto"/>
      </w:pPr>
      <w:r>
        <w:rPr>
          <w:rFonts w:ascii="Calibri" w:hAnsi="Calibri"/>
          <w:color w:val="1E293B"/>
          <w:sz w:val="22"/>
        </w:rPr>
        <w:t>19.20%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5.</w:t>
      </w:r>
    </w:p>
    <w:p>
      <w:pPr>
        <w:spacing w:after="80" w:line="276" w:lineRule="auto"/>
      </w:pPr>
      <w:r>
        <w:rPr>
          <w:rFonts w:ascii="Calibri" w:hAnsi="Calibri"/>
          <w:color w:val="1E293B"/>
          <w:sz w:val="22"/>
        </w:rPr>
        <w:t>Rakhi Girija Shetty</w:t>
      </w:r>
    </w:p>
    <w:p>
      <w:pPr>
        <w:spacing w:after="80" w:line="276" w:lineRule="auto"/>
      </w:pPr>
      <w:r>
        <w:rPr>
          <w:rFonts w:ascii="Calibri" w:hAnsi="Calibri"/>
          <w:color w:val="1E293B"/>
          <w:sz w:val="22"/>
        </w:rPr>
        <w:t>100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6.</w:t>
      </w:r>
    </w:p>
    <w:p>
      <w:pPr>
        <w:spacing w:after="80" w:line="276" w:lineRule="auto"/>
      </w:pPr>
      <w:r>
        <w:rPr>
          <w:rFonts w:ascii="Calibri" w:hAnsi="Calibri"/>
          <w:color w:val="1E293B"/>
          <w:sz w:val="22"/>
        </w:rPr>
        <w:t>Dhaulagiri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7.</w:t>
      </w:r>
    </w:p>
    <w:p>
      <w:pPr>
        <w:spacing w:after="80" w:line="276" w:lineRule="auto"/>
      </w:pPr>
      <w:r>
        <w:rPr>
          <w:rFonts w:ascii="Calibri" w:hAnsi="Calibri"/>
          <w:color w:val="1E293B"/>
          <w:sz w:val="22"/>
        </w:rPr>
        <w:t>Everest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8.</w:t>
      </w:r>
    </w:p>
    <w:p>
      <w:pPr>
        <w:spacing w:after="80" w:line="276" w:lineRule="auto"/>
      </w:pPr>
      <w:r>
        <w:rPr>
          <w:rFonts w:ascii="Calibri" w:hAnsi="Calibri"/>
          <w:color w:val="1E293B"/>
          <w:sz w:val="22"/>
        </w:rPr>
        <w:t>Makalu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9.</w:t>
      </w:r>
    </w:p>
    <w:p>
      <w:pPr>
        <w:spacing w:after="80" w:line="276" w:lineRule="auto"/>
      </w:pPr>
      <w:r>
        <w:rPr>
          <w:rFonts w:ascii="Calibri" w:hAnsi="Calibri"/>
          <w:color w:val="1E293B"/>
          <w:sz w:val="22"/>
        </w:rPr>
        <w:t>Broad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Annapurna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11.</w:t>
      </w:r>
    </w:p>
    <w:p>
      <w:pPr>
        <w:spacing w:after="80" w:line="276" w:lineRule="auto"/>
      </w:pPr>
      <w:r>
        <w:rPr>
          <w:rFonts w:ascii="Calibri" w:hAnsi="Calibri"/>
          <w:color w:val="1E293B"/>
          <w:sz w:val="22"/>
        </w:rPr>
        <w:t>Kanchenjunga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Sub-total (A)</w:t>
      </w:r>
    </w:p>
    <w:p>
      <w:pPr>
        <w:spacing w:after="80" w:line="276" w:lineRule="auto"/>
      </w:pPr>
      <w:r>
        <w:rPr>
          <w:rFonts w:ascii="Calibri" w:hAnsi="Calibri"/>
          <w:color w:val="1E293B"/>
          <w:sz w:val="22"/>
        </w:rPr>
        <w:t>55,906,542</w:t>
      </w:r>
    </w:p>
    <w:p>
      <w:pPr>
        <w:spacing w:after="80" w:line="276" w:lineRule="auto"/>
      </w:pPr>
      <w:r>
        <w:rPr>
          <w:rFonts w:ascii="Calibri" w:hAnsi="Calibri"/>
          <w:color w:val="1E293B"/>
          <w:sz w:val="22"/>
        </w:rPr>
        <w:t>98.40%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Promoter Group</w:t>
      </w:r>
    </w:p>
    <w:p>
      <w:pPr>
        <w:spacing w:after="80" w:line="276" w:lineRule="auto"/>
      </w:pPr>
      <w:r>
        <w:rPr>
          <w:rFonts w:ascii="Calibri" w:hAnsi="Calibri"/>
          <w:color w:val="1E293B"/>
          <w:sz w:val="22"/>
        </w:rPr>
        <w:t>12.</w:t>
      </w:r>
    </w:p>
    <w:p>
      <w:pPr>
        <w:spacing w:after="80" w:line="276" w:lineRule="auto"/>
      </w:pPr>
      <w:r>
        <w:rPr>
          <w:rFonts w:ascii="Calibri" w:hAnsi="Calibri"/>
          <w:color w:val="1E293B"/>
          <w:sz w:val="22"/>
        </w:rPr>
        <w:t>Maithili Rajesh Hegde</w:t>
      </w:r>
    </w:p>
    <w:p>
      <w:pPr>
        <w:spacing w:after="80" w:line="276" w:lineRule="auto"/>
      </w:pPr>
      <w:r>
        <w:rPr>
          <w:rFonts w:ascii="Calibri" w:hAnsi="Calibri"/>
          <w:color w:val="1E293B"/>
          <w:sz w:val="22"/>
        </w:rPr>
        <w:t>100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13.</w:t>
      </w:r>
    </w:p>
    <w:p>
      <w:pPr>
        <w:spacing w:after="80" w:line="276" w:lineRule="auto"/>
      </w:pPr>
      <w:r>
        <w:rPr>
          <w:rFonts w:ascii="Calibri" w:hAnsi="Calibri"/>
          <w:color w:val="1E293B"/>
          <w:sz w:val="22"/>
        </w:rPr>
        <w:t>Katyayani Balasubramanian</w:t>
      </w:r>
    </w:p>
    <w:p>
      <w:pPr>
        <w:spacing w:after="80" w:line="276" w:lineRule="auto"/>
      </w:pPr>
      <w:r>
        <w:rPr>
          <w:rFonts w:ascii="Calibri" w:hAnsi="Calibri"/>
          <w:color w:val="1E293B"/>
          <w:sz w:val="22"/>
        </w:rPr>
        <w:t>100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Sub-total (B)</w:t>
      </w:r>
    </w:p>
    <w:p>
      <w:pPr>
        <w:spacing w:after="80" w:line="276" w:lineRule="auto"/>
      </w:pPr>
      <w:r>
        <w:rPr>
          <w:rFonts w:ascii="Calibri" w:hAnsi="Calibri"/>
          <w:color w:val="1E293B"/>
          <w:sz w:val="22"/>
        </w:rPr>
        <w:t>200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Total (A + B)</w:t>
      </w:r>
    </w:p>
    <w:p>
      <w:pPr>
        <w:spacing w:after="80" w:line="276" w:lineRule="auto"/>
      </w:pPr>
      <w:r>
        <w:rPr>
          <w:rFonts w:ascii="Calibri" w:hAnsi="Calibri"/>
          <w:color w:val="1E293B"/>
          <w:sz w:val="22"/>
        </w:rPr>
        <w:t>55,906,742</w:t>
      </w:r>
    </w:p>
    <w:p>
      <w:pPr>
        <w:spacing w:after="80" w:line="276" w:lineRule="auto"/>
      </w:pPr>
      <w:r>
        <w:rPr>
          <w:rFonts w:ascii="Calibri" w:hAnsi="Calibri"/>
          <w:color w:val="1E293B"/>
          <w:sz w:val="22"/>
        </w:rPr>
        <w:t>98.40%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*Also, the Promoter Selling Shareholder.</w:t>
      </w:r>
    </w:p>
    <w:p>
      <w:pPr>
        <w:spacing w:after="80" w:line="276" w:lineRule="auto"/>
      </w:pPr>
      <w:r>
        <w:rPr>
          <w:rFonts w:ascii="Calibri" w:hAnsi="Calibri"/>
          <w:color w:val="1E293B"/>
          <w:sz w:val="22"/>
        </w:rPr>
        <w:t>**The number is negligible and below the Bluebird Capital LLP.</w:t>
      </w:r>
    </w:p>
    <w:p>
      <w:pPr>
        <w:spacing w:after="80" w:line="276" w:lineRule="auto"/>
      </w:pPr>
      <w:r>
        <w:rPr>
          <w:rFonts w:ascii="Calibri" w:hAnsi="Calibri"/>
          <w:color w:val="1E293B"/>
          <w:sz w:val="22"/>
        </w:rPr>
        <w:t>^Subject to completion of the Offer and finalisation of the Basis of Allotment.</w:t>
      </w:r>
    </w:p>
    <w:p>
      <w:pPr>
        <w:spacing w:after="80" w:line="276" w:lineRule="auto"/>
      </w:pPr>
      <w:r>
        <w:rPr>
          <w:rFonts w:ascii="Calibri" w:hAnsi="Calibri"/>
          <w:color w:val="1E293B"/>
          <w:sz w:val="22"/>
        </w:rPr>
        <w:t>For further details, see “Capital Structure” on page 84.</w:t>
      </w:r>
    </w:p>
    <w:p>
      <w:pPr>
        <w:spacing w:after="80" w:line="276" w:lineRule="auto"/>
      </w:pPr>
      <w:r>
        <w:rPr>
          <w:rFonts w:ascii="Calibri" w:hAnsi="Calibri"/>
          <w:color w:val="1E293B"/>
          <w:sz w:val="22"/>
        </w:rPr>
        <w:t>Aggregate pre-Offer and post-Offer shareholding of our Promoters, members of our Promoter Group and the additional top 10 Acme Private Limited</w:t>
      </w:r>
    </w:p>
    <w:p>
      <w:pPr>
        <w:spacing w:after="80" w:line="276" w:lineRule="auto"/>
      </w:pPr>
      <w:r>
        <w:rPr>
          <w:rFonts w:ascii="Calibri" w:hAnsi="Calibri"/>
          <w:color w:val="1E293B"/>
          <w:sz w:val="22"/>
        </w:rPr>
        <w:t>The aggregate pre-Offer and post-Offer shareholding of our Promoters, members of our Promoter Group and additional top 10 Shareholders (apart from Promoters and members of our Promoter Group) as a percentage of the pre-Offer and post-Offer Northstar Technologies Ltd is set out below:</w:t>
      </w:r>
    </w:p>
    <w:p>
      <w:pPr>
        <w:spacing w:after="80" w:line="276" w:lineRule="auto"/>
      </w:pPr>
      <w:r>
        <w:rPr>
          <w:rFonts w:ascii="Calibri" w:hAnsi="Calibri"/>
          <w:color w:val="1E293B"/>
          <w:sz w:val="22"/>
        </w:rPr>
        <w:t>Name</w:t>
      </w:r>
    </w:p>
    <w:p>
      <w:pPr>
        <w:spacing w:after="80" w:line="276" w:lineRule="auto"/>
      </w:pPr>
      <w:r>
        <w:rPr>
          <w:rFonts w:ascii="Calibri" w:hAnsi="Calibri"/>
          <w:color w:val="1E293B"/>
          <w:sz w:val="22"/>
        </w:rPr>
        <w:t>Pre-Offer</w:t>
      </w:r>
    </w:p>
    <w:p>
      <w:pPr>
        <w:spacing w:after="80" w:line="276" w:lineRule="auto"/>
      </w:pPr>
      <w:r>
        <w:rPr>
          <w:rFonts w:ascii="Calibri" w:hAnsi="Calibri"/>
          <w:color w:val="1E293B"/>
          <w:sz w:val="22"/>
        </w:rPr>
        <w:t>Post-Offer shareholding as at Allotment^</w:t>
      </w:r>
    </w:p>
    <w:p>
      <w:pPr>
        <w:spacing w:after="80" w:line="276" w:lineRule="auto"/>
      </w:pPr>
      <w:r>
        <w:rPr>
          <w:rFonts w:ascii="Calibri" w:hAnsi="Calibri"/>
          <w:color w:val="1E293B"/>
          <w:sz w:val="22"/>
        </w:rPr>
        <w:t>Number of Equity Shares of face value of</w:t>
      </w:r>
    </w:p>
    <w:p>
      <w:pPr>
        <w:spacing w:after="80" w:line="276" w:lineRule="auto"/>
      </w:pPr>
      <w:r>
        <w:rPr>
          <w:rFonts w:ascii="Calibri" w:hAnsi="Calibri"/>
          <w:color w:val="1E293B"/>
          <w:sz w:val="22"/>
        </w:rPr>
        <w:t>₹5 each</w:t>
      </w:r>
    </w:p>
    <w:p>
      <w:pPr>
        <w:spacing w:after="80" w:line="276" w:lineRule="auto"/>
      </w:pPr>
      <w:r>
        <w:rPr>
          <w:rFonts w:ascii="Calibri" w:hAnsi="Calibri"/>
          <w:color w:val="1E293B"/>
          <w:sz w:val="22"/>
        </w:rPr>
        <w:t>Percentage of pre-Offer Equity Share capital (%)</w:t>
      </w:r>
    </w:p>
    <w:p>
      <w:pPr>
        <w:spacing w:after="80" w:line="276" w:lineRule="auto"/>
      </w:pPr>
      <w:r>
        <w:rPr>
          <w:rFonts w:ascii="Calibri" w:hAnsi="Calibri"/>
          <w:color w:val="1E293B"/>
          <w:sz w:val="22"/>
        </w:rPr>
        <w:t>At the lower end of the price band (₹[●])</w:t>
      </w:r>
    </w:p>
    <w:p>
      <w:pPr>
        <w:spacing w:after="80" w:line="276" w:lineRule="auto"/>
      </w:pPr>
      <w:r>
        <w:rPr>
          <w:rFonts w:ascii="Calibri" w:hAnsi="Calibri"/>
          <w:color w:val="1E293B"/>
          <w:sz w:val="22"/>
        </w:rPr>
        <w:t>At the upper end of the price band (₹[●])</w:t>
      </w:r>
    </w:p>
    <w:p>
      <w:pPr>
        <w:spacing w:after="80" w:line="276" w:lineRule="auto"/>
      </w:pPr>
      <w:r>
        <w:rPr>
          <w:rFonts w:ascii="Calibri" w:hAnsi="Calibri"/>
          <w:color w:val="1E293B"/>
          <w:sz w:val="22"/>
        </w:rPr>
        <w:t>Number of Equity Shares of</w:t>
      </w:r>
    </w:p>
    <w:p>
      <w:pPr>
        <w:spacing w:after="80" w:line="276" w:lineRule="auto"/>
      </w:pPr>
      <w:r>
        <w:rPr>
          <w:rFonts w:ascii="Calibri" w:hAnsi="Calibri"/>
          <w:color w:val="1E293B"/>
          <w:sz w:val="22"/>
        </w:rPr>
        <w:t>face value of ₹5 each</w:t>
      </w:r>
    </w:p>
    <w:p>
      <w:pPr>
        <w:spacing w:after="80" w:line="276" w:lineRule="auto"/>
      </w:pPr>
      <w:r>
        <w:rPr>
          <w:rFonts w:ascii="Calibri" w:hAnsi="Calibri"/>
          <w:color w:val="1E293B"/>
          <w:sz w:val="22"/>
        </w:rPr>
        <w:t>Percentage of post-Offer Equity Share capital (%)</w:t>
      </w:r>
    </w:p>
    <w:p>
      <w:pPr>
        <w:spacing w:after="80" w:line="276" w:lineRule="auto"/>
      </w:pPr>
      <w:r>
        <w:rPr>
          <w:rFonts w:ascii="Calibri" w:hAnsi="Calibri"/>
          <w:color w:val="1E293B"/>
          <w:sz w:val="22"/>
        </w:rPr>
        <w:t>Number of Equity Shares of</w:t>
      </w:r>
    </w:p>
    <w:p>
      <w:pPr>
        <w:spacing w:after="80" w:line="276" w:lineRule="auto"/>
      </w:pPr>
      <w:r>
        <w:rPr>
          <w:rFonts w:ascii="Calibri" w:hAnsi="Calibri"/>
          <w:color w:val="1E293B"/>
          <w:sz w:val="22"/>
        </w:rPr>
        <w:t>face value of ₹5 each</w:t>
      </w:r>
    </w:p>
    <w:p>
      <w:pPr>
        <w:spacing w:after="80" w:line="276" w:lineRule="auto"/>
      </w:pPr>
      <w:r>
        <w:rPr>
          <w:rFonts w:ascii="Calibri" w:hAnsi="Calibri"/>
          <w:color w:val="1E293B"/>
          <w:sz w:val="22"/>
        </w:rPr>
        <w:t>Percentage of post-Offer</w:t>
      </w:r>
    </w:p>
    <w:p>
      <w:pPr>
        <w:spacing w:after="80" w:line="276" w:lineRule="auto"/>
      </w:pPr>
      <w:r>
        <w:rPr>
          <w:rFonts w:ascii="Calibri" w:hAnsi="Calibri"/>
          <w:color w:val="1E293B"/>
          <w:sz w:val="22"/>
        </w:rPr>
        <w:t>Equity Share capital (%)</w:t>
      </w:r>
    </w:p>
    <w:p>
      <w:pPr>
        <w:spacing w:after="80" w:line="276" w:lineRule="auto"/>
      </w:pPr>
      <w:r>
        <w:rPr>
          <w:rFonts w:ascii="Calibri" w:hAnsi="Calibri"/>
          <w:color w:val="1E293B"/>
          <w:sz w:val="22"/>
        </w:rPr>
        <w:t>Promoters</w:t>
      </w:r>
    </w:p>
    <w:p>
      <w:pPr>
        <w:spacing w:after="80" w:line="276" w:lineRule="auto"/>
      </w:pPr>
      <w:r>
        <w:rPr>
          <w:rFonts w:ascii="Calibri" w:hAnsi="Calibri"/>
          <w:color w:val="1E293B"/>
          <w:sz w:val="22"/>
        </w:rPr>
        <w:t>KushalSubbayya Hegde*</w:t>
      </w:r>
    </w:p>
    <w:p>
      <w:pPr>
        <w:spacing w:after="80" w:line="276" w:lineRule="auto"/>
      </w:pPr>
      <w:r>
        <w:rPr>
          <w:rFonts w:ascii="Calibri" w:hAnsi="Calibri"/>
          <w:color w:val="1E293B"/>
          <w:sz w:val="22"/>
        </w:rPr>
        <w:t>26,704,570</w:t>
      </w:r>
    </w:p>
    <w:p>
      <w:pPr>
        <w:spacing w:after="80" w:line="276" w:lineRule="auto"/>
      </w:pPr>
      <w:r>
        <w:rPr>
          <w:rFonts w:ascii="Calibri" w:hAnsi="Calibri"/>
          <w:color w:val="1E293B"/>
          <w:sz w:val="22"/>
        </w:rPr>
        <w:t>47.00%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Name</w:t>
      </w:r>
    </w:p>
    <w:p>
      <w:pPr>
        <w:spacing w:after="80" w:line="276" w:lineRule="auto"/>
      </w:pPr>
      <w:r>
        <w:rPr>
          <w:rFonts w:ascii="Calibri" w:hAnsi="Calibri"/>
          <w:color w:val="1E293B"/>
          <w:sz w:val="22"/>
        </w:rPr>
        <w:t>Pre-Offer</w:t>
      </w:r>
    </w:p>
    <w:p>
      <w:pPr>
        <w:spacing w:after="80" w:line="276" w:lineRule="auto"/>
      </w:pPr>
      <w:r>
        <w:rPr>
          <w:rFonts w:ascii="Calibri" w:hAnsi="Calibri"/>
          <w:color w:val="1E293B"/>
          <w:sz w:val="22"/>
        </w:rPr>
        <w:t>Post-Offer shareholding as at Allotment^</w:t>
      </w:r>
    </w:p>
    <w:p>
      <w:pPr>
        <w:spacing w:after="80" w:line="276" w:lineRule="auto"/>
      </w:pPr>
      <w:r>
        <w:rPr>
          <w:rFonts w:ascii="Calibri" w:hAnsi="Calibri"/>
          <w:color w:val="1E293B"/>
          <w:sz w:val="22"/>
        </w:rPr>
        <w:t>Number of Equity Shares of face value of</w:t>
      </w:r>
    </w:p>
    <w:p>
      <w:pPr>
        <w:spacing w:after="80" w:line="276" w:lineRule="auto"/>
      </w:pPr>
      <w:r>
        <w:rPr>
          <w:rFonts w:ascii="Calibri" w:hAnsi="Calibri"/>
          <w:color w:val="1E293B"/>
          <w:sz w:val="22"/>
        </w:rPr>
        <w:t>₹5 each</w:t>
      </w:r>
    </w:p>
    <w:p>
      <w:pPr>
        <w:spacing w:after="80" w:line="276" w:lineRule="auto"/>
      </w:pPr>
      <w:r>
        <w:rPr>
          <w:rFonts w:ascii="Calibri" w:hAnsi="Calibri"/>
          <w:color w:val="1E293B"/>
          <w:sz w:val="22"/>
        </w:rPr>
        <w:t>Percentage of pre-Offer Equity Share capital (%)</w:t>
      </w:r>
    </w:p>
    <w:p>
      <w:pPr>
        <w:spacing w:after="80" w:line="276" w:lineRule="auto"/>
      </w:pPr>
      <w:r>
        <w:rPr>
          <w:rFonts w:ascii="Calibri" w:hAnsi="Calibri"/>
          <w:color w:val="1E293B"/>
          <w:sz w:val="22"/>
        </w:rPr>
        <w:t>At the lower end of the price band (₹[●])</w:t>
      </w:r>
    </w:p>
    <w:p>
      <w:pPr>
        <w:spacing w:after="80" w:line="276" w:lineRule="auto"/>
      </w:pPr>
      <w:r>
        <w:rPr>
          <w:rFonts w:ascii="Calibri" w:hAnsi="Calibri"/>
          <w:color w:val="1E293B"/>
          <w:sz w:val="22"/>
        </w:rPr>
        <w:t>At the upper end of the price band (₹[●])</w:t>
      </w:r>
    </w:p>
    <w:p>
      <w:pPr>
        <w:spacing w:after="80" w:line="276" w:lineRule="auto"/>
      </w:pPr>
      <w:r>
        <w:rPr>
          <w:rFonts w:ascii="Calibri" w:hAnsi="Calibri"/>
          <w:color w:val="1E293B"/>
          <w:sz w:val="22"/>
        </w:rPr>
        <w:t>Number of Equity Shares of face value of ₹5</w:t>
      </w:r>
    </w:p>
    <w:p>
      <w:pPr>
        <w:spacing w:after="80" w:line="276" w:lineRule="auto"/>
      </w:pPr>
      <w:r>
        <w:rPr>
          <w:rFonts w:ascii="Calibri" w:hAnsi="Calibri"/>
          <w:color w:val="1E293B"/>
          <w:sz w:val="22"/>
        </w:rPr>
        <w:t>each</w:t>
      </w:r>
    </w:p>
    <w:p>
      <w:pPr>
        <w:spacing w:after="80" w:line="276" w:lineRule="auto"/>
      </w:pPr>
      <w:r>
        <w:rPr>
          <w:rFonts w:ascii="Calibri" w:hAnsi="Calibri"/>
          <w:color w:val="1E293B"/>
          <w:sz w:val="22"/>
        </w:rPr>
        <w:t>Percentage of post-Offer Equity Share capital (%)</w:t>
      </w:r>
    </w:p>
    <w:p>
      <w:pPr>
        <w:spacing w:after="80" w:line="276" w:lineRule="auto"/>
      </w:pPr>
      <w:r>
        <w:rPr>
          <w:rFonts w:ascii="Calibri" w:hAnsi="Calibri"/>
          <w:color w:val="1E293B"/>
          <w:sz w:val="22"/>
        </w:rPr>
        <w:t>Number of Equity Shares of face value of ₹5</w:t>
      </w:r>
    </w:p>
    <w:p>
      <w:pPr>
        <w:spacing w:after="80" w:line="276" w:lineRule="auto"/>
      </w:pPr>
      <w:r>
        <w:rPr>
          <w:rFonts w:ascii="Calibri" w:hAnsi="Calibri"/>
          <w:color w:val="1E293B"/>
          <w:sz w:val="22"/>
        </w:rPr>
        <w:t>each</w:t>
      </w:r>
    </w:p>
    <w:p>
      <w:pPr>
        <w:spacing w:after="80" w:line="276" w:lineRule="auto"/>
      </w:pPr>
      <w:r>
        <w:rPr>
          <w:rFonts w:ascii="Calibri" w:hAnsi="Calibri"/>
          <w:color w:val="1E293B"/>
          <w:sz w:val="22"/>
        </w:rPr>
        <w:t>Percentage of post-Offer Equity Share</w:t>
      </w:r>
    </w:p>
    <w:p>
      <w:pPr>
        <w:spacing w:after="80" w:line="276" w:lineRule="auto"/>
      </w:pPr>
      <w:r>
        <w:rPr>
          <w:rFonts w:ascii="Calibri" w:hAnsi="Calibri"/>
          <w:color w:val="1E293B"/>
          <w:sz w:val="22"/>
        </w:rPr>
        <w:t>capital (%)</w:t>
      </w:r>
    </w:p>
    <w:p>
      <w:pPr>
        <w:spacing w:after="80" w:line="276" w:lineRule="auto"/>
      </w:pPr>
      <w:r>
        <w:rPr>
          <w:rFonts w:ascii="Calibri" w:hAnsi="Calibri"/>
          <w:color w:val="1E293B"/>
          <w:sz w:val="22"/>
        </w:rPr>
        <w:t>PushpaKushal Hegde*</w:t>
      </w:r>
    </w:p>
    <w:p>
      <w:pPr>
        <w:spacing w:after="80" w:line="276" w:lineRule="auto"/>
      </w:pPr>
      <w:r>
        <w:rPr>
          <w:rFonts w:ascii="Calibri" w:hAnsi="Calibri"/>
          <w:color w:val="1E293B"/>
          <w:sz w:val="22"/>
        </w:rPr>
        <w:t>7,386,270</w:t>
      </w:r>
    </w:p>
    <w:p>
      <w:pPr>
        <w:spacing w:after="80" w:line="276" w:lineRule="auto"/>
      </w:pPr>
      <w:r>
        <w:rPr>
          <w:rFonts w:ascii="Calibri" w:hAnsi="Calibri"/>
          <w:color w:val="1E293B"/>
          <w:sz w:val="22"/>
        </w:rPr>
        <w:t>13.00%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RajeshKushal Hegde*</w:t>
      </w:r>
    </w:p>
    <w:p>
      <w:pPr>
        <w:spacing w:after="80" w:line="276" w:lineRule="auto"/>
      </w:pPr>
      <w:r>
        <w:rPr>
          <w:rFonts w:ascii="Calibri" w:hAnsi="Calibri"/>
          <w:color w:val="1E293B"/>
          <w:sz w:val="22"/>
        </w:rPr>
        <w:t>10,907,771</w:t>
      </w:r>
    </w:p>
    <w:p>
      <w:pPr>
        <w:spacing w:after="80" w:line="276" w:lineRule="auto"/>
      </w:pPr>
      <w:r>
        <w:rPr>
          <w:rFonts w:ascii="Calibri" w:hAnsi="Calibri"/>
          <w:color w:val="1E293B"/>
          <w:sz w:val="22"/>
        </w:rPr>
        <w:t>19.20%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RohitKushal Hegde*</w:t>
      </w:r>
    </w:p>
    <w:p>
      <w:pPr>
        <w:spacing w:after="80" w:line="276" w:lineRule="auto"/>
      </w:pPr>
      <w:r>
        <w:rPr>
          <w:rFonts w:ascii="Calibri" w:hAnsi="Calibri"/>
          <w:color w:val="1E293B"/>
          <w:sz w:val="22"/>
        </w:rPr>
        <w:t>10,907,771</w:t>
      </w:r>
    </w:p>
    <w:p>
      <w:pPr>
        <w:spacing w:after="80" w:line="276" w:lineRule="auto"/>
      </w:pPr>
      <w:r>
        <w:rPr>
          <w:rFonts w:ascii="Calibri" w:hAnsi="Calibri"/>
          <w:color w:val="1E293B"/>
          <w:sz w:val="22"/>
        </w:rPr>
        <w:t>19.20%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Rakhi Girija Shetty</w:t>
      </w:r>
    </w:p>
    <w:p>
      <w:pPr>
        <w:spacing w:after="80" w:line="276" w:lineRule="auto"/>
      </w:pPr>
      <w:r>
        <w:rPr>
          <w:rFonts w:ascii="Calibri" w:hAnsi="Calibri"/>
          <w:color w:val="1E293B"/>
          <w:sz w:val="22"/>
        </w:rPr>
        <w:t>100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Dhaulagiri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EverestFamily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MakaluFamily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Broad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Annapurna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Kanchenjunga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Sub-total (A)</w:t>
      </w:r>
    </w:p>
    <w:p>
      <w:pPr>
        <w:spacing w:after="80" w:line="276" w:lineRule="auto"/>
      </w:pPr>
      <w:r>
        <w:rPr>
          <w:rFonts w:ascii="Calibri" w:hAnsi="Calibri"/>
          <w:color w:val="1E293B"/>
          <w:sz w:val="22"/>
        </w:rPr>
        <w:t>55,906,542</w:t>
      </w:r>
    </w:p>
    <w:p>
      <w:pPr>
        <w:spacing w:after="80" w:line="276" w:lineRule="auto"/>
      </w:pPr>
      <w:r>
        <w:rPr>
          <w:rFonts w:ascii="Calibri" w:hAnsi="Calibri"/>
          <w:color w:val="1E293B"/>
          <w:sz w:val="22"/>
        </w:rPr>
        <w:t>98.40%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Promoter Group</w:t>
      </w:r>
    </w:p>
    <w:p>
      <w:pPr>
        <w:spacing w:after="80" w:line="276" w:lineRule="auto"/>
      </w:pPr>
      <w:r>
        <w:rPr>
          <w:rFonts w:ascii="Calibri" w:hAnsi="Calibri"/>
          <w:color w:val="1E293B"/>
          <w:sz w:val="22"/>
        </w:rPr>
        <w:t>MaithiliRajesh Hegde</w:t>
      </w:r>
    </w:p>
    <w:p>
      <w:pPr>
        <w:spacing w:after="80" w:line="276" w:lineRule="auto"/>
      </w:pPr>
      <w:r>
        <w:rPr>
          <w:rFonts w:ascii="Calibri" w:hAnsi="Calibri"/>
          <w:color w:val="1E293B"/>
          <w:sz w:val="22"/>
        </w:rPr>
        <w:t>100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Katyayani Balasubramanian</w:t>
      </w:r>
    </w:p>
    <w:p>
      <w:pPr>
        <w:spacing w:after="80" w:line="276" w:lineRule="auto"/>
      </w:pPr>
      <w:r>
        <w:rPr>
          <w:rFonts w:ascii="Calibri" w:hAnsi="Calibri"/>
          <w:color w:val="1E293B"/>
          <w:sz w:val="22"/>
        </w:rPr>
        <w:t>100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Sub-total (B)</w:t>
      </w:r>
    </w:p>
    <w:p>
      <w:pPr>
        <w:spacing w:after="80" w:line="276" w:lineRule="auto"/>
      </w:pPr>
      <w:r>
        <w:rPr>
          <w:rFonts w:ascii="Calibri" w:hAnsi="Calibri"/>
          <w:color w:val="1E293B"/>
          <w:sz w:val="22"/>
        </w:rPr>
        <w:t>200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Additional top 10 Shareholders</w:t>
      </w:r>
    </w:p>
    <w:p>
      <w:pPr>
        <w:spacing w:after="80" w:line="276" w:lineRule="auto"/>
      </w:pPr>
      <w:r>
        <w:rPr>
          <w:rFonts w:ascii="Calibri" w:hAnsi="Calibri"/>
          <w:color w:val="1E293B"/>
          <w:sz w:val="22"/>
        </w:rPr>
        <w:t>Bluebird Capital LLP</w:t>
      </w:r>
    </w:p>
    <w:p>
      <w:pPr>
        <w:spacing w:after="80" w:line="276" w:lineRule="auto"/>
      </w:pPr>
      <w:r>
        <w:rPr>
          <w:rFonts w:ascii="Calibri" w:hAnsi="Calibri"/>
          <w:color w:val="1E293B"/>
          <w:sz w:val="22"/>
        </w:rPr>
        <w:t>8,51,563</w:t>
      </w:r>
    </w:p>
    <w:p>
      <w:pPr>
        <w:spacing w:after="80" w:line="276" w:lineRule="auto"/>
      </w:pPr>
      <w:r>
        <w:rPr>
          <w:rFonts w:ascii="Calibri" w:hAnsi="Calibri"/>
          <w:color w:val="1E293B"/>
          <w:sz w:val="22"/>
        </w:rPr>
        <w:t>1.50%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Rupal K. Sancheti</w:t>
      </w:r>
    </w:p>
    <w:p>
      <w:pPr>
        <w:spacing w:after="80" w:line="276" w:lineRule="auto"/>
      </w:pPr>
      <w:r>
        <w:rPr>
          <w:rFonts w:ascii="Calibri" w:hAnsi="Calibri"/>
          <w:color w:val="1E293B"/>
          <w:sz w:val="22"/>
        </w:rPr>
        <w:t>39,062</w:t>
      </w:r>
    </w:p>
    <w:p>
      <w:pPr>
        <w:spacing w:after="80" w:line="276" w:lineRule="auto"/>
      </w:pPr>
      <w:r>
        <w:rPr>
          <w:rFonts w:ascii="Calibri" w:hAnsi="Calibri"/>
          <w:color w:val="1E293B"/>
          <w:sz w:val="22"/>
        </w:rPr>
        <w:t>0.07%</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Salil Ajay Bhargava</w:t>
      </w:r>
    </w:p>
    <w:p>
      <w:pPr>
        <w:spacing w:after="80" w:line="276" w:lineRule="auto"/>
      </w:pPr>
      <w:r>
        <w:rPr>
          <w:rFonts w:ascii="Calibri" w:hAnsi="Calibri"/>
          <w:color w:val="1E293B"/>
          <w:sz w:val="22"/>
        </w:rPr>
        <w:t>13,021</w:t>
      </w:r>
    </w:p>
    <w:p>
      <w:pPr>
        <w:spacing w:after="80" w:line="276" w:lineRule="auto"/>
      </w:pPr>
      <w:r>
        <w:rPr>
          <w:rFonts w:ascii="Calibri" w:hAnsi="Calibri"/>
          <w:color w:val="1E293B"/>
          <w:sz w:val="22"/>
        </w:rPr>
        <w:t>0.02%</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Jabeen Ajay Menon</w:t>
      </w:r>
    </w:p>
    <w:p>
      <w:pPr>
        <w:spacing w:after="80" w:line="276" w:lineRule="auto"/>
      </w:pPr>
      <w:r>
        <w:rPr>
          <w:rFonts w:ascii="Calibri" w:hAnsi="Calibri"/>
          <w:color w:val="1E293B"/>
          <w:sz w:val="22"/>
        </w:rPr>
        <w:t>2,604</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Ajay Menon</w:t>
      </w:r>
    </w:p>
    <w:p>
      <w:pPr>
        <w:spacing w:after="80" w:line="276" w:lineRule="auto"/>
      </w:pPr>
      <w:r>
        <w:rPr>
          <w:rFonts w:ascii="Calibri" w:hAnsi="Calibri"/>
          <w:color w:val="1E293B"/>
          <w:sz w:val="22"/>
        </w:rPr>
        <w:t>2,604</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SunilNagayya Shetty</w:t>
      </w:r>
    </w:p>
    <w:p>
      <w:pPr>
        <w:spacing w:after="80" w:line="276" w:lineRule="auto"/>
      </w:pPr>
      <w:r>
        <w:rPr>
          <w:rFonts w:ascii="Calibri" w:hAnsi="Calibri"/>
          <w:color w:val="1E293B"/>
          <w:sz w:val="22"/>
        </w:rPr>
        <w:t>2,604</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Sub-total (C)</w:t>
      </w:r>
    </w:p>
    <w:p>
      <w:pPr>
        <w:spacing w:after="80" w:line="276" w:lineRule="auto"/>
      </w:pPr>
      <w:r>
        <w:rPr>
          <w:rFonts w:ascii="Calibri" w:hAnsi="Calibri"/>
          <w:color w:val="1E293B"/>
          <w:sz w:val="22"/>
        </w:rPr>
        <w:t>911,458</w:t>
      </w:r>
    </w:p>
    <w:p>
      <w:pPr>
        <w:spacing w:after="80" w:line="276" w:lineRule="auto"/>
      </w:pPr>
      <w:r>
        <w:rPr>
          <w:rFonts w:ascii="Calibri" w:hAnsi="Calibri"/>
          <w:color w:val="1E293B"/>
          <w:sz w:val="22"/>
        </w:rPr>
        <w:t>1.60%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Total (A+B+C)</w:t>
      </w:r>
    </w:p>
    <w:p>
      <w:pPr>
        <w:spacing w:after="80" w:line="276" w:lineRule="auto"/>
      </w:pPr>
      <w:r>
        <w:rPr>
          <w:rFonts w:ascii="Calibri" w:hAnsi="Calibri"/>
          <w:color w:val="1E293B"/>
          <w:sz w:val="22"/>
        </w:rPr>
        <w:t>5,68,18,200</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^Subject to completion of the Offer and finalisation of the Basis of Allotment.</w:t>
      </w:r>
    </w:p>
    <w:p>
      <w:pPr>
        <w:spacing w:after="80" w:line="276" w:lineRule="auto"/>
      </w:pPr>
      <w:r>
        <w:rPr>
          <w:rFonts w:ascii="Calibri" w:hAnsi="Calibri"/>
          <w:color w:val="1E293B"/>
          <w:sz w:val="22"/>
        </w:rPr>
        <w:t>** The number is negligible and below the Bluebird Capital LLP.</w:t>
      </w:r>
    </w:p>
    <w:p>
      <w:pPr>
        <w:spacing w:after="80" w:line="276" w:lineRule="auto"/>
      </w:pPr>
      <w:r>
        <w:rPr>
          <w:rFonts w:ascii="Calibri" w:hAnsi="Calibri"/>
          <w:color w:val="1E293B"/>
          <w:sz w:val="22"/>
        </w:rPr>
        <w:t>*Also, the Promoter Selling Shareholder</w:t>
      </w:r>
    </w:p>
    <w:p>
      <w:pPr>
        <w:spacing w:after="80" w:line="276" w:lineRule="auto"/>
      </w:pPr>
      <w:r>
        <w:rPr>
          <w:rFonts w:ascii="Calibri" w:hAnsi="Calibri"/>
          <w:color w:val="1E293B"/>
          <w:sz w:val="22"/>
        </w:rPr>
        <w:t>For further details, see “Capital Structure” on page 84.</w:t>
      </w:r>
    </w:p>
    <w:p>
      <w:pPr>
        <w:spacing w:after="80" w:line="276" w:lineRule="auto"/>
      </w:pPr>
      <w:r>
        <w:rPr>
          <w:rFonts w:ascii="Calibri" w:hAnsi="Calibri"/>
          <w:color w:val="1E293B"/>
          <w:sz w:val="22"/>
        </w:rPr>
        <w:t>Summary of selected financial information</w:t>
      </w:r>
    </w:p>
    <w:p>
      <w:pPr>
        <w:spacing w:after="80" w:line="276" w:lineRule="auto"/>
      </w:pPr>
      <w:r>
        <w:rPr>
          <w:rFonts w:ascii="Calibri" w:hAnsi="Calibri"/>
          <w:color w:val="1E293B"/>
          <w:sz w:val="22"/>
        </w:rPr>
        <w:t>The details of certain financial information as at and for the three-month period ended June 30, 2025 and Fiscals 2025, 2024 and 2023, as derived from the Restated Financial Statements are set forth below:</w:t>
      </w:r>
    </w:p>
    <w:p>
      <w:pPr>
        <w:spacing w:after="80" w:line="276" w:lineRule="auto"/>
      </w:pPr>
      <w:r>
        <w:rPr>
          <w:rFonts w:ascii="Calibri" w:hAnsi="Calibri"/>
          <w:color w:val="1E293B"/>
          <w:sz w:val="22"/>
        </w:rPr>
        <w:t>(₹ in million, except per share data)</w:t>
      </w:r>
    </w:p>
    <w:p>
      <w:pPr>
        <w:spacing w:after="80" w:line="276" w:lineRule="auto"/>
      </w:pPr>
      <w:r>
        <w:rPr>
          <w:rFonts w:ascii="Calibri" w:hAnsi="Calibri"/>
          <w:color w:val="1E293B"/>
          <w:sz w:val="22"/>
        </w:rPr>
        <w:t>Particulars</w:t>
      </w:r>
    </w:p>
    <w:p>
      <w:pPr>
        <w:spacing w:after="80" w:line="276" w:lineRule="auto"/>
      </w:pPr>
      <w:r>
        <w:rPr>
          <w:rFonts w:ascii="Calibri" w:hAnsi="Calibri"/>
          <w:color w:val="1E293B"/>
          <w:sz w:val="22"/>
        </w:rPr>
        <w:t>As at and for the three-month period ended June 30, 2025</w:t>
      </w:r>
    </w:p>
    <w:p>
      <w:pPr>
        <w:spacing w:after="80" w:line="276" w:lineRule="auto"/>
      </w:pPr>
      <w:r>
        <w:rPr>
          <w:rFonts w:ascii="Calibri" w:hAnsi="Calibri"/>
          <w:color w:val="1E293B"/>
          <w:sz w:val="22"/>
        </w:rPr>
        <w:t>As at and for</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Equity share capital</w:t>
      </w:r>
    </w:p>
    <w:p>
      <w:pPr>
        <w:spacing w:after="80" w:line="276" w:lineRule="auto"/>
      </w:pPr>
      <w:r>
        <w:rPr>
          <w:rFonts w:ascii="Calibri" w:hAnsi="Calibri"/>
          <w:color w:val="1E293B"/>
          <w:sz w:val="22"/>
        </w:rPr>
        <w:t>284.09</w:t>
      </w:r>
    </w:p>
    <w:p>
      <w:pPr>
        <w:spacing w:after="80" w:line="276" w:lineRule="auto"/>
      </w:pPr>
      <w:r>
        <w:rPr>
          <w:rFonts w:ascii="Calibri" w:hAnsi="Calibri"/>
          <w:color w:val="1E293B"/>
          <w:sz w:val="22"/>
        </w:rPr>
        <w:t>284.09</w:t>
      </w:r>
    </w:p>
    <w:p>
      <w:pPr>
        <w:spacing w:after="80" w:line="276" w:lineRule="auto"/>
      </w:pPr>
      <w:r>
        <w:rPr>
          <w:rFonts w:ascii="Calibri" w:hAnsi="Calibri"/>
          <w:color w:val="1E293B"/>
          <w:sz w:val="22"/>
        </w:rPr>
        <w:t>56.82</w:t>
      </w:r>
    </w:p>
    <w:p>
      <w:pPr>
        <w:spacing w:after="80" w:line="276" w:lineRule="auto"/>
      </w:pPr>
      <w:r>
        <w:rPr>
          <w:rFonts w:ascii="Calibri" w:hAnsi="Calibri"/>
          <w:color w:val="1E293B"/>
          <w:sz w:val="22"/>
        </w:rPr>
        <w:t>56.82</w:t>
      </w:r>
    </w:p>
    <w:p>
      <w:pPr>
        <w:spacing w:after="80" w:line="276" w:lineRule="auto"/>
      </w:pPr>
      <w:r>
        <w:rPr>
          <w:rFonts w:ascii="Calibri" w:hAnsi="Calibri"/>
          <w:color w:val="1E293B"/>
          <w:sz w:val="22"/>
        </w:rPr>
        <w:t>Total equity</w:t>
      </w:r>
    </w:p>
    <w:p>
      <w:pPr>
        <w:spacing w:after="80" w:line="276" w:lineRule="auto"/>
      </w:pPr>
      <w:r>
        <w:rPr>
          <w:rFonts w:ascii="Calibri" w:hAnsi="Calibri"/>
          <w:color w:val="1E293B"/>
          <w:sz w:val="22"/>
        </w:rPr>
        <w:t>3,214.74</w:t>
      </w:r>
    </w:p>
    <w:p>
      <w:pPr>
        <w:spacing w:after="80" w:line="276" w:lineRule="auto"/>
      </w:pPr>
      <w:r>
        <w:rPr>
          <w:rFonts w:ascii="Calibri" w:hAnsi="Calibri"/>
          <w:color w:val="1E293B"/>
          <w:sz w:val="22"/>
        </w:rPr>
        <w:t>2,985.46</w:t>
      </w:r>
    </w:p>
    <w:p>
      <w:pPr>
        <w:spacing w:after="80" w:line="276" w:lineRule="auto"/>
      </w:pPr>
      <w:r>
        <w:rPr>
          <w:rFonts w:ascii="Calibri" w:hAnsi="Calibri"/>
          <w:color w:val="1E293B"/>
          <w:sz w:val="22"/>
        </w:rPr>
        <w:t>2,309.46</w:t>
      </w:r>
    </w:p>
    <w:p>
      <w:pPr>
        <w:spacing w:after="80" w:line="276" w:lineRule="auto"/>
      </w:pPr>
      <w:r>
        <w:rPr>
          <w:rFonts w:ascii="Calibri" w:hAnsi="Calibri"/>
          <w:color w:val="1E293B"/>
          <w:sz w:val="22"/>
        </w:rPr>
        <w:t>1,936.55</w:t>
      </w:r>
    </w:p>
    <w:p>
      <w:pPr>
        <w:spacing w:after="80" w:line="276" w:lineRule="auto"/>
      </w:pPr>
      <w:r>
        <w:rPr>
          <w:rFonts w:ascii="Calibri" w:hAnsi="Calibri"/>
          <w:color w:val="1E293B"/>
          <w:sz w:val="22"/>
        </w:rPr>
        <w:t>Net worth(1)</w:t>
      </w:r>
    </w:p>
    <w:p>
      <w:pPr>
        <w:spacing w:after="80" w:line="276" w:lineRule="auto"/>
      </w:pPr>
      <w:r>
        <w:rPr>
          <w:rFonts w:ascii="Calibri" w:hAnsi="Calibri"/>
          <w:color w:val="1E293B"/>
          <w:sz w:val="22"/>
        </w:rPr>
        <w:t>3,214.74</w:t>
      </w:r>
    </w:p>
    <w:p>
      <w:pPr>
        <w:spacing w:after="80" w:line="276" w:lineRule="auto"/>
      </w:pPr>
      <w:r>
        <w:rPr>
          <w:rFonts w:ascii="Calibri" w:hAnsi="Calibri"/>
          <w:color w:val="1E293B"/>
          <w:sz w:val="22"/>
        </w:rPr>
        <w:t>2,985.46</w:t>
      </w:r>
    </w:p>
    <w:p>
      <w:pPr>
        <w:spacing w:after="80" w:line="276" w:lineRule="auto"/>
      </w:pPr>
      <w:r>
        <w:rPr>
          <w:rFonts w:ascii="Calibri" w:hAnsi="Calibri"/>
          <w:color w:val="1E293B"/>
          <w:sz w:val="22"/>
        </w:rPr>
        <w:t>2,309.46</w:t>
      </w:r>
    </w:p>
    <w:p>
      <w:pPr>
        <w:spacing w:after="80" w:line="276" w:lineRule="auto"/>
      </w:pPr>
      <w:r>
        <w:rPr>
          <w:rFonts w:ascii="Calibri" w:hAnsi="Calibri"/>
          <w:color w:val="1E293B"/>
          <w:sz w:val="22"/>
        </w:rPr>
        <w:t>1,936.55</w:t>
      </w:r>
    </w:p>
    <w:p>
      <w:pPr>
        <w:spacing w:after="80" w:line="276" w:lineRule="auto"/>
      </w:pPr>
      <w:r>
        <w:rPr>
          <w:rFonts w:ascii="Calibri" w:hAnsi="Calibri"/>
          <w:color w:val="1E293B"/>
          <w:sz w:val="22"/>
        </w:rPr>
        <w:t>Return on Net worth</w:t>
      </w:r>
    </w:p>
    <w:p>
      <w:pPr>
        <w:spacing w:after="80" w:line="276" w:lineRule="auto"/>
      </w:pPr>
      <w:r>
        <w:rPr>
          <w:rFonts w:ascii="Calibri" w:hAnsi="Calibri"/>
          <w:color w:val="1E293B"/>
          <w:sz w:val="22"/>
        </w:rPr>
        <w:t>7.06%</w:t>
      </w:r>
    </w:p>
    <w:p>
      <w:pPr>
        <w:spacing w:after="80" w:line="276" w:lineRule="auto"/>
      </w:pPr>
      <w:r>
        <w:rPr>
          <w:rFonts w:ascii="Calibri" w:hAnsi="Calibri"/>
          <w:color w:val="1E293B"/>
          <w:sz w:val="22"/>
        </w:rPr>
        <w:t>22.77%</w:t>
      </w:r>
    </w:p>
    <w:p>
      <w:pPr>
        <w:spacing w:after="80" w:line="276" w:lineRule="auto"/>
      </w:pPr>
      <w:r>
        <w:rPr>
          <w:rFonts w:ascii="Calibri" w:hAnsi="Calibri"/>
          <w:color w:val="1E293B"/>
          <w:sz w:val="22"/>
        </w:rPr>
        <w:t>16.17%</w:t>
      </w:r>
    </w:p>
    <w:p>
      <w:pPr>
        <w:spacing w:after="80" w:line="276" w:lineRule="auto"/>
      </w:pPr>
      <w:r>
        <w:rPr>
          <w:rFonts w:ascii="Calibri" w:hAnsi="Calibri"/>
          <w:color w:val="1E293B"/>
          <w:sz w:val="22"/>
        </w:rPr>
        <w:t>13.74%</w:t>
      </w:r>
    </w:p>
    <w:p>
      <w:pPr>
        <w:spacing w:after="80" w:line="276" w:lineRule="auto"/>
      </w:pPr>
      <w:r>
        <w:rPr>
          <w:rFonts w:ascii="Calibri" w:hAnsi="Calibri"/>
          <w:color w:val="1E293B"/>
          <w:sz w:val="22"/>
        </w:rPr>
        <w:t>Revenue from operations</w:t>
      </w:r>
    </w:p>
    <w:p>
      <w:pPr>
        <w:spacing w:after="80" w:line="276" w:lineRule="auto"/>
      </w:pPr>
      <w:r>
        <w:rPr>
          <w:rFonts w:ascii="Calibri" w:hAnsi="Calibri"/>
          <w:color w:val="1E293B"/>
          <w:sz w:val="22"/>
        </w:rPr>
        <w:t>5,587.12</w:t>
      </w:r>
    </w:p>
    <w:p>
      <w:pPr>
        <w:spacing w:after="80" w:line="276" w:lineRule="auto"/>
      </w:pPr>
      <w:r>
        <w:rPr>
          <w:rFonts w:ascii="Calibri" w:hAnsi="Calibri"/>
          <w:color w:val="1E293B"/>
          <w:sz w:val="22"/>
        </w:rPr>
        <w:t>19,282.93</w:t>
      </w:r>
    </w:p>
    <w:p>
      <w:pPr>
        <w:spacing w:after="80" w:line="276" w:lineRule="auto"/>
      </w:pPr>
      <w:r>
        <w:rPr>
          <w:rFonts w:ascii="Calibri" w:hAnsi="Calibri"/>
          <w:color w:val="1E293B"/>
          <w:sz w:val="22"/>
        </w:rPr>
        <w:t>13,828.15</w:t>
      </w:r>
    </w:p>
    <w:p>
      <w:pPr>
        <w:spacing w:after="80" w:line="276" w:lineRule="auto"/>
      </w:pPr>
      <w:r>
        <w:rPr>
          <w:rFonts w:ascii="Calibri" w:hAnsi="Calibri"/>
          <w:color w:val="1E293B"/>
          <w:sz w:val="22"/>
        </w:rPr>
        <w:t>10,494.60</w:t>
      </w:r>
    </w:p>
    <w:p>
      <w:pPr>
        <w:spacing w:after="80" w:line="276" w:lineRule="auto"/>
      </w:pPr>
      <w:r>
        <w:rPr>
          <w:rFonts w:ascii="Calibri" w:hAnsi="Calibri"/>
          <w:color w:val="1E293B"/>
          <w:sz w:val="22"/>
        </w:rPr>
        <w:t>Restated profit for the year</w:t>
      </w:r>
    </w:p>
    <w:p>
      <w:pPr>
        <w:spacing w:after="80" w:line="276" w:lineRule="auto"/>
      </w:pPr>
      <w:r>
        <w:rPr>
          <w:rFonts w:ascii="Calibri" w:hAnsi="Calibri"/>
          <w:color w:val="1E293B"/>
          <w:sz w:val="22"/>
        </w:rPr>
        <w:t>226.81</w:t>
      </w:r>
    </w:p>
    <w:p>
      <w:pPr>
        <w:spacing w:after="80" w:line="276" w:lineRule="auto"/>
      </w:pPr>
      <w:r>
        <w:rPr>
          <w:rFonts w:ascii="Calibri" w:hAnsi="Calibri"/>
          <w:color w:val="1E293B"/>
          <w:sz w:val="22"/>
        </w:rPr>
        <w:t>679.88</w:t>
      </w:r>
    </w:p>
    <w:p>
      <w:pPr>
        <w:spacing w:after="80" w:line="276" w:lineRule="auto"/>
      </w:pPr>
      <w:r>
        <w:rPr>
          <w:rFonts w:ascii="Calibri" w:hAnsi="Calibri"/>
          <w:color w:val="1E293B"/>
          <w:sz w:val="22"/>
        </w:rPr>
        <w:t>373.50</w:t>
      </w:r>
    </w:p>
    <w:p>
      <w:pPr>
        <w:spacing w:after="80" w:line="276" w:lineRule="auto"/>
      </w:pPr>
      <w:r>
        <w:rPr>
          <w:rFonts w:ascii="Calibri" w:hAnsi="Calibri"/>
          <w:color w:val="1E293B"/>
          <w:sz w:val="22"/>
        </w:rPr>
        <w:t>266.13</w:t>
      </w:r>
    </w:p>
    <w:p>
      <w:pPr>
        <w:spacing w:after="80" w:line="276" w:lineRule="auto"/>
      </w:pPr>
      <w:r>
        <w:rPr>
          <w:rFonts w:ascii="Calibri" w:hAnsi="Calibri"/>
          <w:color w:val="1E293B"/>
          <w:sz w:val="22"/>
        </w:rPr>
        <w:t>Earnings per Equity Share (of face value of ₹5 each) *</w:t>
      </w:r>
    </w:p>
    <w:p>
      <w:pPr>
        <w:spacing w:after="80" w:line="276" w:lineRule="auto"/>
      </w:pPr>
      <w:r>
        <w:rPr>
          <w:rFonts w:ascii="Calibri" w:hAnsi="Calibri"/>
          <w:color w:val="1E293B"/>
          <w:sz w:val="22"/>
        </w:rPr>
        <w:t>- Basic(2)(4)</w:t>
      </w:r>
    </w:p>
    <w:p>
      <w:pPr>
        <w:spacing w:after="80" w:line="276" w:lineRule="auto"/>
      </w:pPr>
      <w:r>
        <w:rPr>
          <w:rFonts w:ascii="Calibri" w:hAnsi="Calibri"/>
          <w:color w:val="1E293B"/>
          <w:sz w:val="22"/>
        </w:rPr>
        <w:t>3.99</w:t>
      </w:r>
    </w:p>
    <w:p>
      <w:pPr>
        <w:spacing w:after="80" w:line="276" w:lineRule="auto"/>
      </w:pPr>
      <w:r>
        <w:rPr>
          <w:rFonts w:ascii="Calibri" w:hAnsi="Calibri"/>
          <w:color w:val="1E293B"/>
          <w:sz w:val="22"/>
        </w:rPr>
        <w:t>11.97</w:t>
      </w:r>
    </w:p>
    <w:p>
      <w:pPr>
        <w:spacing w:after="80" w:line="276" w:lineRule="auto"/>
      </w:pPr>
      <w:r>
        <w:rPr>
          <w:rFonts w:ascii="Calibri" w:hAnsi="Calibri"/>
          <w:color w:val="1E293B"/>
          <w:sz w:val="22"/>
        </w:rPr>
        <w:t>6.57</w:t>
      </w:r>
    </w:p>
    <w:p>
      <w:pPr>
        <w:spacing w:after="80" w:line="276" w:lineRule="auto"/>
      </w:pPr>
      <w:r>
        <w:rPr>
          <w:rFonts w:ascii="Calibri" w:hAnsi="Calibri"/>
          <w:color w:val="1E293B"/>
          <w:sz w:val="22"/>
        </w:rPr>
        <w:t>4.68</w:t>
      </w:r>
    </w:p>
    <w:p>
      <w:pPr>
        <w:spacing w:after="80" w:line="276" w:lineRule="auto"/>
      </w:pPr>
      <w:r>
        <w:rPr>
          <w:rFonts w:ascii="Calibri" w:hAnsi="Calibri"/>
          <w:color w:val="1E293B"/>
          <w:sz w:val="22"/>
        </w:rPr>
        <w:t>- Diluted(3)(4)</w:t>
      </w:r>
    </w:p>
    <w:p>
      <w:pPr>
        <w:spacing w:after="80" w:line="276" w:lineRule="auto"/>
      </w:pPr>
      <w:r>
        <w:rPr>
          <w:rFonts w:ascii="Calibri" w:hAnsi="Calibri"/>
          <w:color w:val="1E293B"/>
          <w:sz w:val="22"/>
        </w:rPr>
        <w:t>3.99</w:t>
      </w:r>
    </w:p>
    <w:p>
      <w:pPr>
        <w:spacing w:after="80" w:line="276" w:lineRule="auto"/>
      </w:pPr>
      <w:r>
        <w:rPr>
          <w:rFonts w:ascii="Calibri" w:hAnsi="Calibri"/>
          <w:color w:val="1E293B"/>
          <w:sz w:val="22"/>
        </w:rPr>
        <w:t>11.97</w:t>
      </w:r>
    </w:p>
    <w:p>
      <w:pPr>
        <w:spacing w:after="80" w:line="276" w:lineRule="auto"/>
      </w:pPr>
      <w:r>
        <w:rPr>
          <w:rFonts w:ascii="Calibri" w:hAnsi="Calibri"/>
          <w:color w:val="1E293B"/>
          <w:sz w:val="22"/>
        </w:rPr>
        <w:t>6.57</w:t>
      </w:r>
    </w:p>
    <w:p>
      <w:pPr>
        <w:spacing w:after="80" w:line="276" w:lineRule="auto"/>
      </w:pPr>
      <w:r>
        <w:rPr>
          <w:rFonts w:ascii="Calibri" w:hAnsi="Calibri"/>
          <w:color w:val="1E293B"/>
          <w:sz w:val="22"/>
        </w:rPr>
        <w:t>4.68</w:t>
      </w:r>
    </w:p>
    <w:p>
      <w:pPr>
        <w:spacing w:after="80" w:line="276" w:lineRule="auto"/>
      </w:pPr>
      <w:r>
        <w:rPr>
          <w:rFonts w:ascii="Calibri" w:hAnsi="Calibri"/>
          <w:color w:val="1E293B"/>
          <w:sz w:val="22"/>
        </w:rPr>
        <w:t>Particulars</w:t>
      </w:r>
    </w:p>
    <w:p>
      <w:pPr>
        <w:spacing w:after="80" w:line="276" w:lineRule="auto"/>
      </w:pPr>
      <w:r>
        <w:rPr>
          <w:rFonts w:ascii="Calibri" w:hAnsi="Calibri"/>
          <w:color w:val="1E293B"/>
          <w:sz w:val="22"/>
        </w:rPr>
        <w:t>As at and for the three-month period ended June 30, 2025</w:t>
      </w:r>
    </w:p>
    <w:p>
      <w:pPr>
        <w:spacing w:after="80" w:line="276" w:lineRule="auto"/>
      </w:pPr>
      <w:r>
        <w:rPr>
          <w:rFonts w:ascii="Calibri" w:hAnsi="Calibri"/>
          <w:color w:val="1E293B"/>
          <w:sz w:val="22"/>
        </w:rPr>
        <w:t>As at and for</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Net Asset Value per Equity Share(5)</w:t>
      </w:r>
    </w:p>
    <w:p>
      <w:pPr>
        <w:spacing w:after="80" w:line="276" w:lineRule="auto"/>
      </w:pPr>
      <w:r>
        <w:rPr>
          <w:rFonts w:ascii="Calibri" w:hAnsi="Calibri"/>
          <w:color w:val="1E293B"/>
          <w:sz w:val="22"/>
        </w:rPr>
        <w:t>56.58</w:t>
      </w:r>
    </w:p>
    <w:p>
      <w:pPr>
        <w:spacing w:after="80" w:line="276" w:lineRule="auto"/>
      </w:pPr>
      <w:r>
        <w:rPr>
          <w:rFonts w:ascii="Calibri" w:hAnsi="Calibri"/>
          <w:color w:val="1E293B"/>
          <w:sz w:val="22"/>
        </w:rPr>
        <w:t>52.54</w:t>
      </w:r>
    </w:p>
    <w:p>
      <w:pPr>
        <w:spacing w:after="80" w:line="276" w:lineRule="auto"/>
      </w:pPr>
      <w:r>
        <w:rPr>
          <w:rFonts w:ascii="Calibri" w:hAnsi="Calibri"/>
          <w:color w:val="1E293B"/>
          <w:sz w:val="22"/>
        </w:rPr>
        <w:t>40.65</w:t>
      </w:r>
    </w:p>
    <w:p>
      <w:pPr>
        <w:spacing w:after="80" w:line="276" w:lineRule="auto"/>
      </w:pPr>
      <w:r>
        <w:rPr>
          <w:rFonts w:ascii="Calibri" w:hAnsi="Calibri"/>
          <w:color w:val="1E293B"/>
          <w:sz w:val="22"/>
        </w:rPr>
        <w:t>34.08</w:t>
      </w:r>
    </w:p>
    <w:p>
      <w:pPr>
        <w:spacing w:after="80" w:line="276" w:lineRule="auto"/>
      </w:pPr>
      <w:r>
        <w:rPr>
          <w:rFonts w:ascii="Calibri" w:hAnsi="Calibri"/>
          <w:color w:val="1E293B"/>
          <w:sz w:val="22"/>
        </w:rPr>
        <w:t>Total borrowings(6)</w:t>
      </w:r>
    </w:p>
    <w:p>
      <w:pPr>
        <w:spacing w:after="80" w:line="276" w:lineRule="auto"/>
      </w:pPr>
      <w:r>
        <w:rPr>
          <w:rFonts w:ascii="Calibri" w:hAnsi="Calibri"/>
          <w:color w:val="1E293B"/>
          <w:sz w:val="22"/>
        </w:rPr>
        <w:t>3,793.94</w:t>
      </w:r>
    </w:p>
    <w:p>
      <w:pPr>
        <w:spacing w:after="80" w:line="276" w:lineRule="auto"/>
      </w:pPr>
      <w:r>
        <w:rPr>
          <w:rFonts w:ascii="Calibri" w:hAnsi="Calibri"/>
          <w:color w:val="1E293B"/>
          <w:sz w:val="22"/>
        </w:rPr>
        <w:t>3,600.49</w:t>
      </w:r>
    </w:p>
    <w:p>
      <w:pPr>
        <w:spacing w:after="80" w:line="276" w:lineRule="auto"/>
      </w:pPr>
      <w:r>
        <w:rPr>
          <w:rFonts w:ascii="Calibri" w:hAnsi="Calibri"/>
          <w:color w:val="1E293B"/>
          <w:sz w:val="22"/>
        </w:rPr>
        <w:t>2,068.08</w:t>
      </w:r>
    </w:p>
    <w:p>
      <w:pPr>
        <w:spacing w:after="80" w:line="276" w:lineRule="auto"/>
      </w:pPr>
      <w:r>
        <w:rPr>
          <w:rFonts w:ascii="Calibri" w:hAnsi="Calibri"/>
          <w:color w:val="1E293B"/>
          <w:sz w:val="22"/>
        </w:rPr>
        <w:t>1,203.54</w:t>
      </w:r>
    </w:p>
    <w:p>
      <w:pPr>
        <w:spacing w:after="80" w:line="276" w:lineRule="auto"/>
      </w:pPr>
      <w:r>
        <w:rPr>
          <w:rFonts w:ascii="Calibri" w:hAnsi="Calibri"/>
          <w:color w:val="1E293B"/>
          <w:sz w:val="22"/>
        </w:rPr>
        <w:t>*Not annualised for period ended June 30, 2025. Notes:</w:t>
      </w:r>
    </w:p>
    <w:p>
      <w:pPr>
        <w:spacing w:after="80" w:line="276" w:lineRule="auto"/>
      </w:pPr>
      <w:r>
        <w:rPr>
          <w:rFonts w:ascii="Calibri" w:hAnsi="Calibri"/>
          <w:color w:val="1E293B"/>
          <w:sz w:val="22"/>
        </w:rPr>
        <w:t>Net worth means the aggregate value of the Acme Private Limited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capital reserve, foreign currency translation reserve, write-back of depreciation as at period /year end, as per Restated Financial Statements Northstar Technologies Ltd.</w:t>
      </w:r>
    </w:p>
    <w:p>
      <w:pPr>
        <w:spacing w:after="80" w:line="276" w:lineRule="auto"/>
      </w:pPr>
      <w:r>
        <w:rPr>
          <w:rFonts w:ascii="Calibri" w:hAnsi="Calibri"/>
          <w:color w:val="1E293B"/>
          <w:sz w:val="22"/>
        </w:rPr>
        <w:t>Earnings per Equity Share (Basic) = restated profit attributable to the equity holders / weighted average number of equity shares.</w:t>
      </w:r>
    </w:p>
    <w:p>
      <w:pPr>
        <w:spacing w:after="80" w:line="276" w:lineRule="auto"/>
      </w:pPr>
      <w:r>
        <w:rPr>
          <w:rFonts w:ascii="Calibri" w:hAnsi="Calibri"/>
          <w:color w:val="1E293B"/>
          <w:sz w:val="22"/>
        </w:rPr>
        <w:t>Earnings per Equity Share (Diluted) = restated profit attributable to the equity holders / weighted average number of equity shares adjusted for the effects of dilution.</w:t>
      </w:r>
    </w:p>
    <w:p>
      <w:pPr>
        <w:spacing w:after="80" w:line="276" w:lineRule="auto"/>
      </w:pPr>
      <w:r>
        <w:rPr>
          <w:rFonts w:ascii="Calibri" w:hAnsi="Calibri"/>
          <w:color w:val="1E293B"/>
          <w:sz w:val="22"/>
        </w:rPr>
        <w:t>Basic EPS and Diluted EPS calculations are in accordance with Indian Accounting Standard 33 ‘Earnings per Share’. The Split of Equity Shares and Bonus Issue are retrospectively considered for the computation of weighted average number of equity shares outstanding during the period, in accordance with Ind AS 33.</w:t>
      </w:r>
    </w:p>
    <w:p>
      <w:pPr>
        <w:spacing w:after="80" w:line="276" w:lineRule="auto"/>
      </w:pPr>
      <w:r>
        <w:rPr>
          <w:rFonts w:ascii="Calibri" w:hAnsi="Calibri"/>
          <w:color w:val="1E293B"/>
          <w:sz w:val="22"/>
        </w:rPr>
        <w:t>Net Asset Value per Equity share is calculated as Bluebird Capital LLP / Net Worth divided by Weighted average number of shares outstanding during the year as adjusted for Split of Equity Shares and Bonus Issue.</w:t>
      </w:r>
    </w:p>
    <w:p>
      <w:pPr>
        <w:spacing w:after="80" w:line="276" w:lineRule="auto"/>
      </w:pPr>
      <w:r>
        <w:rPr>
          <w:rFonts w:ascii="Calibri" w:hAnsi="Calibri"/>
          <w:color w:val="1E293B"/>
          <w:sz w:val="22"/>
        </w:rPr>
        <w:t>Total borrowings are computed as current borrowings plus non-current borrowings.</w:t>
      </w:r>
    </w:p>
    <w:p>
      <w:pPr>
        <w:spacing w:after="80" w:line="276" w:lineRule="auto"/>
      </w:pPr>
      <w:r>
        <w:rPr>
          <w:rFonts w:ascii="Calibri" w:hAnsi="Calibri"/>
          <w:color w:val="1E293B"/>
          <w:sz w:val="22"/>
        </w:rPr>
        <w:t>For further details, see “Restated Financial Statements” on page 280.</w:t>
      </w:r>
    </w:p>
    <w:p>
      <w:pPr>
        <w:spacing w:after="80" w:line="276" w:lineRule="auto"/>
      </w:pPr>
      <w:r>
        <w:rPr>
          <w:rFonts w:ascii="Calibri" w:hAnsi="Calibri"/>
          <w:color w:val="1E293B"/>
          <w:sz w:val="22"/>
        </w:rPr>
        <w:t>Qualifications of the Statutory Auditors which have not been given effect to in the Restated Financial Statements</w:t>
      </w:r>
    </w:p>
    <w:p>
      <w:pPr>
        <w:spacing w:after="80" w:line="276" w:lineRule="auto"/>
      </w:pPr>
      <w:r>
        <w:rPr>
          <w:rFonts w:ascii="Calibri" w:hAnsi="Calibri"/>
          <w:color w:val="1E293B"/>
          <w:sz w:val="22"/>
        </w:rPr>
        <w:t>There are no qualifications included by the Statutory Auditors in their audit reports and hence no effect is required to be given in the Restated Financial Statements.</w:t>
      </w:r>
    </w:p>
    <w:p>
      <w:pPr>
        <w:spacing w:after="80" w:line="276" w:lineRule="auto"/>
      </w:pPr>
      <w:r>
        <w:rPr>
          <w:rFonts w:ascii="Calibri" w:hAnsi="Calibri"/>
          <w:color w:val="1E293B"/>
          <w:sz w:val="22"/>
        </w:rPr>
        <w:t>Summary of outstanding litigations</w:t>
      </w:r>
    </w:p>
    <w:p>
      <w:pPr>
        <w:spacing w:after="80" w:line="276" w:lineRule="auto"/>
      </w:pPr>
      <w:r>
        <w:rPr>
          <w:rFonts w:ascii="Calibri" w:hAnsi="Calibri"/>
          <w:color w:val="1E293B"/>
          <w:sz w:val="22"/>
        </w:rPr>
        <w:t>A summary Acme Private Limited, our Directors, our Promoters, our KMPs and Senior Management in accordance with the SEBI ICDR Regulations and the Materiality Policy as on the date of this Red Herring Prospectus, is provided below:</w:t>
      </w:r>
    </w:p>
    <w:p>
      <w:pPr>
        <w:spacing w:after="80" w:line="276" w:lineRule="auto"/>
      </w:pPr>
      <w:r>
        <w:rPr>
          <w:rFonts w:ascii="Calibri" w:hAnsi="Calibri"/>
          <w:color w:val="1E293B"/>
          <w:sz w:val="22"/>
        </w:rPr>
        <w:t>Name Peter Parker</w:t>
      </w:r>
    </w:p>
    <w:p>
      <w:pPr>
        <w:spacing w:after="80" w:line="276" w:lineRule="auto"/>
      </w:pPr>
      <w:r>
        <w:rPr>
          <w:rFonts w:ascii="Calibri" w:hAnsi="Calibri"/>
          <w:color w:val="1E293B"/>
          <w:sz w:val="22"/>
        </w:rPr>
        <w:t>Criminal proceedings</w:t>
      </w:r>
    </w:p>
    <w:p>
      <w:pPr>
        <w:spacing w:after="80" w:line="276" w:lineRule="auto"/>
      </w:pPr>
      <w:r>
        <w:rPr>
          <w:rFonts w:ascii="Calibri" w:hAnsi="Calibri"/>
          <w:color w:val="1E293B"/>
          <w:sz w:val="22"/>
        </w:rPr>
        <w:t>Tax proceedings</w:t>
      </w:r>
    </w:p>
    <w:p>
      <w:pPr>
        <w:spacing w:after="80" w:line="276" w:lineRule="auto"/>
      </w:pPr>
      <w:r>
        <w:rPr>
          <w:rFonts w:ascii="Calibri" w:hAnsi="Calibri"/>
          <w:color w:val="1E293B"/>
          <w:sz w:val="22"/>
        </w:rPr>
        <w:t>Statutory or regulatory proceedings</w:t>
      </w:r>
    </w:p>
    <w:p>
      <w:pPr>
        <w:spacing w:after="80" w:line="276" w:lineRule="auto"/>
      </w:pPr>
      <w:r>
        <w:rPr>
          <w:rFonts w:ascii="Calibri" w:hAnsi="Calibri"/>
          <w:color w:val="1E293B"/>
          <w:sz w:val="22"/>
        </w:rPr>
        <w:t>Disciplinary actions by the SEBI or Stock Exchanges</w:t>
      </w:r>
    </w:p>
    <w:p>
      <w:pPr>
        <w:spacing w:after="80" w:line="276" w:lineRule="auto"/>
      </w:pPr>
      <w:r>
        <w:rPr>
          <w:rFonts w:ascii="Calibri" w:hAnsi="Calibri"/>
          <w:color w:val="1E293B"/>
          <w:sz w:val="22"/>
        </w:rPr>
        <w:t>against our Promoters</w:t>
      </w:r>
    </w:p>
    <w:p>
      <w:pPr>
        <w:spacing w:after="80" w:line="276" w:lineRule="auto"/>
      </w:pPr>
      <w:r>
        <w:rPr>
          <w:rFonts w:ascii="Calibri" w:hAnsi="Calibri"/>
          <w:color w:val="1E293B"/>
          <w:sz w:val="22"/>
        </w:rPr>
        <w:t>Material civil litigations#</w:t>
      </w:r>
    </w:p>
    <w:p>
      <w:pPr>
        <w:spacing w:after="80" w:line="276" w:lineRule="auto"/>
      </w:pPr>
      <w:r>
        <w:rPr>
          <w:rFonts w:ascii="Calibri" w:hAnsi="Calibri"/>
          <w:color w:val="1E293B"/>
          <w:sz w:val="22"/>
        </w:rPr>
        <w:t>Aggregate amount involved* (₹ in million)</w:t>
      </w:r>
    </w:p>
    <w:p>
      <w:pPr>
        <w:spacing w:after="80" w:line="276" w:lineRule="auto"/>
      </w:pPr>
      <w:r>
        <w:rPr>
          <w:rFonts w:ascii="Calibri" w:hAnsi="Calibri"/>
          <w:color w:val="1E293B"/>
          <w:sz w:val="22"/>
        </w:rPr>
        <w:t>Company</w:t>
      </w:r>
    </w:p>
    <w:p>
      <w:pPr>
        <w:spacing w:after="80" w:line="276" w:lineRule="auto"/>
      </w:pPr>
      <w:r>
        <w:rPr>
          <w:rFonts w:ascii="Calibri" w:hAnsi="Calibri"/>
          <w:color w:val="1E293B"/>
          <w:sz w:val="22"/>
        </w:rPr>
        <w:t>Northstar Technologies Ltd</w:t>
      </w:r>
    </w:p>
    <w:p>
      <w:pPr>
        <w:spacing w:after="80" w:line="276" w:lineRule="auto"/>
      </w:pPr>
      <w:r>
        <w:rPr>
          <w:rFonts w:ascii="Calibri" w:hAnsi="Calibri"/>
          <w:color w:val="1E293B"/>
          <w:sz w:val="22"/>
        </w:rPr>
        <w:t>2</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11.54</w:t>
      </w:r>
    </w:p>
    <w:p>
      <w:pPr>
        <w:spacing w:after="80" w:line="276" w:lineRule="auto"/>
      </w:pPr>
      <w:r>
        <w:rPr>
          <w:rFonts w:ascii="Calibri" w:hAnsi="Calibri"/>
          <w:color w:val="1E293B"/>
          <w:sz w:val="22"/>
        </w:rPr>
        <w:t>Bluebird Capital LLP</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Directors (excluding our Promoters)</w:t>
      </w:r>
    </w:p>
    <w:p>
      <w:pPr>
        <w:spacing w:after="80" w:line="276" w:lineRule="auto"/>
      </w:pPr>
      <w:r>
        <w:rPr>
          <w:rFonts w:ascii="Calibri" w:hAnsi="Calibri"/>
          <w:color w:val="1E293B"/>
          <w:sz w:val="22"/>
        </w:rPr>
        <w:t>By our Directors</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2</w:t>
      </w:r>
    </w:p>
    <w:p>
      <w:pPr>
        <w:spacing w:after="80" w:line="276" w:lineRule="auto"/>
      </w:pPr>
      <w:r>
        <w:rPr>
          <w:rFonts w:ascii="Calibri" w:hAnsi="Calibri"/>
          <w:color w:val="1E293B"/>
          <w:sz w:val="22"/>
        </w:rPr>
        <w:t>1,360.00</w:t>
      </w:r>
    </w:p>
    <w:p>
      <w:pPr>
        <w:spacing w:after="80" w:line="276" w:lineRule="auto"/>
      </w:pPr>
      <w:r>
        <w:rPr>
          <w:rFonts w:ascii="Calibri" w:hAnsi="Calibri"/>
          <w:color w:val="1E293B"/>
          <w:sz w:val="22"/>
        </w:rPr>
        <w:t>Against our Directors</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0.73</w:t>
      </w:r>
    </w:p>
    <w:p>
      <w:pPr>
        <w:spacing w:after="80" w:line="276" w:lineRule="auto"/>
      </w:pPr>
      <w:r>
        <w:rPr>
          <w:rFonts w:ascii="Calibri" w:hAnsi="Calibri"/>
          <w:color w:val="1E293B"/>
          <w:sz w:val="22"/>
        </w:rPr>
        <w:t>Promoters (including the Executive Directors who are also our Promoters)</w:t>
      </w:r>
    </w:p>
    <w:p>
      <w:pPr>
        <w:spacing w:after="80" w:line="276" w:lineRule="auto"/>
      </w:pPr>
      <w:r>
        <w:rPr>
          <w:rFonts w:ascii="Calibri" w:hAnsi="Calibri"/>
          <w:color w:val="1E293B"/>
          <w:sz w:val="22"/>
        </w:rPr>
        <w:t>By our Promoters</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50.00</w:t>
      </w:r>
    </w:p>
    <w:p>
      <w:pPr>
        <w:spacing w:after="80" w:line="276" w:lineRule="auto"/>
      </w:pPr>
      <w:r>
        <w:rPr>
          <w:rFonts w:ascii="Calibri" w:hAnsi="Calibri"/>
          <w:color w:val="1E293B"/>
          <w:sz w:val="22"/>
        </w:rPr>
        <w:t>Against our Promoters</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2</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2.78</w:t>
      </w:r>
    </w:p>
    <w:p>
      <w:pPr>
        <w:spacing w:after="80" w:line="276" w:lineRule="auto"/>
      </w:pPr>
      <w:r>
        <w:rPr>
          <w:rFonts w:ascii="Calibri" w:hAnsi="Calibri"/>
          <w:color w:val="1E293B"/>
          <w:sz w:val="22"/>
        </w:rPr>
        <w:t>Key Managerial Personnel (“KMPs”) (excluding our Executive Directors) (1)</w:t>
      </w:r>
    </w:p>
    <w:p>
      <w:pPr>
        <w:spacing w:after="80" w:line="276" w:lineRule="auto"/>
      </w:pPr>
      <w:r>
        <w:rPr>
          <w:rFonts w:ascii="Calibri" w:hAnsi="Calibri"/>
          <w:color w:val="1E293B"/>
          <w:sz w:val="22"/>
        </w:rPr>
        <w:t>By our KMPs</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Against our KMPs</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Senior Management (“SM”) (excluding our KMPs)(2)</w:t>
      </w:r>
    </w:p>
    <w:p>
      <w:pPr>
        <w:spacing w:after="80" w:line="276" w:lineRule="auto"/>
      </w:pPr>
      <w:r>
        <w:rPr>
          <w:rFonts w:ascii="Calibri" w:hAnsi="Calibri"/>
          <w:color w:val="1E293B"/>
          <w:sz w:val="22"/>
        </w:rPr>
        <w:t>By our SMs</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Against our SMs</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*To the extent quantifiable.</w:t>
      </w:r>
    </w:p>
    <w:p>
      <w:pPr>
        <w:spacing w:after="80" w:line="276" w:lineRule="auto"/>
      </w:pPr>
      <w:r>
        <w:rPr>
          <w:rFonts w:ascii="Calibri" w:hAnsi="Calibri"/>
          <w:color w:val="1E293B"/>
          <w:sz w:val="22"/>
        </w:rPr>
        <w:t>#Determined in accordance with the Materiality Policy. Notes:</w:t>
      </w:r>
    </w:p>
    <w:p>
      <w:pPr>
        <w:spacing w:after="80" w:line="276" w:lineRule="auto"/>
      </w:pPr>
      <w:r>
        <w:rPr>
          <w:rFonts w:ascii="Calibri" w:hAnsi="Calibri"/>
          <w:color w:val="1E293B"/>
          <w:sz w:val="22"/>
        </w:rPr>
        <w:t>Certain of our KMPs including, Kushal Subbayya Hegde, Rajesh Kushal Hegde, Rohit Kushal Hegde and Rakhi Girija Shetty are also our Executive Directors. Hence, litigation against our Executive Directors have not been included under the heading of KMPs to avoid repetition.</w:t>
      </w:r>
    </w:p>
    <w:p>
      <w:pPr>
        <w:spacing w:after="80" w:line="276" w:lineRule="auto"/>
      </w:pPr>
      <w:r>
        <w:rPr>
          <w:rFonts w:ascii="Calibri" w:hAnsi="Calibri"/>
          <w:color w:val="1E293B"/>
          <w:sz w:val="22"/>
        </w:rPr>
        <w:t>Certain of our SMs including, Sandesh Bhagwat, CEO, Amod Joshi, CFO, Sarthak Malvadkar, CS and Compliance Officer, and Ganesh Prasad, Technical Director, are also our KMPs. Hence, litigation against our KMPs have not been included under the heading of SMs to avoid repetition.</w:t>
      </w:r>
    </w:p>
    <w:p>
      <w:pPr>
        <w:spacing w:after="80" w:line="276" w:lineRule="auto"/>
      </w:pPr>
      <w:r>
        <w:rPr>
          <w:rFonts w:ascii="Calibri" w:hAnsi="Calibri"/>
          <w:color w:val="1E293B"/>
          <w:sz w:val="22"/>
        </w:rPr>
        <w:t>Further, as on the date of this Red Herring Prospectus, there are no outstanding litigation involving our Group Companies which may Acme Private Limited.</w:t>
      </w:r>
    </w:p>
    <w:p>
      <w:pPr>
        <w:spacing w:after="80" w:line="276" w:lineRule="auto"/>
      </w:pPr>
      <w:r>
        <w:rPr>
          <w:rFonts w:ascii="Calibri" w:hAnsi="Calibri"/>
          <w:color w:val="1E293B"/>
          <w:sz w:val="22"/>
        </w:rPr>
        <w:t>For further details, see “Outstanding Litigation and Material Developments” on page 388.</w:t>
      </w:r>
    </w:p>
    <w:p>
      <w:pPr>
        <w:spacing w:after="80" w:line="276" w:lineRule="auto"/>
      </w:pPr>
      <w:r>
        <w:rPr>
          <w:rFonts w:ascii="Calibri" w:hAnsi="Calibri"/>
          <w:color w:val="1E293B"/>
          <w:sz w:val="22"/>
        </w:rPr>
        <w:t>Risk Factors</w:t>
      </w:r>
    </w:p>
    <w:p>
      <w:pPr>
        <w:spacing w:after="80" w:line="276" w:lineRule="auto"/>
      </w:pPr>
      <w:r>
        <w:rPr>
          <w:rFonts w:ascii="Calibri" w:hAnsi="Calibri"/>
          <w:color w:val="1E293B"/>
          <w:sz w:val="22"/>
        </w:rPr>
        <w:t>Specific attention of Bidders is invited to the section “Risk Factors” on page 28. Bidders are advised to read the risk factors carefully before taking an investment decision in the Offer. Set forth below are the top 10 Northstar Technologies Ltd:</w:t>
      </w:r>
    </w:p>
    <w:p>
      <w:pPr>
        <w:spacing w:after="80" w:line="276" w:lineRule="auto"/>
      </w:pPr>
      <w:r>
        <w:rPr>
          <w:rFonts w:ascii="Calibri" w:hAnsi="Calibri"/>
          <w:color w:val="1E293B"/>
          <w:sz w:val="22"/>
        </w:rPr>
        <w:t>S. No.</w:t>
      </w:r>
    </w:p>
    <w:p>
      <w:pPr>
        <w:spacing w:after="80" w:line="276" w:lineRule="auto"/>
      </w:pPr>
      <w:r>
        <w:rPr>
          <w:rFonts w:ascii="Calibri" w:hAnsi="Calibri"/>
          <w:color w:val="1E293B"/>
          <w:sz w:val="22"/>
        </w:rPr>
        <w:t>Description of Risk</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Ananya Sharma adverse effect on our business, results of operations, financial condition and cash</w:t>
      </w:r>
    </w:p>
    <w:p>
      <w:pPr>
        <w:spacing w:after="80" w:line="276" w:lineRule="auto"/>
      </w:pPr>
      <w:r>
        <w:rPr>
          <w:rFonts w:ascii="Calibri" w:hAnsi="Calibri"/>
          <w:color w:val="1E293B"/>
          <w:sz w:val="22"/>
        </w:rPr>
        <w:t>flows.</w:t>
      </w:r>
    </w:p>
    <w:p>
      <w:pPr>
        <w:spacing w:after="80" w:line="276" w:lineRule="auto"/>
      </w:pPr>
      <w:r>
        <w:rPr>
          <w:rFonts w:ascii="Calibri" w:hAnsi="Calibri"/>
          <w:color w:val="1E293B"/>
          <w:sz w:val="22"/>
        </w:rPr>
        <w:t>2.</w:t>
      </w:r>
    </w:p>
    <w:p>
      <w:pPr>
        <w:spacing w:after="80" w:line="276" w:lineRule="auto"/>
      </w:pPr>
      <w:r>
        <w:rPr>
          <w:rFonts w:ascii="Calibri" w:hAnsi="Calibri"/>
          <w:color w:val="1E293B"/>
          <w:sz w:val="22"/>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w:t>
      </w:r>
    </w:p>
    <w:p>
      <w:pPr>
        <w:spacing w:after="80" w:line="276" w:lineRule="auto"/>
      </w:pPr>
      <w:r>
        <w:rPr>
          <w:rFonts w:ascii="Calibri" w:hAnsi="Calibri"/>
          <w:color w:val="1E293B"/>
          <w:sz w:val="22"/>
        </w:rPr>
        <w:t>of suppliers or interruptions in the timely delivery of raw materials or volatility in their prices could have an adverse impact on our business, financial condition, cash flows and results of operations.</w:t>
      </w:r>
    </w:p>
    <w:p>
      <w:pPr>
        <w:spacing w:after="80" w:line="276" w:lineRule="auto"/>
      </w:pPr>
      <w:r>
        <w:rPr>
          <w:rFonts w:ascii="Calibri" w:hAnsi="Calibri"/>
          <w:color w:val="1E293B"/>
          <w:sz w:val="22"/>
        </w:rPr>
        <w:t>3.</w:t>
      </w:r>
    </w:p>
    <w:p>
      <w:pPr>
        <w:spacing w:after="80" w:line="276" w:lineRule="auto"/>
      </w:pPr>
      <w:r>
        <w:rPr>
          <w:rFonts w:ascii="Calibri" w:hAnsi="Calibri"/>
          <w:color w:val="1E293B"/>
          <w:sz w:val="22"/>
        </w:rPr>
        <w:t>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w:t>
      </w:r>
    </w:p>
    <w:p>
      <w:pPr>
        <w:spacing w:after="80" w:line="276" w:lineRule="auto"/>
      </w:pPr>
      <w:r>
        <w:rPr>
          <w:rFonts w:ascii="Calibri" w:hAnsi="Calibri"/>
          <w:color w:val="1E293B"/>
          <w:sz w:val="22"/>
        </w:rPr>
        <w:t>business, results of operations and financial condition.</w:t>
      </w:r>
    </w:p>
    <w:p>
      <w:pPr>
        <w:spacing w:after="80" w:line="276" w:lineRule="auto"/>
      </w:pPr>
      <w:r>
        <w:rPr>
          <w:rFonts w:ascii="Calibri" w:hAnsi="Calibri"/>
          <w:color w:val="1E293B"/>
          <w:sz w:val="22"/>
        </w:rPr>
        <w:t>4.</w:t>
      </w:r>
    </w:p>
    <w:p>
      <w:pPr>
        <w:spacing w:after="80" w:line="276" w:lineRule="auto"/>
      </w:pPr>
      <w:r>
        <w:rPr>
          <w:rFonts w:ascii="Calibri" w:hAnsi="Calibri"/>
          <w:color w:val="1E293B"/>
          <w:sz w:val="22"/>
        </w:rPr>
        <w:t>A significant portion of our revenue from operations i.e. 71.73%, 74.79%,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w:t>
      </w:r>
    </w:p>
    <w:p>
      <w:pPr>
        <w:spacing w:after="80" w:line="276" w:lineRule="auto"/>
      </w:pPr>
      <w:r>
        <w:rPr>
          <w:rFonts w:ascii="Calibri" w:hAnsi="Calibri"/>
          <w:color w:val="1E293B"/>
          <w:sz w:val="22"/>
        </w:rPr>
        <w:t>of operations and financial condition.</w:t>
      </w:r>
    </w:p>
    <w:p>
      <w:pPr>
        <w:spacing w:after="80" w:line="276" w:lineRule="auto"/>
      </w:pPr>
      <w:r>
        <w:rPr>
          <w:rFonts w:ascii="Calibri" w:hAnsi="Calibri"/>
          <w:color w:val="1E293B"/>
          <w:sz w:val="22"/>
        </w:rPr>
        <w:t>5.</w:t>
      </w:r>
    </w:p>
    <w:p>
      <w:pPr>
        <w:spacing w:after="80" w:line="276" w:lineRule="auto"/>
      </w:pPr>
      <w:r>
        <w:rPr>
          <w:rFonts w:ascii="Calibri" w:hAnsi="Calibri"/>
          <w:color w:val="1E293B"/>
          <w:sz w:val="22"/>
        </w:rPr>
        <w:t>We derive a substantial portion of our revenue (more than 70% in each of the three-month period ended June 30, 2025, and</w:t>
      </w:r>
    </w:p>
    <w:p>
      <w:pPr>
        <w:spacing w:after="80" w:line="276" w:lineRule="auto"/>
      </w:pPr>
      <w:r>
        <w:rPr>
          <w:rFonts w:ascii="Calibri" w:hAnsi="Calibri"/>
          <w:color w:val="1E293B"/>
          <w:sz w:val="22"/>
        </w:rPr>
        <w:t>Fiscals 2025, 2024 and 2023) from the sale of specialized magnet winding wires. Any reduction in demand for our key products would have a material adverse effect on our business, financial condition, results of operations and cash flows.</w:t>
      </w:r>
    </w:p>
    <w:p>
      <w:pPr>
        <w:spacing w:after="80" w:line="276" w:lineRule="auto"/>
      </w:pPr>
      <w:r>
        <w:rPr>
          <w:rFonts w:ascii="Calibri" w:hAnsi="Calibri"/>
          <w:color w:val="1E293B"/>
          <w:sz w:val="22"/>
        </w:rPr>
        <w:t>6.</w:t>
      </w:r>
    </w:p>
    <w:p>
      <w:pPr>
        <w:spacing w:after="80" w:line="276" w:lineRule="auto"/>
      </w:pPr>
      <w:r>
        <w:rPr>
          <w:rFonts w:ascii="Calibri" w:hAnsi="Calibri"/>
          <w:color w:val="1E293B"/>
          <w:sz w:val="22"/>
        </w:rPr>
        <w:t>We have not yet placed orders in relation to the capital expenditure to be incurred for certain of our proposed objects of the Offer. In the event of any delay in placing the orders, or in the event the vendors are not able to provide the requisite equipment in a</w:t>
      </w:r>
    </w:p>
    <w:p>
      <w:pPr>
        <w:spacing w:after="80" w:line="276" w:lineRule="auto"/>
      </w:pPr>
      <w:r>
        <w:rPr>
          <w:rFonts w:ascii="Calibri" w:hAnsi="Calibri"/>
          <w:color w:val="1E293B"/>
          <w:sz w:val="22"/>
        </w:rPr>
        <w:t>timely manner, or at all, the same may result in time and cost over-runs.</w:t>
      </w:r>
    </w:p>
    <w:p>
      <w:pPr>
        <w:spacing w:after="80" w:line="276" w:lineRule="auto"/>
      </w:pPr>
      <w:r>
        <w:rPr>
          <w:rFonts w:ascii="Calibri" w:hAnsi="Calibri"/>
          <w:color w:val="1E293B"/>
          <w:sz w:val="22"/>
        </w:rPr>
        <w:t>7.</w:t>
      </w:r>
    </w:p>
    <w:p>
      <w:pPr>
        <w:spacing w:after="80" w:line="276" w:lineRule="auto"/>
      </w:pPr>
      <w:r>
        <w:rPr>
          <w:rFonts w:ascii="Calibri" w:hAnsi="Calibri"/>
          <w:color w:val="1E293B"/>
          <w:sz w:val="22"/>
        </w:rPr>
        <w:t>Our operations are significantly dependent on our manufacturing facilities. Any unscheduled, unplanned or prolonged disruption, slowdown or shutdown of our manufacturing facilities could have a material adverse effect on our business, financial condition,</w:t>
      </w:r>
    </w:p>
    <w:p>
      <w:pPr>
        <w:spacing w:after="80" w:line="276" w:lineRule="auto"/>
      </w:pPr>
      <w:r>
        <w:rPr>
          <w:rFonts w:ascii="Calibri" w:hAnsi="Calibri"/>
          <w:color w:val="1E293B"/>
          <w:sz w:val="22"/>
        </w:rPr>
        <w:t>cash flows and results of operations.</w:t>
      </w:r>
    </w:p>
    <w:p>
      <w:pPr>
        <w:spacing w:after="80" w:line="276" w:lineRule="auto"/>
      </w:pPr>
      <w:r>
        <w:rPr>
          <w:rFonts w:ascii="Calibri" w:hAnsi="Calibri"/>
          <w:color w:val="1E293B"/>
          <w:sz w:val="22"/>
        </w:rPr>
        <w:t>8.</w:t>
      </w:r>
    </w:p>
    <w:p>
      <w:pPr>
        <w:spacing w:after="80" w:line="276" w:lineRule="auto"/>
      </w:pPr>
      <w:r>
        <w:rPr>
          <w:rFonts w:ascii="Calibri" w:hAnsi="Calibri"/>
          <w:color w:val="1E293B"/>
          <w:sz w:val="22"/>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spacing w:after="80" w:line="276" w:lineRule="auto"/>
      </w:pPr>
      <w:r>
        <w:rPr>
          <w:rFonts w:ascii="Calibri" w:hAnsi="Calibri"/>
          <w:color w:val="1E293B"/>
          <w:sz w:val="22"/>
        </w:rPr>
        <w:t>9.</w:t>
      </w:r>
    </w:p>
    <w:p>
      <w:pPr>
        <w:spacing w:after="80" w:line="276" w:lineRule="auto"/>
      </w:pPr>
      <w:r>
        <w:rPr>
          <w:rFonts w:ascii="Calibri" w:hAnsi="Calibri"/>
          <w:color w:val="1E293B"/>
          <w:sz w:val="22"/>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w:t>
      </w:r>
    </w:p>
    <w:p>
      <w:pPr>
        <w:spacing w:after="80" w:line="276" w:lineRule="auto"/>
      </w:pPr>
      <w:r>
        <w:rPr>
          <w:rFonts w:ascii="Calibri" w:hAnsi="Calibri"/>
          <w:color w:val="1E293B"/>
          <w:sz w:val="22"/>
        </w:rPr>
        <w:t>business, revenue operations, financial condition and cash flows.</w:t>
      </w:r>
    </w:p>
    <w:p>
      <w:pPr>
        <w:spacing w:after="80" w:line="276" w:lineRule="auto"/>
      </w:pPr>
      <w:r>
        <w:rPr>
          <w:rFonts w:ascii="Calibri" w:hAnsi="Calibri"/>
          <w:color w:val="1E293B"/>
          <w:sz w:val="22"/>
        </w:rPr>
        <w:t>For further details, see “Risk Factors” on page 28.</w:t>
      </w:r>
    </w:p>
    <w:p>
      <w:pPr>
        <w:spacing w:after="80" w:line="276" w:lineRule="auto"/>
      </w:pPr>
      <w:r>
        <w:rPr>
          <w:rFonts w:ascii="Calibri" w:hAnsi="Calibri"/>
          <w:color w:val="1E293B"/>
          <w:sz w:val="22"/>
        </w:rPr>
        <w:t>Summary of contingent liabilities</w:t>
      </w:r>
    </w:p>
    <w:p>
      <w:pPr>
        <w:spacing w:after="80" w:line="276" w:lineRule="auto"/>
      </w:pPr>
      <w:r>
        <w:rPr>
          <w:rFonts w:ascii="Calibri" w:hAnsi="Calibri"/>
          <w:color w:val="1E293B"/>
          <w:sz w:val="22"/>
        </w:rPr>
        <w:t>The following is a summary table of our contingent liabilities as at the three-month period ended June 30, 2025, as derived from the Restated Financial Statements:</w:t>
      </w:r>
    </w:p>
    <w:p>
      <w:pPr>
        <w:spacing w:after="80" w:line="276" w:lineRule="auto"/>
      </w:pPr>
      <w:r>
        <w:rPr>
          <w:rFonts w:ascii="Calibri" w:hAnsi="Calibri"/>
          <w:color w:val="1E293B"/>
          <w:sz w:val="22"/>
        </w:rPr>
        <w:t>(₹ in million)</w:t>
      </w:r>
    </w:p>
    <w:p>
      <w:pPr>
        <w:spacing w:after="80" w:line="276" w:lineRule="auto"/>
      </w:pPr>
      <w:r>
        <w:rPr>
          <w:rFonts w:ascii="Calibri" w:hAnsi="Calibri"/>
          <w:color w:val="1E293B"/>
          <w:sz w:val="22"/>
        </w:rPr>
        <w:t>Particulars</w:t>
      </w:r>
    </w:p>
    <w:p>
      <w:pPr>
        <w:spacing w:after="80" w:line="276" w:lineRule="auto"/>
      </w:pPr>
      <w:r>
        <w:rPr>
          <w:rFonts w:ascii="Calibri" w:hAnsi="Calibri"/>
          <w:color w:val="1E293B"/>
          <w:sz w:val="22"/>
        </w:rPr>
        <w:t>Amount as at June 30, 2025</w:t>
      </w:r>
    </w:p>
    <w:p>
      <w:pPr>
        <w:spacing w:after="80" w:line="276" w:lineRule="auto"/>
      </w:pPr>
      <w:r>
        <w:rPr>
          <w:rFonts w:ascii="Calibri" w:hAnsi="Calibri"/>
          <w:color w:val="1E293B"/>
          <w:sz w:val="22"/>
        </w:rPr>
        <w:t>Open bank guarantees outstanding</w:t>
      </w:r>
    </w:p>
    <w:p>
      <w:pPr>
        <w:spacing w:after="80" w:line="276" w:lineRule="auto"/>
      </w:pPr>
      <w:r>
        <w:rPr>
          <w:rFonts w:ascii="Calibri" w:hAnsi="Calibri"/>
          <w:color w:val="1E293B"/>
          <w:sz w:val="22"/>
        </w:rPr>
        <w:t>34.92</w:t>
      </w:r>
    </w:p>
    <w:p>
      <w:pPr>
        <w:spacing w:after="80" w:line="276" w:lineRule="auto"/>
      </w:pPr>
      <w:r>
        <w:rPr>
          <w:rFonts w:ascii="Calibri" w:hAnsi="Calibri"/>
          <w:color w:val="1E293B"/>
          <w:sz w:val="22"/>
        </w:rPr>
        <w:t>For details, see “Restated Financial Statements – Note 28: Contingent liabilities and commitments” on page 322.</w:t>
      </w:r>
    </w:p>
    <w:p>
      <w:pPr>
        <w:spacing w:after="80" w:line="276" w:lineRule="auto"/>
      </w:pPr>
      <w:r>
        <w:rPr>
          <w:rFonts w:ascii="Calibri" w:hAnsi="Calibri"/>
          <w:color w:val="1E293B"/>
          <w:sz w:val="22"/>
        </w:rPr>
        <w:t>Summary of related party transactions</w:t>
      </w:r>
    </w:p>
    <w:p>
      <w:pPr>
        <w:spacing w:after="80" w:line="276" w:lineRule="auto"/>
      </w:pPr>
      <w:r>
        <w:rPr>
          <w:rFonts w:ascii="Calibri" w:hAnsi="Calibri"/>
          <w:color w:val="1E293B"/>
          <w:sz w:val="22"/>
        </w:rPr>
        <w:t>The summary of related party transactions, as per the requirements under Ind AS 24 – ‘Related Party Disclosures’, entered into by us for the three-month period ended June 30, 2025 and Fiscals 2025, 2024 and 2023, as derived from the Restated Financial Statements are as set out in the table below:</w:t>
      </w:r>
    </w:p>
    <w:p>
      <w:pPr>
        <w:spacing w:after="80" w:line="276" w:lineRule="auto"/>
      </w:pPr>
      <w:r>
        <w:rPr>
          <w:rFonts w:ascii="Calibri" w:hAnsi="Calibri"/>
          <w:color w:val="1E293B"/>
          <w:sz w:val="22"/>
        </w:rPr>
        <w:t>(₹ in million)</w:t>
      </w:r>
    </w:p>
    <w:p>
      <w:pPr>
        <w:spacing w:after="80" w:line="276" w:lineRule="auto"/>
      </w:pPr>
      <w:r>
        <w:rPr>
          <w:rFonts w:ascii="Calibri" w:hAnsi="Calibri"/>
          <w:color w:val="1E293B"/>
          <w:sz w:val="22"/>
        </w:rPr>
        <w:t>Nature of transaction</w:t>
      </w:r>
    </w:p>
    <w:p>
      <w:pPr>
        <w:spacing w:after="80" w:line="276" w:lineRule="auto"/>
      </w:pPr>
      <w:r>
        <w:rPr>
          <w:rFonts w:ascii="Calibri" w:hAnsi="Calibri"/>
          <w:color w:val="1E293B"/>
          <w:sz w:val="22"/>
        </w:rPr>
        <w:t>Name Maya Rao whom transactions have taken</w:t>
      </w:r>
    </w:p>
    <w:p>
      <w:pPr>
        <w:spacing w:after="80" w:line="276" w:lineRule="auto"/>
      </w:pPr>
      <w:r>
        <w:rPr>
          <w:rFonts w:ascii="Calibri" w:hAnsi="Calibri"/>
          <w:color w:val="1E293B"/>
          <w:sz w:val="22"/>
        </w:rPr>
        <w:t>place</w:t>
      </w:r>
    </w:p>
    <w:p>
      <w:pPr>
        <w:spacing w:after="80" w:line="276" w:lineRule="auto"/>
      </w:pPr>
      <w:r>
        <w:rPr>
          <w:rFonts w:ascii="Calibri" w:hAnsi="Calibri"/>
          <w:color w:val="1E293B"/>
          <w:sz w:val="22"/>
        </w:rPr>
        <w:t>Nature of relationship</w:t>
      </w:r>
    </w:p>
    <w:p>
      <w:pPr>
        <w:spacing w:after="80" w:line="276" w:lineRule="auto"/>
      </w:pPr>
      <w:r>
        <w:rPr>
          <w:rFonts w:ascii="Calibri" w:hAnsi="Calibri"/>
          <w:color w:val="1E293B"/>
          <w:sz w:val="22"/>
        </w:rPr>
        <w:t>Three-month period ended June 30,</w:t>
      </w:r>
    </w:p>
    <w:p>
      <w:pPr>
        <w:spacing w:after="80" w:line="276" w:lineRule="auto"/>
      </w:pPr>
      <w:r>
        <w:rPr>
          <w:rFonts w:ascii="Calibri" w:hAnsi="Calibri"/>
          <w:color w:val="1E293B"/>
          <w:sz w:val="22"/>
        </w:rPr>
        <w:t>2025</w:t>
      </w:r>
    </w:p>
    <w:p>
      <w:pPr>
        <w:spacing w:after="80" w:line="276" w:lineRule="auto"/>
      </w:pPr>
      <w:r>
        <w:rPr>
          <w:rFonts w:ascii="Calibri" w:hAnsi="Calibri"/>
          <w:color w:val="1E293B"/>
          <w:sz w:val="22"/>
        </w:rPr>
        <w:t>% of revenue from operations</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 of revenue from operations</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 of revenue from operations</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 of revenue from operations</w:t>
      </w:r>
    </w:p>
    <w:p>
      <w:pPr>
        <w:spacing w:after="80" w:line="276" w:lineRule="auto"/>
      </w:pPr>
      <w:r>
        <w:rPr>
          <w:rFonts w:ascii="Calibri" w:hAnsi="Calibri"/>
          <w:color w:val="1E293B"/>
          <w:sz w:val="22"/>
        </w:rPr>
        <w:t>Purchaseof goods</w:t>
      </w:r>
    </w:p>
    <w:p>
      <w:pPr>
        <w:spacing w:after="80" w:line="276" w:lineRule="auto"/>
      </w:pPr>
      <w:r>
        <w:rPr>
          <w:rFonts w:ascii="Calibri" w:hAnsi="Calibri"/>
          <w:color w:val="1E293B"/>
          <w:sz w:val="22"/>
        </w:rPr>
        <w:t>Kushal Electricals</w:t>
      </w:r>
    </w:p>
    <w:p>
      <w:pPr>
        <w:spacing w:after="80" w:line="276" w:lineRule="auto"/>
      </w:pPr>
      <w:r>
        <w:rPr>
          <w:rFonts w:ascii="Calibri" w:hAnsi="Calibri"/>
          <w:color w:val="1E293B"/>
          <w:sz w:val="22"/>
        </w:rPr>
        <w:t>Promoters are partners inthe</w:t>
      </w:r>
    </w:p>
    <w:p>
      <w:pPr>
        <w:spacing w:after="80" w:line="276" w:lineRule="auto"/>
      </w:pPr>
      <w:r>
        <w:rPr>
          <w:rFonts w:ascii="Calibri" w:hAnsi="Calibri"/>
          <w:color w:val="1E293B"/>
          <w:sz w:val="22"/>
        </w:rPr>
        <w:t>partnership firm</w:t>
      </w:r>
    </w:p>
    <w:p>
      <w:pPr>
        <w:spacing w:after="80" w:line="276" w:lineRule="auto"/>
      </w:pPr>
      <w:r>
        <w:rPr>
          <w:rFonts w:ascii="Calibri" w:hAnsi="Calibri"/>
          <w:color w:val="1E293B"/>
          <w:sz w:val="22"/>
        </w:rPr>
        <w:t>0.39</w:t>
      </w:r>
    </w:p>
    <w:p>
      <w:pPr>
        <w:spacing w:after="80" w:line="276" w:lineRule="auto"/>
      </w:pPr>
      <w:r>
        <w:rPr>
          <w:rFonts w:ascii="Calibri" w:hAnsi="Calibri"/>
          <w:color w:val="1E293B"/>
          <w:sz w:val="22"/>
        </w:rPr>
        <w:t>0.01%</w:t>
      </w:r>
    </w:p>
    <w:p>
      <w:pPr>
        <w:spacing w:after="80" w:line="276" w:lineRule="auto"/>
      </w:pPr>
      <w:r>
        <w:rPr>
          <w:rFonts w:ascii="Calibri" w:hAnsi="Calibri"/>
          <w:color w:val="1E293B"/>
          <w:sz w:val="22"/>
        </w:rPr>
        <w:t>0.27</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0.28</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0.19</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Purchaseof goods</w:t>
      </w:r>
    </w:p>
    <w:p>
      <w:pPr>
        <w:spacing w:after="80" w:line="276" w:lineRule="auto"/>
      </w:pPr>
      <w:r>
        <w:rPr>
          <w:rFonts w:ascii="Calibri" w:hAnsi="Calibri"/>
          <w:color w:val="1E293B"/>
          <w:sz w:val="22"/>
        </w:rPr>
        <w:t>Waterloo Motors</w:t>
      </w:r>
    </w:p>
    <w:p>
      <w:pPr>
        <w:spacing w:after="80" w:line="276" w:lineRule="auto"/>
      </w:pPr>
      <w:r>
        <w:rPr>
          <w:rFonts w:ascii="Calibri" w:hAnsi="Calibri"/>
          <w:color w:val="1E293B"/>
          <w:sz w:val="22"/>
        </w:rPr>
        <w:t>Promoters are partners inthe</w:t>
      </w:r>
    </w:p>
    <w:p>
      <w:pPr>
        <w:spacing w:after="80" w:line="276" w:lineRule="auto"/>
      </w:pPr>
      <w:r>
        <w:rPr>
          <w:rFonts w:ascii="Calibri" w:hAnsi="Calibri"/>
          <w:color w:val="1E293B"/>
          <w:sz w:val="22"/>
        </w:rPr>
        <w:t>partnership firm</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0.27</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0.10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0.13</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Services received</w:t>
      </w:r>
    </w:p>
    <w:p>
      <w:pPr>
        <w:spacing w:after="80" w:line="276" w:lineRule="auto"/>
      </w:pPr>
      <w:r>
        <w:rPr>
          <w:rFonts w:ascii="Calibri" w:hAnsi="Calibri"/>
          <w:color w:val="1E293B"/>
          <w:sz w:val="22"/>
        </w:rPr>
        <w:t>KSH</w:t>
      </w:r>
    </w:p>
    <w:p>
      <w:pPr>
        <w:spacing w:after="80" w:line="276" w:lineRule="auto"/>
      </w:pPr>
      <w:r>
        <w:rPr>
          <w:rFonts w:ascii="Calibri" w:hAnsi="Calibri"/>
          <w:color w:val="1E293B"/>
          <w:sz w:val="22"/>
        </w:rPr>
        <w:t>Distriparks</w:t>
      </w:r>
    </w:p>
    <w:p>
      <w:pPr>
        <w:spacing w:after="80" w:line="276" w:lineRule="auto"/>
      </w:pPr>
      <w:r>
        <w:rPr>
          <w:rFonts w:ascii="Calibri" w:hAnsi="Calibri"/>
          <w:color w:val="1E293B"/>
          <w:sz w:val="22"/>
        </w:rPr>
        <w:t>Bluebird Capital LLP</w:t>
      </w:r>
    </w:p>
    <w:p>
      <w:pPr>
        <w:spacing w:after="80" w:line="276" w:lineRule="auto"/>
      </w:pPr>
      <w:r>
        <w:rPr>
          <w:rFonts w:ascii="Calibri" w:hAnsi="Calibri"/>
          <w:color w:val="1E293B"/>
          <w:sz w:val="22"/>
        </w:rPr>
        <w:t>Common control</w:t>
      </w:r>
    </w:p>
    <w:p>
      <w:pPr>
        <w:spacing w:after="80" w:line="276" w:lineRule="auto"/>
      </w:pPr>
      <w:r>
        <w:rPr>
          <w:rFonts w:ascii="Calibri" w:hAnsi="Calibri"/>
          <w:color w:val="1E293B"/>
          <w:sz w:val="22"/>
        </w:rPr>
        <w:t>0.37</w:t>
      </w:r>
    </w:p>
    <w:p>
      <w:pPr>
        <w:spacing w:after="80" w:line="276" w:lineRule="auto"/>
      </w:pPr>
      <w:r>
        <w:rPr>
          <w:rFonts w:ascii="Calibri" w:hAnsi="Calibri"/>
          <w:color w:val="1E293B"/>
          <w:sz w:val="22"/>
        </w:rPr>
        <w:t>0.01%</w:t>
      </w:r>
    </w:p>
    <w:p>
      <w:pPr>
        <w:spacing w:after="80" w:line="276" w:lineRule="auto"/>
      </w:pPr>
      <w:r>
        <w:rPr>
          <w:rFonts w:ascii="Calibri" w:hAnsi="Calibri"/>
          <w:color w:val="1E293B"/>
          <w:sz w:val="22"/>
        </w:rPr>
        <w:t>3.23</w:t>
      </w:r>
    </w:p>
    <w:p>
      <w:pPr>
        <w:spacing w:after="80" w:line="276" w:lineRule="auto"/>
      </w:pPr>
      <w:r>
        <w:rPr>
          <w:rFonts w:ascii="Calibri" w:hAnsi="Calibri"/>
          <w:color w:val="1E293B"/>
          <w:sz w:val="22"/>
        </w:rPr>
        <w:t>0.02%</w:t>
      </w:r>
    </w:p>
    <w:p>
      <w:pPr>
        <w:spacing w:after="80" w:line="276" w:lineRule="auto"/>
      </w:pPr>
      <w:r>
        <w:rPr>
          <w:rFonts w:ascii="Calibri" w:hAnsi="Calibri"/>
          <w:color w:val="1E293B"/>
          <w:sz w:val="22"/>
        </w:rPr>
        <w:t>2.91</w:t>
      </w:r>
    </w:p>
    <w:p>
      <w:pPr>
        <w:spacing w:after="80" w:line="276" w:lineRule="auto"/>
      </w:pPr>
      <w:r>
        <w:rPr>
          <w:rFonts w:ascii="Calibri" w:hAnsi="Calibri"/>
          <w:color w:val="1E293B"/>
          <w:sz w:val="22"/>
        </w:rPr>
        <w:t>0.02%</w:t>
      </w:r>
    </w:p>
    <w:p>
      <w:pPr>
        <w:spacing w:after="80" w:line="276" w:lineRule="auto"/>
      </w:pPr>
      <w:r>
        <w:rPr>
          <w:rFonts w:ascii="Calibri" w:hAnsi="Calibri"/>
          <w:color w:val="1E293B"/>
          <w:sz w:val="22"/>
        </w:rPr>
        <w:t>3.66</w:t>
      </w:r>
    </w:p>
    <w:p>
      <w:pPr>
        <w:spacing w:after="80" w:line="276" w:lineRule="auto"/>
      </w:pPr>
      <w:r>
        <w:rPr>
          <w:rFonts w:ascii="Calibri" w:hAnsi="Calibri"/>
          <w:color w:val="1E293B"/>
          <w:sz w:val="22"/>
        </w:rPr>
        <w:t>0.03%</w:t>
      </w:r>
    </w:p>
    <w:p>
      <w:pPr>
        <w:spacing w:after="80" w:line="276" w:lineRule="auto"/>
      </w:pPr>
      <w:r>
        <w:rPr>
          <w:rFonts w:ascii="Calibri" w:hAnsi="Calibri"/>
          <w:color w:val="1E293B"/>
          <w:sz w:val="22"/>
        </w:rPr>
        <w:t>Services received</w:t>
      </w:r>
    </w:p>
    <w:p>
      <w:pPr>
        <w:spacing w:after="80" w:line="276" w:lineRule="auto"/>
      </w:pPr>
      <w:r>
        <w:rPr>
          <w:rFonts w:ascii="Calibri" w:hAnsi="Calibri"/>
          <w:color w:val="1E293B"/>
          <w:sz w:val="22"/>
        </w:rPr>
        <w:t>Parijat Foundation</w:t>
      </w:r>
    </w:p>
    <w:p>
      <w:pPr>
        <w:spacing w:after="80" w:line="276" w:lineRule="auto"/>
      </w:pPr>
      <w:r>
        <w:rPr>
          <w:rFonts w:ascii="Calibri" w:hAnsi="Calibri"/>
          <w:color w:val="1E293B"/>
          <w:sz w:val="22"/>
        </w:rPr>
        <w:t>Promoters</w:t>
      </w:r>
    </w:p>
    <w:p>
      <w:pPr>
        <w:spacing w:after="80" w:line="276" w:lineRule="auto"/>
      </w:pPr>
      <w:r>
        <w:rPr>
          <w:rFonts w:ascii="Calibri" w:hAnsi="Calibri"/>
          <w:color w:val="1E293B"/>
          <w:sz w:val="22"/>
        </w:rPr>
        <w:t>are trustees in the trust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4.26</w:t>
      </w:r>
    </w:p>
    <w:p>
      <w:pPr>
        <w:spacing w:after="80" w:line="276" w:lineRule="auto"/>
      </w:pPr>
      <w:r>
        <w:rPr>
          <w:rFonts w:ascii="Calibri" w:hAnsi="Calibri"/>
          <w:color w:val="1E293B"/>
          <w:sz w:val="22"/>
        </w:rPr>
        <w:t>0.02%</w:t>
      </w:r>
    </w:p>
    <w:p>
      <w:pPr>
        <w:spacing w:after="80" w:line="276" w:lineRule="auto"/>
      </w:pPr>
      <w:r>
        <w:rPr>
          <w:rFonts w:ascii="Calibri" w:hAnsi="Calibri"/>
          <w:color w:val="1E293B"/>
          <w:sz w:val="22"/>
        </w:rPr>
        <w:t>1.50</w:t>
      </w:r>
    </w:p>
    <w:p>
      <w:pPr>
        <w:spacing w:after="80" w:line="276" w:lineRule="auto"/>
      </w:pPr>
      <w:r>
        <w:rPr>
          <w:rFonts w:ascii="Calibri" w:hAnsi="Calibri"/>
          <w:color w:val="1E293B"/>
          <w:sz w:val="22"/>
        </w:rPr>
        <w:t>0.01%</w:t>
      </w:r>
    </w:p>
    <w:p>
      <w:pPr>
        <w:spacing w:after="80" w:line="276" w:lineRule="auto"/>
      </w:pPr>
      <w:r>
        <w:rPr>
          <w:rFonts w:ascii="Calibri" w:hAnsi="Calibri"/>
          <w:color w:val="1E293B"/>
          <w:sz w:val="22"/>
        </w:rPr>
        <w:t>2.00</w:t>
      </w:r>
    </w:p>
    <w:p>
      <w:pPr>
        <w:spacing w:after="80" w:line="276" w:lineRule="auto"/>
      </w:pPr>
      <w:r>
        <w:rPr>
          <w:rFonts w:ascii="Calibri" w:hAnsi="Calibri"/>
          <w:color w:val="1E293B"/>
          <w:sz w:val="22"/>
        </w:rPr>
        <w:t>0.02%</w:t>
      </w:r>
    </w:p>
    <w:p>
      <w:pPr>
        <w:spacing w:after="80" w:line="276" w:lineRule="auto"/>
      </w:pPr>
      <w:r>
        <w:rPr>
          <w:rFonts w:ascii="Calibri" w:hAnsi="Calibri"/>
          <w:color w:val="1E293B"/>
          <w:sz w:val="22"/>
        </w:rPr>
        <w:t>Deposit paid</w:t>
      </w:r>
    </w:p>
    <w:p>
      <w:pPr>
        <w:spacing w:after="80" w:line="276" w:lineRule="auto"/>
      </w:pPr>
      <w:r>
        <w:rPr>
          <w:rFonts w:ascii="Calibri" w:hAnsi="Calibri"/>
          <w:color w:val="1E293B"/>
          <w:sz w:val="22"/>
        </w:rPr>
        <w:t>KSHInfra Park 4 Private</w:t>
      </w:r>
    </w:p>
    <w:p>
      <w:pPr>
        <w:spacing w:after="80" w:line="276" w:lineRule="auto"/>
      </w:pPr>
      <w:r>
        <w:rPr>
          <w:rFonts w:ascii="Calibri" w:hAnsi="Calibri"/>
          <w:color w:val="1E293B"/>
          <w:sz w:val="22"/>
        </w:rPr>
        <w:t>Limited</w:t>
      </w:r>
    </w:p>
    <w:p>
      <w:pPr>
        <w:spacing w:after="80" w:line="276" w:lineRule="auto"/>
      </w:pPr>
      <w:r>
        <w:rPr>
          <w:rFonts w:ascii="Calibri" w:hAnsi="Calibri"/>
          <w:color w:val="1E293B"/>
          <w:sz w:val="22"/>
        </w:rPr>
        <w:t>Common control</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0.95%</w:t>
      </w:r>
    </w:p>
    <w:p>
      <w:pPr>
        <w:spacing w:after="80" w:line="276" w:lineRule="auto"/>
      </w:pPr>
      <w:r>
        <w:rPr>
          <w:rFonts w:ascii="Calibri" w:hAnsi="Calibri"/>
          <w:color w:val="1E293B"/>
          <w:sz w:val="22"/>
        </w:rPr>
        <w:t>Remuneration paid#</w:t>
      </w:r>
    </w:p>
    <w:p>
      <w:pPr>
        <w:spacing w:after="80" w:line="276" w:lineRule="auto"/>
      </w:pPr>
      <w:r>
        <w:rPr>
          <w:rFonts w:ascii="Calibri" w:hAnsi="Calibri"/>
          <w:color w:val="1E293B"/>
          <w:sz w:val="22"/>
        </w:rPr>
        <w:t>Remuneration paid to key managerial</w:t>
      </w:r>
    </w:p>
    <w:p>
      <w:pPr>
        <w:spacing w:after="80" w:line="276" w:lineRule="auto"/>
      </w:pPr>
      <w:r>
        <w:rPr>
          <w:rFonts w:ascii="Calibri" w:hAnsi="Calibri"/>
          <w:color w:val="1E293B"/>
          <w:sz w:val="22"/>
        </w:rPr>
        <w:t>personnel</w:t>
      </w:r>
    </w:p>
    <w:p>
      <w:pPr>
        <w:spacing w:after="80" w:line="276" w:lineRule="auto"/>
      </w:pPr>
      <w:r>
        <w:rPr>
          <w:rFonts w:ascii="Calibri" w:hAnsi="Calibri"/>
          <w:color w:val="1E293B"/>
          <w:sz w:val="22"/>
        </w:rPr>
        <w:t>Key managerial personnel</w:t>
      </w:r>
    </w:p>
    <w:p>
      <w:pPr>
        <w:spacing w:after="80" w:line="276" w:lineRule="auto"/>
      </w:pPr>
      <w:r>
        <w:rPr>
          <w:rFonts w:ascii="Calibri" w:hAnsi="Calibri"/>
          <w:color w:val="1E293B"/>
          <w:sz w:val="22"/>
        </w:rPr>
        <w:t>40.10</w:t>
      </w:r>
    </w:p>
    <w:p>
      <w:pPr>
        <w:spacing w:after="80" w:line="276" w:lineRule="auto"/>
      </w:pPr>
      <w:r>
        <w:rPr>
          <w:rFonts w:ascii="Calibri" w:hAnsi="Calibri"/>
          <w:color w:val="1E293B"/>
          <w:sz w:val="22"/>
        </w:rPr>
        <w:t>0.72%</w:t>
      </w:r>
    </w:p>
    <w:p>
      <w:pPr>
        <w:spacing w:after="80" w:line="276" w:lineRule="auto"/>
      </w:pPr>
      <w:r>
        <w:rPr>
          <w:rFonts w:ascii="Calibri" w:hAnsi="Calibri"/>
          <w:color w:val="1E293B"/>
          <w:sz w:val="22"/>
        </w:rPr>
        <w:t>138.44</w:t>
      </w:r>
    </w:p>
    <w:p>
      <w:pPr>
        <w:spacing w:after="80" w:line="276" w:lineRule="auto"/>
      </w:pPr>
      <w:r>
        <w:rPr>
          <w:rFonts w:ascii="Calibri" w:hAnsi="Calibri"/>
          <w:color w:val="1E293B"/>
          <w:sz w:val="22"/>
        </w:rPr>
        <w:t>0.72%</w:t>
      </w:r>
    </w:p>
    <w:p>
      <w:pPr>
        <w:spacing w:after="80" w:line="276" w:lineRule="auto"/>
      </w:pPr>
      <w:r>
        <w:rPr>
          <w:rFonts w:ascii="Calibri" w:hAnsi="Calibri"/>
          <w:color w:val="1E293B"/>
          <w:sz w:val="22"/>
        </w:rPr>
        <w:t>100.35</w:t>
      </w:r>
    </w:p>
    <w:p>
      <w:pPr>
        <w:spacing w:after="80" w:line="276" w:lineRule="auto"/>
      </w:pPr>
      <w:r>
        <w:rPr>
          <w:rFonts w:ascii="Calibri" w:hAnsi="Calibri"/>
          <w:color w:val="1E293B"/>
          <w:sz w:val="22"/>
        </w:rPr>
        <w:t>0.73%</w:t>
      </w:r>
    </w:p>
    <w:p>
      <w:pPr>
        <w:spacing w:after="80" w:line="276" w:lineRule="auto"/>
      </w:pPr>
      <w:r>
        <w:rPr>
          <w:rFonts w:ascii="Calibri" w:hAnsi="Calibri"/>
          <w:color w:val="1E293B"/>
          <w:sz w:val="22"/>
        </w:rPr>
        <w:t>123.32</w:t>
      </w:r>
    </w:p>
    <w:p>
      <w:pPr>
        <w:spacing w:after="80" w:line="276" w:lineRule="auto"/>
      </w:pPr>
      <w:r>
        <w:rPr>
          <w:rFonts w:ascii="Calibri" w:hAnsi="Calibri"/>
          <w:color w:val="1E293B"/>
          <w:sz w:val="22"/>
        </w:rPr>
        <w:t>1.18%</w:t>
      </w:r>
    </w:p>
    <w:p>
      <w:pPr>
        <w:spacing w:after="80" w:line="276" w:lineRule="auto"/>
      </w:pPr>
      <w:r>
        <w:rPr>
          <w:rFonts w:ascii="Calibri" w:hAnsi="Calibri"/>
          <w:color w:val="1E293B"/>
          <w:sz w:val="22"/>
        </w:rPr>
        <w:t>Remuneration paid#</w:t>
      </w:r>
    </w:p>
    <w:p>
      <w:pPr>
        <w:spacing w:after="80" w:line="276" w:lineRule="auto"/>
      </w:pPr>
      <w:r>
        <w:rPr>
          <w:rFonts w:ascii="Calibri" w:hAnsi="Calibri"/>
          <w:color w:val="1E293B"/>
          <w:sz w:val="22"/>
        </w:rPr>
        <w:t>Remuneration paidto</w:t>
      </w:r>
    </w:p>
    <w:p>
      <w:pPr>
        <w:spacing w:after="80" w:line="276" w:lineRule="auto"/>
      </w:pPr>
      <w:r>
        <w:rPr>
          <w:rFonts w:ascii="Calibri" w:hAnsi="Calibri"/>
          <w:color w:val="1E293B"/>
          <w:sz w:val="22"/>
        </w:rPr>
        <w:t>relativesof Key Managerial</w:t>
      </w:r>
    </w:p>
    <w:p>
      <w:pPr>
        <w:spacing w:after="80" w:line="276" w:lineRule="auto"/>
      </w:pPr>
      <w:r>
        <w:rPr>
          <w:rFonts w:ascii="Calibri" w:hAnsi="Calibri"/>
          <w:color w:val="1E293B"/>
          <w:sz w:val="22"/>
        </w:rPr>
        <w:t>Personnel</w:t>
      </w:r>
    </w:p>
    <w:p>
      <w:pPr>
        <w:spacing w:after="80" w:line="276" w:lineRule="auto"/>
      </w:pPr>
      <w:r>
        <w:rPr>
          <w:rFonts w:ascii="Calibri" w:hAnsi="Calibri"/>
          <w:color w:val="1E293B"/>
          <w:sz w:val="22"/>
        </w:rPr>
        <w:t>Relatives of key managerial personnel</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0.89</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0.98</w:t>
      </w:r>
    </w:p>
    <w:p>
      <w:pPr>
        <w:spacing w:after="80" w:line="276" w:lineRule="auto"/>
      </w:pPr>
      <w:r>
        <w:rPr>
          <w:rFonts w:ascii="Calibri" w:hAnsi="Calibri"/>
          <w:color w:val="1E293B"/>
          <w:sz w:val="22"/>
        </w:rPr>
        <w:t>0.01%</w:t>
      </w:r>
    </w:p>
    <w:p>
      <w:pPr>
        <w:spacing w:after="80" w:line="276" w:lineRule="auto"/>
      </w:pPr>
      <w:r>
        <w:rPr>
          <w:rFonts w:ascii="Calibri" w:hAnsi="Calibri"/>
          <w:color w:val="1E293B"/>
          <w:sz w:val="22"/>
        </w:rPr>
        <w:t>0.92</w:t>
      </w:r>
    </w:p>
    <w:p>
      <w:pPr>
        <w:spacing w:after="80" w:line="276" w:lineRule="auto"/>
      </w:pPr>
      <w:r>
        <w:rPr>
          <w:rFonts w:ascii="Calibri" w:hAnsi="Calibri"/>
          <w:color w:val="1E293B"/>
          <w:sz w:val="22"/>
        </w:rPr>
        <w:t>0.01%</w:t>
      </w:r>
    </w:p>
    <w:p>
      <w:pPr>
        <w:spacing w:after="80" w:line="276" w:lineRule="auto"/>
      </w:pPr>
      <w:r>
        <w:rPr>
          <w:rFonts w:ascii="Calibri" w:hAnsi="Calibri"/>
          <w:color w:val="1E293B"/>
          <w:sz w:val="22"/>
        </w:rPr>
        <w:t>ShareBased Payment Expense</w:t>
      </w:r>
    </w:p>
    <w:p>
      <w:pPr>
        <w:spacing w:after="80" w:line="276" w:lineRule="auto"/>
      </w:pPr>
      <w:r>
        <w:rPr>
          <w:rFonts w:ascii="Calibri" w:hAnsi="Calibri"/>
          <w:color w:val="1E293B"/>
          <w:sz w:val="22"/>
        </w:rPr>
        <w:t>ShareBased Payment Expenseof Key Managerial</w:t>
      </w:r>
    </w:p>
    <w:p>
      <w:pPr>
        <w:spacing w:after="80" w:line="276" w:lineRule="auto"/>
      </w:pPr>
      <w:r>
        <w:rPr>
          <w:rFonts w:ascii="Calibri" w:hAnsi="Calibri"/>
          <w:color w:val="1E293B"/>
          <w:sz w:val="22"/>
        </w:rPr>
        <w:t>Personnel</w:t>
      </w:r>
    </w:p>
    <w:p>
      <w:pPr>
        <w:spacing w:after="80" w:line="276" w:lineRule="auto"/>
      </w:pPr>
      <w:r>
        <w:rPr>
          <w:rFonts w:ascii="Calibri" w:hAnsi="Calibri"/>
          <w:color w:val="1E293B"/>
          <w:sz w:val="22"/>
        </w:rPr>
        <w:t>Key managerial personnel</w:t>
      </w:r>
    </w:p>
    <w:p>
      <w:pPr>
        <w:spacing w:after="80" w:line="276" w:lineRule="auto"/>
      </w:pPr>
      <w:r>
        <w:rPr>
          <w:rFonts w:ascii="Calibri" w:hAnsi="Calibri"/>
          <w:color w:val="1E293B"/>
          <w:sz w:val="22"/>
        </w:rPr>
        <w:t>0.36</w:t>
      </w:r>
    </w:p>
    <w:p>
      <w:pPr>
        <w:spacing w:after="80" w:line="276" w:lineRule="auto"/>
      </w:pPr>
      <w:r>
        <w:rPr>
          <w:rFonts w:ascii="Calibri" w:hAnsi="Calibri"/>
          <w:color w:val="1E293B"/>
          <w:sz w:val="22"/>
        </w:rPr>
        <w:t>0.01%</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SittingFees</w:t>
      </w:r>
    </w:p>
    <w:p>
      <w:pPr>
        <w:spacing w:after="80" w:line="276" w:lineRule="auto"/>
      </w:pPr>
      <w:r>
        <w:rPr>
          <w:rFonts w:ascii="Calibri" w:hAnsi="Calibri"/>
          <w:color w:val="1E293B"/>
          <w:sz w:val="22"/>
        </w:rPr>
        <w:t>paidto</w:t>
      </w:r>
    </w:p>
    <w:p>
      <w:pPr>
        <w:spacing w:after="80" w:line="276" w:lineRule="auto"/>
      </w:pPr>
      <w:r>
        <w:rPr>
          <w:rFonts w:ascii="Calibri" w:hAnsi="Calibri"/>
          <w:color w:val="1E293B"/>
          <w:sz w:val="22"/>
        </w:rPr>
        <w:t>Independent Directors</w:t>
      </w:r>
    </w:p>
    <w:p>
      <w:pPr>
        <w:spacing w:after="80" w:line="276" w:lineRule="auto"/>
      </w:pPr>
      <w:r>
        <w:rPr>
          <w:rFonts w:ascii="Calibri" w:hAnsi="Calibri"/>
          <w:color w:val="1E293B"/>
          <w:sz w:val="22"/>
        </w:rPr>
        <w:t>Paymentto Independent Directors</w:t>
      </w:r>
    </w:p>
    <w:p>
      <w:pPr>
        <w:spacing w:after="80" w:line="276" w:lineRule="auto"/>
      </w:pPr>
      <w:r>
        <w:rPr>
          <w:rFonts w:ascii="Calibri" w:hAnsi="Calibri"/>
          <w:color w:val="1E293B"/>
          <w:sz w:val="22"/>
        </w:rPr>
        <w:t>Independent directors</w:t>
      </w:r>
    </w:p>
    <w:p>
      <w:pPr>
        <w:spacing w:after="80" w:line="276" w:lineRule="auto"/>
      </w:pPr>
      <w:r>
        <w:rPr>
          <w:rFonts w:ascii="Calibri" w:hAnsi="Calibri"/>
          <w:color w:val="1E293B"/>
          <w:sz w:val="22"/>
        </w:rPr>
        <w:t>1.92</w:t>
      </w:r>
    </w:p>
    <w:p>
      <w:pPr>
        <w:spacing w:after="80" w:line="276" w:lineRule="auto"/>
      </w:pPr>
      <w:r>
        <w:rPr>
          <w:rFonts w:ascii="Calibri" w:hAnsi="Calibri"/>
          <w:color w:val="1E293B"/>
          <w:sz w:val="22"/>
        </w:rPr>
        <w:t>0.03%</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Total</w:t>
      </w:r>
    </w:p>
    <w:p>
      <w:pPr>
        <w:spacing w:after="80" w:line="276" w:lineRule="auto"/>
      </w:pPr>
      <w:r>
        <w:rPr>
          <w:rFonts w:ascii="Calibri" w:hAnsi="Calibri"/>
          <w:color w:val="1E293B"/>
          <w:sz w:val="22"/>
        </w:rPr>
        <w:t>43.14</w:t>
      </w:r>
    </w:p>
    <w:p>
      <w:pPr>
        <w:spacing w:after="80" w:line="276" w:lineRule="auto"/>
      </w:pPr>
      <w:r>
        <w:rPr>
          <w:rFonts w:ascii="Calibri" w:hAnsi="Calibri"/>
          <w:color w:val="1E293B"/>
          <w:sz w:val="22"/>
        </w:rPr>
        <w:t>0.77%</w:t>
      </w:r>
    </w:p>
    <w:p>
      <w:pPr>
        <w:spacing w:after="80" w:line="276" w:lineRule="auto"/>
      </w:pPr>
      <w:r>
        <w:rPr>
          <w:rFonts w:ascii="Calibri" w:hAnsi="Calibri"/>
          <w:color w:val="1E293B"/>
          <w:sz w:val="22"/>
        </w:rPr>
        <w:t>147.36</w:t>
      </w:r>
    </w:p>
    <w:p>
      <w:pPr>
        <w:spacing w:after="80" w:line="276" w:lineRule="auto"/>
      </w:pPr>
      <w:r>
        <w:rPr>
          <w:rFonts w:ascii="Calibri" w:hAnsi="Calibri"/>
          <w:color w:val="1E293B"/>
          <w:sz w:val="22"/>
        </w:rPr>
        <w:t>0.72%</w:t>
      </w:r>
    </w:p>
    <w:p>
      <w:pPr>
        <w:spacing w:after="80" w:line="276" w:lineRule="auto"/>
      </w:pPr>
      <w:r>
        <w:rPr>
          <w:rFonts w:ascii="Calibri" w:hAnsi="Calibri"/>
          <w:color w:val="1E293B"/>
          <w:sz w:val="22"/>
        </w:rPr>
        <w:t>106.12</w:t>
      </w:r>
    </w:p>
    <w:p>
      <w:pPr>
        <w:spacing w:after="80" w:line="276" w:lineRule="auto"/>
      </w:pPr>
      <w:r>
        <w:rPr>
          <w:rFonts w:ascii="Calibri" w:hAnsi="Calibri"/>
          <w:color w:val="1E293B"/>
          <w:sz w:val="22"/>
        </w:rPr>
        <w:t>0.77%</w:t>
      </w:r>
    </w:p>
    <w:p>
      <w:pPr>
        <w:spacing w:after="80" w:line="276" w:lineRule="auto"/>
      </w:pPr>
      <w:r>
        <w:rPr>
          <w:rFonts w:ascii="Calibri" w:hAnsi="Calibri"/>
          <w:color w:val="1E293B"/>
          <w:sz w:val="22"/>
        </w:rPr>
        <w:t>230.22</w:t>
      </w:r>
    </w:p>
    <w:p>
      <w:pPr>
        <w:spacing w:after="80" w:line="276" w:lineRule="auto"/>
      </w:pPr>
      <w:r>
        <w:rPr>
          <w:rFonts w:ascii="Calibri" w:hAnsi="Calibri"/>
          <w:color w:val="1E293B"/>
          <w:sz w:val="22"/>
        </w:rPr>
        <w:t>2.19%</w:t>
      </w:r>
    </w:p>
    <w:p>
      <w:pPr>
        <w:spacing w:after="80" w:line="276" w:lineRule="auto"/>
      </w:pPr>
      <w:r>
        <w:rPr>
          <w:rFonts w:ascii="Calibri" w:hAnsi="Calibri"/>
          <w:color w:val="1E293B"/>
          <w:sz w:val="22"/>
        </w:rPr>
        <w:t>#Information relating to remuneration does not include provision for gratuity, which is provided on an overall actuarial valuation, as separate amounts are not available for respective Key Managerial Personnel. Remuneration paid at actual basis is considered for above computation.</w:t>
      </w:r>
    </w:p>
    <w:p>
      <w:pPr>
        <w:spacing w:after="80" w:line="276" w:lineRule="auto"/>
      </w:pPr>
      <w:r>
        <w:rPr>
          <w:rFonts w:ascii="Calibri" w:hAnsi="Calibri"/>
          <w:color w:val="1E293B"/>
          <w:sz w:val="22"/>
        </w:rPr>
        <w:t>For further details, see “Restated Financial Statements – Note 31: Related Party Transaction” on page 331.</w:t>
      </w:r>
    </w:p>
    <w:p>
      <w:pPr>
        <w:spacing w:after="80" w:line="276" w:lineRule="auto"/>
      </w:pPr>
      <w:r>
        <w:rPr>
          <w:rFonts w:ascii="Calibri" w:hAnsi="Calibri"/>
          <w:color w:val="1E293B"/>
          <w:sz w:val="22"/>
        </w:rPr>
        <w:t>Financing arrangements</w:t>
      </w:r>
    </w:p>
    <w:p>
      <w:pPr>
        <w:spacing w:after="80" w:line="276" w:lineRule="auto"/>
      </w:pPr>
      <w:r>
        <w:rPr>
          <w:rFonts w:ascii="Calibri" w:hAnsi="Calibri"/>
          <w:color w:val="1E293B"/>
          <w:sz w:val="22"/>
        </w:rPr>
        <w:t>There have been no financing arrangements whereby our Promoters, members of our Promoter Group, our Directors and their relatives (as defined under Companies Act, 2013) have financed the purchase by any Bluebird Capital LLP (other than in the normal course of the business of the financing entity) during a period of six months immediately preceding the date of the Draft Red Hering Prospectus and this Red Herring Prospectus.</w:t>
      </w:r>
    </w:p>
    <w:p>
      <w:pPr>
        <w:spacing w:after="80" w:line="276" w:lineRule="auto"/>
      </w:pPr>
      <w:r>
        <w:rPr>
          <w:rFonts w:ascii="Calibri" w:hAnsi="Calibri"/>
          <w:color w:val="1E293B"/>
          <w:sz w:val="22"/>
        </w:rPr>
        <w:t>Weighted average price at which the specified securities were acquired by our Promoter and the Promoter Selling Shareholders in the last one year preceding the date of this Red Herring Prospectus</w:t>
      </w:r>
    </w:p>
    <w:p>
      <w:pPr>
        <w:spacing w:after="80" w:line="276" w:lineRule="auto"/>
      </w:pPr>
      <w:r>
        <w:rPr>
          <w:rFonts w:ascii="Calibri" w:hAnsi="Calibri"/>
          <w:color w:val="1E293B"/>
          <w:sz w:val="22"/>
        </w:rPr>
        <w:t>The weighted average price at which the specified securities were acquired by our Promoters and the Promoter Selling Shareholders in the last one year preceding the date of this Red Herring Prospectus is given below:</w:t>
      </w:r>
    </w:p>
    <w:p>
      <w:pPr>
        <w:spacing w:after="80" w:line="276" w:lineRule="auto"/>
      </w:pPr>
      <w:r>
        <w:rPr>
          <w:rFonts w:ascii="Calibri" w:hAnsi="Calibri"/>
          <w:color w:val="1E293B"/>
          <w:sz w:val="22"/>
        </w:rPr>
        <w:t>Name John Doe</w:t>
      </w:r>
    </w:p>
    <w:p>
      <w:pPr>
        <w:spacing w:after="80" w:line="276" w:lineRule="auto"/>
      </w:pPr>
      <w:r>
        <w:rPr>
          <w:rFonts w:ascii="Calibri" w:hAnsi="Calibri"/>
          <w:color w:val="1E293B"/>
          <w:sz w:val="22"/>
        </w:rPr>
        <w:t>Number of Equity Shares of face value of ₹5 acquired</w:t>
      </w:r>
    </w:p>
    <w:p>
      <w:pPr>
        <w:spacing w:after="80" w:line="276" w:lineRule="auto"/>
      </w:pPr>
      <w:r>
        <w:rPr>
          <w:rFonts w:ascii="Calibri" w:hAnsi="Calibri"/>
          <w:color w:val="1E293B"/>
          <w:sz w:val="22"/>
        </w:rPr>
        <w:t>Weighted average price of acquisition per Equity Shares (1)# (in ₹)</w:t>
      </w:r>
    </w:p>
    <w:p>
      <w:pPr>
        <w:spacing w:after="80" w:line="276" w:lineRule="auto"/>
      </w:pPr>
      <w:r>
        <w:rPr>
          <w:rFonts w:ascii="Calibri" w:hAnsi="Calibri"/>
          <w:color w:val="1E293B"/>
          <w:sz w:val="22"/>
        </w:rPr>
        <w:t>Kushal Subbayya Hegde*</w:t>
      </w:r>
    </w:p>
    <w:p>
      <w:pPr>
        <w:spacing w:after="80" w:line="276" w:lineRule="auto"/>
      </w:pPr>
      <w:r>
        <w:rPr>
          <w:rFonts w:ascii="Calibri" w:hAnsi="Calibri"/>
          <w:color w:val="1E293B"/>
          <w:sz w:val="22"/>
        </w:rPr>
        <w:t>26,437,554</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Name John Doe</w:t>
      </w:r>
    </w:p>
    <w:p>
      <w:pPr>
        <w:spacing w:after="80" w:line="276" w:lineRule="auto"/>
      </w:pPr>
      <w:r>
        <w:rPr>
          <w:rFonts w:ascii="Calibri" w:hAnsi="Calibri"/>
          <w:color w:val="1E293B"/>
          <w:sz w:val="22"/>
        </w:rPr>
        <w:t>Number of Equity Shares of face value of ₹5 acquired</w:t>
      </w:r>
    </w:p>
    <w:p>
      <w:pPr>
        <w:spacing w:after="80" w:line="276" w:lineRule="auto"/>
      </w:pPr>
      <w:r>
        <w:rPr>
          <w:rFonts w:ascii="Calibri" w:hAnsi="Calibri"/>
          <w:color w:val="1E293B"/>
          <w:sz w:val="22"/>
        </w:rPr>
        <w:t>Weighted average price of acquisition per Equity Shares (1)# (in ₹)</w:t>
      </w:r>
    </w:p>
    <w:p>
      <w:pPr>
        <w:spacing w:after="80" w:line="276" w:lineRule="auto"/>
      </w:pPr>
      <w:r>
        <w:rPr>
          <w:rFonts w:ascii="Calibri" w:hAnsi="Calibri"/>
          <w:color w:val="1E293B"/>
          <w:sz w:val="22"/>
        </w:rPr>
        <w:t>Pushpa Kushal Hegde*</w:t>
      </w:r>
    </w:p>
    <w:p>
      <w:pPr>
        <w:spacing w:after="80" w:line="276" w:lineRule="auto"/>
      </w:pPr>
      <w:r>
        <w:rPr>
          <w:rFonts w:ascii="Calibri" w:hAnsi="Calibri"/>
          <w:color w:val="1E293B"/>
          <w:sz w:val="22"/>
        </w:rPr>
        <w:t>7,312,437</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Rajesh Kushal Hegde*</w:t>
      </w:r>
    </w:p>
    <w:p>
      <w:pPr>
        <w:spacing w:after="80" w:line="276" w:lineRule="auto"/>
      </w:pPr>
      <w:r>
        <w:rPr>
          <w:rFonts w:ascii="Calibri" w:hAnsi="Calibri"/>
          <w:color w:val="1E293B"/>
          <w:sz w:val="22"/>
        </w:rPr>
        <w:t>11,249,865</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Rohit Kushal Hegde*</w:t>
      </w:r>
    </w:p>
    <w:p>
      <w:pPr>
        <w:spacing w:after="80" w:line="276" w:lineRule="auto"/>
      </w:pPr>
      <w:r>
        <w:rPr>
          <w:rFonts w:ascii="Calibri" w:hAnsi="Calibri"/>
          <w:color w:val="1E293B"/>
          <w:sz w:val="22"/>
        </w:rPr>
        <w:t>11,249,865</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Rakhi Girija Shetty</w:t>
      </w:r>
    </w:p>
    <w:p>
      <w:pPr>
        <w:spacing w:after="80" w:line="276" w:lineRule="auto"/>
      </w:pPr>
      <w:r>
        <w:rPr>
          <w:rFonts w:ascii="Calibri" w:hAnsi="Calibri"/>
          <w:color w:val="1E293B"/>
          <w:sz w:val="22"/>
        </w:rPr>
        <w:t>100</w:t>
      </w:r>
    </w:p>
    <w:p>
      <w:pPr>
        <w:spacing w:after="80" w:line="276" w:lineRule="auto"/>
      </w:pPr>
      <w:r>
        <w:rPr>
          <w:rFonts w:ascii="Calibri" w:hAnsi="Calibri"/>
          <w:color w:val="1E293B"/>
          <w:sz w:val="22"/>
        </w:rPr>
        <w:t>530.00</w:t>
      </w:r>
    </w:p>
    <w:p>
      <w:pPr>
        <w:spacing w:after="80" w:line="276" w:lineRule="auto"/>
      </w:pPr>
      <w:r>
        <w:rPr>
          <w:rFonts w:ascii="Calibri" w:hAnsi="Calibri"/>
          <w:color w:val="1E293B"/>
          <w:sz w:val="22"/>
        </w:rPr>
        <w:t>Dhaulagiri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Everest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Makalu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Broad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Annapurna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Kanchenjunga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Note: Number of Equity shares and cost of acquisition has been adjusted for subsequent sale/transfers made based on the average cost of the acquisition.</w:t>
      </w:r>
    </w:p>
    <w:p>
      <w:pPr>
        <w:spacing w:after="80" w:line="276" w:lineRule="auto"/>
      </w:pPr>
      <w:r>
        <w:rPr>
          <w:rFonts w:ascii="Calibri" w:hAnsi="Calibri"/>
          <w:color w:val="1E293B"/>
          <w:sz w:val="22"/>
        </w:rPr>
        <w:t>*Also, the Promoter Selling Shareholder</w:t>
      </w:r>
    </w:p>
    <w:p>
      <w:pPr>
        <w:spacing w:after="80" w:line="276" w:lineRule="auto"/>
      </w:pPr>
      <w:r>
        <w:rPr>
          <w:rFonts w:ascii="Calibri" w:hAnsi="Calibri"/>
          <w:color w:val="1E293B"/>
          <w:sz w:val="22"/>
        </w:rPr>
        <w:t># Pursuant to a resolution passed by Acme Private Limited dated February 10, 2025 and February 11, 2025, respectively, the face value of the equity shares was sub-divided from ₹100 per equity share to ₹5 per Equity Share. Further, pursuant to a resolution dated February 11, 2025 passed by our Shareholders, Bluebird Capital LLP approved the issue of bonus shares which were allotted on February 21, 2025</w:t>
      </w:r>
    </w:p>
    <w:p>
      <w:pPr>
        <w:spacing w:after="80" w:line="276" w:lineRule="auto"/>
      </w:pPr>
      <w:r>
        <w:rPr>
          <w:rFonts w:ascii="Calibri" w:hAnsi="Calibri"/>
          <w:color w:val="1E293B"/>
          <w:sz w:val="22"/>
        </w:rPr>
        <w:t>(1) As certified by Kirtane &amp; Acme Private Limited, Chartered Accountants, our Statutory Auditors, by way of their certificate dated December 10, 2025.</w:t>
      </w:r>
    </w:p>
    <w:p>
      <w:pPr>
        <w:spacing w:after="80" w:line="276" w:lineRule="auto"/>
      </w:pPr>
      <w:r>
        <w:rPr>
          <w:rFonts w:ascii="Calibri" w:hAnsi="Calibri"/>
          <w:color w:val="1E293B"/>
          <w:sz w:val="22"/>
        </w:rPr>
        <w:t>Weighted average cost of acquisition of all shares transacted in last one year, 18 months and three years preceding the date of this Red Herring Prospectus</w:t>
      </w:r>
    </w:p>
    <w:p>
      <w:pPr>
        <w:spacing w:after="80" w:line="276" w:lineRule="auto"/>
      </w:pPr>
      <w:r>
        <w:rPr>
          <w:rFonts w:ascii="Calibri" w:hAnsi="Calibri"/>
          <w:color w:val="1E293B"/>
          <w:sz w:val="22"/>
        </w:rPr>
        <w:t>The weighted average price for all equity shares acquired in the last one year, eighteen months and three years preceding the date of this Red Herring Prospectus is mentioned below:</w:t>
      </w:r>
    </w:p>
    <w:p>
      <w:pPr>
        <w:spacing w:after="80" w:line="276" w:lineRule="auto"/>
      </w:pPr>
      <w:r>
        <w:rPr>
          <w:rFonts w:ascii="Calibri" w:hAnsi="Calibri"/>
          <w:color w:val="1E293B"/>
          <w:sz w:val="22"/>
        </w:rPr>
        <w:t>Period</w:t>
      </w:r>
    </w:p>
    <w:p>
      <w:pPr>
        <w:spacing w:after="80" w:line="276" w:lineRule="auto"/>
      </w:pPr>
      <w:r>
        <w:rPr>
          <w:rFonts w:ascii="Calibri" w:hAnsi="Calibri"/>
          <w:color w:val="1E293B"/>
          <w:sz w:val="22"/>
        </w:rPr>
        <w:t>Weighted average cost of acquisition (in ₹)*#</w:t>
      </w:r>
    </w:p>
    <w:p>
      <w:pPr>
        <w:spacing w:after="80" w:line="276" w:lineRule="auto"/>
      </w:pPr>
      <w:r>
        <w:rPr>
          <w:rFonts w:ascii="Calibri" w:hAnsi="Calibri"/>
          <w:color w:val="1E293B"/>
          <w:sz w:val="22"/>
        </w:rPr>
        <w:t>Cap Price is ‘x’ times the weighted average cost of acquisition**</w:t>
      </w:r>
    </w:p>
    <w:p>
      <w:pPr>
        <w:spacing w:after="80" w:line="276" w:lineRule="auto"/>
      </w:pPr>
      <w:r>
        <w:rPr>
          <w:rFonts w:ascii="Calibri" w:hAnsi="Calibri"/>
          <w:color w:val="1E293B"/>
          <w:sz w:val="22"/>
        </w:rPr>
        <w:t>Range of acquisition price per Equity Share of face value of ₹5: lowest price – highest price (in ₹)#</w:t>
      </w:r>
    </w:p>
    <w:p>
      <w:pPr>
        <w:spacing w:after="80" w:line="276" w:lineRule="auto"/>
      </w:pPr>
      <w:r>
        <w:rPr>
          <w:rFonts w:ascii="Calibri" w:hAnsi="Calibri"/>
          <w:color w:val="1E293B"/>
          <w:sz w:val="22"/>
        </w:rPr>
        <w:t>Last one year</w:t>
      </w:r>
    </w:p>
    <w:p>
      <w:pPr>
        <w:spacing w:after="80" w:line="276" w:lineRule="auto"/>
      </w:pPr>
      <w:r>
        <w:rPr>
          <w:rFonts w:ascii="Calibri" w:hAnsi="Calibri"/>
          <w:color w:val="1E293B"/>
          <w:sz w:val="22"/>
        </w:rPr>
        <w:t>384.01</w:t>
      </w:r>
    </w:p>
    <w:p>
      <w:pPr>
        <w:spacing w:after="80" w:line="276" w:lineRule="auto"/>
      </w:pPr>
      <w:r>
        <w:rPr>
          <w:rFonts w:ascii="Calibri" w:hAnsi="Calibri"/>
          <w:color w:val="1E293B"/>
          <w:sz w:val="22"/>
        </w:rPr>
        <w:t>To be updated upon finalization of the price band.</w:t>
      </w:r>
    </w:p>
    <w:p>
      <w:pPr>
        <w:spacing w:after="80" w:line="276" w:lineRule="auto"/>
      </w:pPr>
      <w:r>
        <w:rPr>
          <w:rFonts w:ascii="Calibri" w:hAnsi="Calibri"/>
          <w:color w:val="1E293B"/>
          <w:sz w:val="22"/>
        </w:rPr>
        <w:t>0.00 – 530.00</w:t>
      </w:r>
    </w:p>
    <w:p>
      <w:pPr>
        <w:spacing w:after="80" w:line="276" w:lineRule="auto"/>
      </w:pPr>
      <w:r>
        <w:rPr>
          <w:rFonts w:ascii="Calibri" w:hAnsi="Calibri"/>
          <w:color w:val="1E293B"/>
          <w:sz w:val="22"/>
        </w:rPr>
        <w:t>Last trailing 18 months</w:t>
      </w:r>
    </w:p>
    <w:p>
      <w:pPr>
        <w:spacing w:after="80" w:line="276" w:lineRule="auto"/>
      </w:pPr>
      <w:r>
        <w:rPr>
          <w:rFonts w:ascii="Calibri" w:hAnsi="Calibri"/>
          <w:color w:val="1E293B"/>
          <w:sz w:val="22"/>
        </w:rPr>
        <w:t>384.01</w:t>
      </w:r>
    </w:p>
    <w:p>
      <w:pPr>
        <w:spacing w:after="80" w:line="276" w:lineRule="auto"/>
      </w:pPr>
      <w:r>
        <w:rPr>
          <w:rFonts w:ascii="Calibri" w:hAnsi="Calibri"/>
          <w:color w:val="1E293B"/>
          <w:sz w:val="22"/>
        </w:rPr>
        <w:t>0.00 – 530.00</w:t>
      </w:r>
    </w:p>
    <w:p>
      <w:pPr>
        <w:spacing w:after="80" w:line="276" w:lineRule="auto"/>
      </w:pPr>
      <w:r>
        <w:rPr>
          <w:rFonts w:ascii="Calibri" w:hAnsi="Calibri"/>
          <w:color w:val="1E293B"/>
          <w:sz w:val="22"/>
        </w:rPr>
        <w:t>Last three years</w:t>
      </w:r>
    </w:p>
    <w:p>
      <w:pPr>
        <w:spacing w:after="80" w:line="276" w:lineRule="auto"/>
      </w:pPr>
      <w:r>
        <w:rPr>
          <w:rFonts w:ascii="Calibri" w:hAnsi="Calibri"/>
          <w:color w:val="1E293B"/>
          <w:sz w:val="22"/>
        </w:rPr>
        <w:t>384.01</w:t>
      </w:r>
    </w:p>
    <w:p>
      <w:pPr>
        <w:spacing w:after="80" w:line="276" w:lineRule="auto"/>
      </w:pPr>
      <w:r>
        <w:rPr>
          <w:rFonts w:ascii="Calibri" w:hAnsi="Calibri"/>
          <w:color w:val="1E293B"/>
          <w:sz w:val="22"/>
        </w:rPr>
        <w:t>0.00 – 530.00</w:t>
      </w:r>
    </w:p>
    <w:p>
      <w:pPr>
        <w:spacing w:after="80" w:line="276" w:lineRule="auto"/>
      </w:pPr>
      <w:r>
        <w:rPr>
          <w:rFonts w:ascii="Calibri" w:hAnsi="Calibri"/>
          <w:color w:val="1E293B"/>
          <w:sz w:val="22"/>
        </w:rPr>
        <w:t>*As certified by Kirtane &amp; Acme Private Limited, Chartered Accountants, our Statutory Auditors, by way of their certificate dated December 10, 2025.</w:t>
      </w:r>
    </w:p>
    <w:p>
      <w:pPr>
        <w:spacing w:after="80" w:line="276" w:lineRule="auto"/>
      </w:pPr>
      <w:r>
        <w:rPr>
          <w:rFonts w:ascii="Calibri" w:hAnsi="Calibri"/>
          <w:color w:val="1E293B"/>
          <w:sz w:val="22"/>
        </w:rPr>
        <w:t>**  To be updated in the Prospectus.</w:t>
      </w:r>
    </w:p>
    <w:p>
      <w:pPr>
        <w:spacing w:after="80" w:line="276" w:lineRule="auto"/>
      </w:pPr>
      <w:r>
        <w:rPr>
          <w:rFonts w:ascii="Calibri" w:hAnsi="Calibri"/>
          <w:color w:val="1E293B"/>
          <w:sz w:val="22"/>
        </w:rPr>
        <w:t>#Impact of bonus and sub-division of shares have been taken only on transactions that have been transacted during the last 1 year, trailing 18 months and last 3 years.</w:t>
      </w:r>
    </w:p>
    <w:p>
      <w:pPr>
        <w:spacing w:after="80" w:line="276" w:lineRule="auto"/>
      </w:pPr>
      <w:r>
        <w:rPr>
          <w:rFonts w:ascii="Calibri" w:hAnsi="Calibri"/>
          <w:color w:val="1E293B"/>
          <w:sz w:val="22"/>
        </w:rPr>
        <w:t>Average cost of acquisition of Equity Shares by our Promoters and the Promoter Selling Shareholders</w:t>
      </w:r>
    </w:p>
    <w:p>
      <w:pPr>
        <w:spacing w:after="80" w:line="276" w:lineRule="auto"/>
      </w:pPr>
      <w:r>
        <w:rPr>
          <w:rFonts w:ascii="Calibri" w:hAnsi="Calibri"/>
          <w:color w:val="1E293B"/>
          <w:sz w:val="22"/>
        </w:rPr>
        <w:t>The average cost of acquisition of Equity Shares by our Promoters and the Promoter Selling Shareholders as on the date of this Red Herring Prospectus, is as set forth below:</w:t>
      </w:r>
    </w:p>
    <w:p>
      <w:pPr>
        <w:spacing w:after="80" w:line="276" w:lineRule="auto"/>
      </w:pPr>
      <w:r>
        <w:rPr>
          <w:rFonts w:ascii="Calibri" w:hAnsi="Calibri"/>
          <w:color w:val="1E293B"/>
          <w:sz w:val="22"/>
        </w:rPr>
        <w:t>Name Peter Parker</w:t>
      </w:r>
    </w:p>
    <w:p>
      <w:pPr>
        <w:spacing w:after="80" w:line="276" w:lineRule="auto"/>
      </w:pPr>
      <w:r>
        <w:rPr>
          <w:rFonts w:ascii="Calibri" w:hAnsi="Calibri"/>
          <w:color w:val="1E293B"/>
          <w:sz w:val="22"/>
        </w:rPr>
        <w:t>Number of Equity Shares held of face value of ₹5 each</w:t>
      </w:r>
    </w:p>
    <w:p>
      <w:pPr>
        <w:spacing w:after="80" w:line="276" w:lineRule="auto"/>
      </w:pPr>
      <w:r>
        <w:rPr>
          <w:rFonts w:ascii="Calibri" w:hAnsi="Calibri"/>
          <w:color w:val="1E293B"/>
          <w:sz w:val="22"/>
        </w:rPr>
        <w:t>Average cost per Equity Share of face values of ₹5 each** (₹)</w:t>
      </w:r>
    </w:p>
    <w:p>
      <w:pPr>
        <w:spacing w:after="80" w:line="276" w:lineRule="auto"/>
      </w:pPr>
      <w:r>
        <w:rPr>
          <w:rFonts w:ascii="Calibri" w:hAnsi="Calibri"/>
          <w:color w:val="1E293B"/>
          <w:sz w:val="22"/>
        </w:rPr>
        <w:t>Kushal Subbayya Hegde*</w:t>
      </w:r>
    </w:p>
    <w:p>
      <w:pPr>
        <w:spacing w:after="80" w:line="276" w:lineRule="auto"/>
      </w:pPr>
      <w:r>
        <w:rPr>
          <w:rFonts w:ascii="Calibri" w:hAnsi="Calibri"/>
          <w:color w:val="1E293B"/>
          <w:sz w:val="22"/>
        </w:rPr>
        <w:t>26,704,570</w:t>
      </w:r>
    </w:p>
    <w:p>
      <w:pPr>
        <w:spacing w:after="80" w:line="276" w:lineRule="auto"/>
      </w:pPr>
      <w:r>
        <w:rPr>
          <w:rFonts w:ascii="Calibri" w:hAnsi="Calibri"/>
          <w:color w:val="1E293B"/>
          <w:sz w:val="22"/>
        </w:rPr>
        <w:t>1.36</w:t>
      </w:r>
    </w:p>
    <w:p>
      <w:pPr>
        <w:spacing w:after="80" w:line="276" w:lineRule="auto"/>
      </w:pPr>
      <w:r>
        <w:rPr>
          <w:rFonts w:ascii="Calibri" w:hAnsi="Calibri"/>
          <w:color w:val="1E293B"/>
          <w:sz w:val="22"/>
        </w:rPr>
        <w:t>Pushpa Kushal Hegde*</w:t>
      </w:r>
    </w:p>
    <w:p>
      <w:pPr>
        <w:spacing w:after="80" w:line="276" w:lineRule="auto"/>
      </w:pPr>
      <w:r>
        <w:rPr>
          <w:rFonts w:ascii="Calibri" w:hAnsi="Calibri"/>
          <w:color w:val="1E293B"/>
          <w:sz w:val="22"/>
        </w:rPr>
        <w:t>7,386,270</w:t>
      </w:r>
    </w:p>
    <w:p>
      <w:pPr>
        <w:spacing w:after="80" w:line="276" w:lineRule="auto"/>
      </w:pPr>
      <w:r>
        <w:rPr>
          <w:rFonts w:ascii="Calibri" w:hAnsi="Calibri"/>
          <w:color w:val="1E293B"/>
          <w:sz w:val="22"/>
        </w:rPr>
        <w:t>1.51</w:t>
      </w:r>
    </w:p>
    <w:p>
      <w:pPr>
        <w:spacing w:after="80" w:line="276" w:lineRule="auto"/>
      </w:pPr>
      <w:r>
        <w:rPr>
          <w:rFonts w:ascii="Calibri" w:hAnsi="Calibri"/>
          <w:color w:val="1E293B"/>
          <w:sz w:val="22"/>
        </w:rPr>
        <w:t>Rajesh Kushal Hegde*</w:t>
      </w:r>
    </w:p>
    <w:p>
      <w:pPr>
        <w:spacing w:after="80" w:line="276" w:lineRule="auto"/>
      </w:pPr>
      <w:r>
        <w:rPr>
          <w:rFonts w:ascii="Calibri" w:hAnsi="Calibri"/>
          <w:color w:val="1E293B"/>
          <w:sz w:val="22"/>
        </w:rPr>
        <w:t>10,907,771</w:t>
      </w:r>
    </w:p>
    <w:p>
      <w:pPr>
        <w:spacing w:after="80" w:line="276" w:lineRule="auto"/>
      </w:pPr>
      <w:r>
        <w:rPr>
          <w:rFonts w:ascii="Calibri" w:hAnsi="Calibri"/>
          <w:color w:val="1E293B"/>
          <w:sz w:val="22"/>
        </w:rPr>
        <w:t>1.41</w:t>
      </w:r>
    </w:p>
    <w:p>
      <w:pPr>
        <w:spacing w:after="80" w:line="276" w:lineRule="auto"/>
      </w:pPr>
      <w:r>
        <w:rPr>
          <w:rFonts w:ascii="Calibri" w:hAnsi="Calibri"/>
          <w:color w:val="1E293B"/>
          <w:sz w:val="22"/>
        </w:rPr>
        <w:t>Rohit Kushal Hegde*</w:t>
      </w:r>
    </w:p>
    <w:p>
      <w:pPr>
        <w:spacing w:after="80" w:line="276" w:lineRule="auto"/>
      </w:pPr>
      <w:r>
        <w:rPr>
          <w:rFonts w:ascii="Calibri" w:hAnsi="Calibri"/>
          <w:color w:val="1E293B"/>
          <w:sz w:val="22"/>
        </w:rPr>
        <w:t>10,907,771</w:t>
      </w:r>
    </w:p>
    <w:p>
      <w:pPr>
        <w:spacing w:after="80" w:line="276" w:lineRule="auto"/>
      </w:pPr>
      <w:r>
        <w:rPr>
          <w:rFonts w:ascii="Calibri" w:hAnsi="Calibri"/>
          <w:color w:val="1E293B"/>
          <w:sz w:val="22"/>
        </w:rPr>
        <w:t>1.35</w:t>
      </w:r>
    </w:p>
    <w:p>
      <w:pPr>
        <w:spacing w:after="80" w:line="276" w:lineRule="auto"/>
      </w:pPr>
      <w:r>
        <w:rPr>
          <w:rFonts w:ascii="Calibri" w:hAnsi="Calibri"/>
          <w:color w:val="1E293B"/>
          <w:sz w:val="22"/>
        </w:rPr>
        <w:t>Rakhi Girija Shetty</w:t>
      </w:r>
    </w:p>
    <w:p>
      <w:pPr>
        <w:spacing w:after="80" w:line="276" w:lineRule="auto"/>
      </w:pPr>
      <w:r>
        <w:rPr>
          <w:rFonts w:ascii="Calibri" w:hAnsi="Calibri"/>
          <w:color w:val="1E293B"/>
          <w:sz w:val="22"/>
        </w:rPr>
        <w:t>100</w:t>
      </w:r>
    </w:p>
    <w:p>
      <w:pPr>
        <w:spacing w:after="80" w:line="276" w:lineRule="auto"/>
      </w:pPr>
      <w:r>
        <w:rPr>
          <w:rFonts w:ascii="Calibri" w:hAnsi="Calibri"/>
          <w:color w:val="1E293B"/>
          <w:sz w:val="22"/>
        </w:rPr>
        <w:t>530.00</w:t>
      </w:r>
    </w:p>
    <w:p>
      <w:pPr>
        <w:spacing w:after="80" w:line="276" w:lineRule="auto"/>
      </w:pPr>
      <w:r>
        <w:rPr>
          <w:rFonts w:ascii="Calibri" w:hAnsi="Calibri"/>
          <w:color w:val="1E293B"/>
          <w:sz w:val="22"/>
        </w:rPr>
        <w:t>Dhaulagiri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Everest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Makalu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Broad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Annapurna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Kanchenjunga Family Trust</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Note: Number of Equity shares and cost of acquisition has been adjusted for subsequent sale/transfers made based on the average cost of the acquisition.</w:t>
      </w:r>
    </w:p>
    <w:p>
      <w:pPr>
        <w:spacing w:after="80" w:line="276" w:lineRule="auto"/>
      </w:pPr>
      <w:r>
        <w:rPr>
          <w:rFonts w:ascii="Calibri" w:hAnsi="Calibri"/>
          <w:color w:val="1E293B"/>
          <w:sz w:val="22"/>
        </w:rPr>
        <w:t>**  As certified by Kirtane &amp; Acme Private Limited, Chartered Accountants, our Statutory Auditors, by way of their certificate dated December 10, 2025.</w:t>
      </w:r>
    </w:p>
    <w:p>
      <w:pPr>
        <w:spacing w:after="80" w:line="276" w:lineRule="auto"/>
      </w:pPr>
      <w:r>
        <w:rPr>
          <w:rFonts w:ascii="Calibri" w:hAnsi="Calibri"/>
          <w:color w:val="1E293B"/>
          <w:sz w:val="22"/>
        </w:rPr>
        <w:t>*Also, Promoter Selling Shareholders.</w:t>
      </w:r>
    </w:p>
    <w:p>
      <w:pPr>
        <w:spacing w:after="80" w:line="276" w:lineRule="auto"/>
      </w:pPr>
      <w:r>
        <w:rPr>
          <w:rFonts w:ascii="Calibri" w:hAnsi="Calibri"/>
          <w:color w:val="1E293B"/>
          <w:sz w:val="22"/>
        </w:rPr>
        <w:t>Details of price Northstar Technologies Ltd were acquired by our Promoters, members of the Promoter Group, Promoter Selling Shareholders and Shareholders with the right to nominate Directors or any other special rights in the three years preceding the date of this Red Herring Prospectus</w:t>
      </w:r>
    </w:p>
    <w:p>
      <w:pPr>
        <w:spacing w:after="80" w:line="276" w:lineRule="auto"/>
      </w:pPr>
      <w:r>
        <w:rPr>
          <w:rFonts w:ascii="Calibri" w:hAnsi="Calibri"/>
          <w:color w:val="1E293B"/>
          <w:sz w:val="22"/>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spacing w:after="80" w:line="276" w:lineRule="auto"/>
      </w:pPr>
      <w:r>
        <w:rPr>
          <w:rFonts w:ascii="Calibri" w:hAnsi="Calibri"/>
          <w:color w:val="1E293B"/>
          <w:sz w:val="22"/>
        </w:rPr>
        <w:t>Name Ananya Sharma</w:t>
      </w:r>
    </w:p>
    <w:p>
      <w:pPr>
        <w:spacing w:after="80" w:line="276" w:lineRule="auto"/>
      </w:pPr>
      <w:r>
        <w:rPr>
          <w:rFonts w:ascii="Calibri" w:hAnsi="Calibri"/>
          <w:color w:val="1E293B"/>
          <w:sz w:val="22"/>
        </w:rPr>
        <w:t>Date of acquisition</w:t>
      </w:r>
    </w:p>
    <w:p>
      <w:pPr>
        <w:spacing w:after="80" w:line="276" w:lineRule="auto"/>
      </w:pPr>
      <w:r>
        <w:rPr>
          <w:rFonts w:ascii="Calibri" w:hAnsi="Calibri"/>
          <w:color w:val="1E293B"/>
          <w:sz w:val="22"/>
        </w:rPr>
        <w:t>Number of equity shares acquired</w:t>
      </w:r>
    </w:p>
    <w:p>
      <w:pPr>
        <w:spacing w:after="80" w:line="276" w:lineRule="auto"/>
      </w:pPr>
      <w:r>
        <w:rPr>
          <w:rFonts w:ascii="Calibri" w:hAnsi="Calibri"/>
          <w:color w:val="1E293B"/>
          <w:sz w:val="22"/>
        </w:rPr>
        <w:t>Face value (₹)</w:t>
      </w:r>
    </w:p>
    <w:p>
      <w:pPr>
        <w:spacing w:after="80" w:line="276" w:lineRule="auto"/>
      </w:pPr>
      <w:r>
        <w:rPr>
          <w:rFonts w:ascii="Calibri" w:hAnsi="Calibri"/>
          <w:color w:val="1E293B"/>
          <w:sz w:val="22"/>
        </w:rPr>
        <w:t>Acquisition price per equity share^ (in ₹)</w:t>
      </w:r>
    </w:p>
    <w:p>
      <w:pPr>
        <w:spacing w:after="80" w:line="276" w:lineRule="auto"/>
      </w:pPr>
      <w:r>
        <w:rPr>
          <w:rFonts w:ascii="Calibri" w:hAnsi="Calibri"/>
          <w:color w:val="1E293B"/>
          <w:sz w:val="22"/>
        </w:rPr>
        <w:t>Promoters</w:t>
      </w:r>
    </w:p>
    <w:p>
      <w:pPr>
        <w:spacing w:after="80" w:line="276" w:lineRule="auto"/>
      </w:pPr>
      <w:r>
        <w:rPr>
          <w:rFonts w:ascii="Calibri" w:hAnsi="Calibri"/>
          <w:color w:val="1E293B"/>
          <w:sz w:val="22"/>
        </w:rPr>
        <w:t>Kushal Subbayya Hegde*^&amp;</w:t>
      </w:r>
    </w:p>
    <w:p>
      <w:pPr>
        <w:spacing w:after="80" w:line="276" w:lineRule="auto"/>
      </w:pPr>
      <w:r>
        <w:rPr>
          <w:rFonts w:ascii="Calibri" w:hAnsi="Calibri"/>
          <w:color w:val="1E293B"/>
          <w:sz w:val="22"/>
        </w:rPr>
        <w:t>February 21, 2025</w:t>
      </w:r>
    </w:p>
    <w:p>
      <w:pPr>
        <w:spacing w:after="80" w:line="276" w:lineRule="auto"/>
      </w:pPr>
      <w:r>
        <w:rPr>
          <w:rFonts w:ascii="Calibri" w:hAnsi="Calibri"/>
          <w:color w:val="1E293B"/>
          <w:sz w:val="22"/>
        </w:rPr>
        <w:t>21,363,680</w:t>
      </w:r>
    </w:p>
    <w:p>
      <w:pPr>
        <w:spacing w:after="80" w:line="276" w:lineRule="auto"/>
      </w:pPr>
      <w:r>
        <w:rPr>
          <w:rFonts w:ascii="Calibri" w:hAnsi="Calibri"/>
          <w:color w:val="1E293B"/>
          <w:sz w:val="22"/>
        </w:rPr>
        <w:t>5</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Pushpa Kushal Hegde*^&amp;</w:t>
      </w:r>
    </w:p>
    <w:p>
      <w:pPr>
        <w:spacing w:after="80" w:line="276" w:lineRule="auto"/>
      </w:pPr>
      <w:r>
        <w:rPr>
          <w:rFonts w:ascii="Calibri" w:hAnsi="Calibri"/>
          <w:color w:val="1E293B"/>
          <w:sz w:val="22"/>
        </w:rPr>
        <w:t>February 21, 2025</w:t>
      </w:r>
    </w:p>
    <w:p>
      <w:pPr>
        <w:spacing w:after="80" w:line="276" w:lineRule="auto"/>
      </w:pPr>
      <w:r>
        <w:rPr>
          <w:rFonts w:ascii="Calibri" w:hAnsi="Calibri"/>
          <w:color w:val="1E293B"/>
          <w:sz w:val="22"/>
        </w:rPr>
        <w:t>5,909,040</w:t>
      </w:r>
    </w:p>
    <w:p>
      <w:pPr>
        <w:spacing w:after="80" w:line="276" w:lineRule="auto"/>
      </w:pPr>
      <w:r>
        <w:rPr>
          <w:rFonts w:ascii="Calibri" w:hAnsi="Calibri"/>
          <w:color w:val="1E293B"/>
          <w:sz w:val="22"/>
        </w:rPr>
        <w:t>5</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Rajesh Kushal Hegde*^&amp;</w:t>
      </w:r>
    </w:p>
    <w:p>
      <w:pPr>
        <w:spacing w:after="80" w:line="276" w:lineRule="auto"/>
      </w:pPr>
      <w:r>
        <w:rPr>
          <w:rFonts w:ascii="Calibri" w:hAnsi="Calibri"/>
          <w:color w:val="1E293B"/>
          <w:sz w:val="22"/>
        </w:rPr>
        <w:t>February 21, 2025</w:t>
      </w:r>
    </w:p>
    <w:p>
      <w:pPr>
        <w:spacing w:after="80" w:line="276" w:lineRule="auto"/>
      </w:pPr>
      <w:r>
        <w:rPr>
          <w:rFonts w:ascii="Calibri" w:hAnsi="Calibri"/>
          <w:color w:val="1E293B"/>
          <w:sz w:val="22"/>
        </w:rPr>
        <w:t>9,090,800</w:t>
      </w:r>
    </w:p>
    <w:p>
      <w:pPr>
        <w:spacing w:after="80" w:line="276" w:lineRule="auto"/>
      </w:pPr>
      <w:r>
        <w:rPr>
          <w:rFonts w:ascii="Calibri" w:hAnsi="Calibri"/>
          <w:color w:val="1E293B"/>
          <w:sz w:val="22"/>
        </w:rPr>
        <w:t>5</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Rohit Kushal Hegde*^&amp;</w:t>
      </w:r>
    </w:p>
    <w:p>
      <w:pPr>
        <w:spacing w:after="80" w:line="276" w:lineRule="auto"/>
      </w:pPr>
      <w:r>
        <w:rPr>
          <w:rFonts w:ascii="Calibri" w:hAnsi="Calibri"/>
          <w:color w:val="1E293B"/>
          <w:sz w:val="22"/>
        </w:rPr>
        <w:t>February 21, 2025</w:t>
      </w:r>
    </w:p>
    <w:p>
      <w:pPr>
        <w:spacing w:after="80" w:line="276" w:lineRule="auto"/>
      </w:pPr>
      <w:r>
        <w:rPr>
          <w:rFonts w:ascii="Calibri" w:hAnsi="Calibri"/>
          <w:color w:val="1E293B"/>
          <w:sz w:val="22"/>
        </w:rPr>
        <w:t>9,090,800</w:t>
      </w:r>
    </w:p>
    <w:p>
      <w:pPr>
        <w:spacing w:after="80" w:line="276" w:lineRule="auto"/>
      </w:pPr>
      <w:r>
        <w:rPr>
          <w:rFonts w:ascii="Calibri" w:hAnsi="Calibri"/>
          <w:color w:val="1E293B"/>
          <w:sz w:val="22"/>
        </w:rPr>
        <w:t>5</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Rakhi Girija Shetty&amp;</w:t>
      </w:r>
    </w:p>
    <w:p>
      <w:pPr>
        <w:spacing w:after="80" w:line="276" w:lineRule="auto"/>
      </w:pPr>
      <w:r>
        <w:rPr>
          <w:rFonts w:ascii="Calibri" w:hAnsi="Calibri"/>
          <w:color w:val="1E293B"/>
          <w:sz w:val="22"/>
        </w:rPr>
        <w:t>December 17, 2024</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100</w:t>
      </w:r>
    </w:p>
    <w:p>
      <w:pPr>
        <w:spacing w:after="80" w:line="276" w:lineRule="auto"/>
      </w:pPr>
      <w:r>
        <w:rPr>
          <w:rFonts w:ascii="Calibri" w:hAnsi="Calibri"/>
          <w:color w:val="1E293B"/>
          <w:sz w:val="22"/>
        </w:rPr>
        <w:t>53,000.00</w:t>
      </w:r>
    </w:p>
    <w:p>
      <w:pPr>
        <w:spacing w:after="80" w:line="276" w:lineRule="auto"/>
      </w:pPr>
      <w:r>
        <w:rPr>
          <w:rFonts w:ascii="Calibri" w:hAnsi="Calibri"/>
          <w:color w:val="1E293B"/>
          <w:sz w:val="22"/>
        </w:rPr>
        <w:t>Rakhi Girija Shetty^&amp;</w:t>
      </w:r>
    </w:p>
    <w:p>
      <w:pPr>
        <w:spacing w:after="80" w:line="276" w:lineRule="auto"/>
      </w:pPr>
      <w:r>
        <w:rPr>
          <w:rFonts w:ascii="Calibri" w:hAnsi="Calibri"/>
          <w:color w:val="1E293B"/>
          <w:sz w:val="22"/>
        </w:rPr>
        <w:t>February 21, 2025</w:t>
      </w:r>
    </w:p>
    <w:p>
      <w:pPr>
        <w:spacing w:after="80" w:line="276" w:lineRule="auto"/>
      </w:pPr>
      <w:r>
        <w:rPr>
          <w:rFonts w:ascii="Calibri" w:hAnsi="Calibri"/>
          <w:color w:val="1E293B"/>
          <w:sz w:val="22"/>
        </w:rPr>
        <w:t>80</w:t>
      </w:r>
    </w:p>
    <w:p>
      <w:pPr>
        <w:spacing w:after="80" w:line="276" w:lineRule="auto"/>
      </w:pPr>
      <w:r>
        <w:rPr>
          <w:rFonts w:ascii="Calibri" w:hAnsi="Calibri"/>
          <w:color w:val="1E293B"/>
          <w:sz w:val="22"/>
        </w:rPr>
        <w:t>5</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Dhaulagiri Family Trust&amp;</w:t>
      </w:r>
    </w:p>
    <w:p>
      <w:pPr>
        <w:spacing w:after="80" w:line="276" w:lineRule="auto"/>
      </w:pPr>
      <w:r>
        <w:rPr>
          <w:rFonts w:ascii="Calibri" w:hAnsi="Calibri"/>
          <w:color w:val="1E293B"/>
          <w:sz w:val="22"/>
        </w:rPr>
        <w:t>May 7, 2025</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5</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Everest Family Trust&amp;</w:t>
      </w:r>
    </w:p>
    <w:p>
      <w:pPr>
        <w:spacing w:after="80" w:line="276" w:lineRule="auto"/>
      </w:pPr>
      <w:r>
        <w:rPr>
          <w:rFonts w:ascii="Calibri" w:hAnsi="Calibri"/>
          <w:color w:val="1E293B"/>
          <w:sz w:val="22"/>
        </w:rPr>
        <w:t>May 7, 2025</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5</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Makalu Family Trust&amp;</w:t>
      </w:r>
    </w:p>
    <w:p>
      <w:pPr>
        <w:spacing w:after="80" w:line="276" w:lineRule="auto"/>
      </w:pPr>
      <w:r>
        <w:rPr>
          <w:rFonts w:ascii="Calibri" w:hAnsi="Calibri"/>
          <w:color w:val="1E293B"/>
          <w:sz w:val="22"/>
        </w:rPr>
        <w:t>May 7, 2025</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5</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Broad Family Trust&amp;</w:t>
      </w:r>
    </w:p>
    <w:p>
      <w:pPr>
        <w:spacing w:after="80" w:line="276" w:lineRule="auto"/>
      </w:pPr>
      <w:r>
        <w:rPr>
          <w:rFonts w:ascii="Calibri" w:hAnsi="Calibri"/>
          <w:color w:val="1E293B"/>
          <w:sz w:val="22"/>
        </w:rPr>
        <w:t>May 8, 2025</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5</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Annapurna Family Trust&amp;</w:t>
      </w:r>
    </w:p>
    <w:p>
      <w:pPr>
        <w:spacing w:after="80" w:line="276" w:lineRule="auto"/>
      </w:pPr>
      <w:r>
        <w:rPr>
          <w:rFonts w:ascii="Calibri" w:hAnsi="Calibri"/>
          <w:color w:val="1E293B"/>
          <w:sz w:val="22"/>
        </w:rPr>
        <w:t>May 8, 2025</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5</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Kanchenjunga Family Trust &amp;</w:t>
      </w:r>
    </w:p>
    <w:p>
      <w:pPr>
        <w:spacing w:after="80" w:line="276" w:lineRule="auto"/>
      </w:pPr>
      <w:r>
        <w:rPr>
          <w:rFonts w:ascii="Calibri" w:hAnsi="Calibri"/>
          <w:color w:val="1E293B"/>
          <w:sz w:val="22"/>
        </w:rPr>
        <w:t>May 7, 2025</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5</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Promoter Group</w:t>
      </w:r>
    </w:p>
    <w:p>
      <w:pPr>
        <w:spacing w:after="80" w:line="276" w:lineRule="auto"/>
      </w:pPr>
      <w:r>
        <w:rPr>
          <w:rFonts w:ascii="Calibri" w:hAnsi="Calibri"/>
          <w:color w:val="1E293B"/>
          <w:sz w:val="22"/>
        </w:rPr>
        <w:t>Maithili Rajesh Hegde&amp;</w:t>
      </w:r>
    </w:p>
    <w:p>
      <w:pPr>
        <w:spacing w:after="80" w:line="276" w:lineRule="auto"/>
      </w:pPr>
      <w:r>
        <w:rPr>
          <w:rFonts w:ascii="Calibri" w:hAnsi="Calibri"/>
          <w:color w:val="1E293B"/>
          <w:sz w:val="22"/>
        </w:rPr>
        <w:t>December 17, 2024</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100</w:t>
      </w:r>
    </w:p>
    <w:p>
      <w:pPr>
        <w:spacing w:after="80" w:line="276" w:lineRule="auto"/>
      </w:pPr>
      <w:r>
        <w:rPr>
          <w:rFonts w:ascii="Calibri" w:hAnsi="Calibri"/>
          <w:color w:val="1E293B"/>
          <w:sz w:val="22"/>
        </w:rPr>
        <w:t>53,000.00</w:t>
      </w:r>
    </w:p>
    <w:p>
      <w:pPr>
        <w:spacing w:after="80" w:line="276" w:lineRule="auto"/>
      </w:pPr>
      <w:r>
        <w:rPr>
          <w:rFonts w:ascii="Calibri" w:hAnsi="Calibri"/>
          <w:color w:val="1E293B"/>
          <w:sz w:val="22"/>
        </w:rPr>
        <w:t>Maithili Rajesh Hegde^&amp;</w:t>
      </w:r>
    </w:p>
    <w:p>
      <w:pPr>
        <w:spacing w:after="80" w:line="276" w:lineRule="auto"/>
      </w:pPr>
      <w:r>
        <w:rPr>
          <w:rFonts w:ascii="Calibri" w:hAnsi="Calibri"/>
          <w:color w:val="1E293B"/>
          <w:sz w:val="22"/>
        </w:rPr>
        <w:t>February 21, 2025</w:t>
      </w:r>
    </w:p>
    <w:p>
      <w:pPr>
        <w:spacing w:after="80" w:line="276" w:lineRule="auto"/>
      </w:pPr>
      <w:r>
        <w:rPr>
          <w:rFonts w:ascii="Calibri" w:hAnsi="Calibri"/>
          <w:color w:val="1E293B"/>
          <w:sz w:val="22"/>
        </w:rPr>
        <w:t>80</w:t>
      </w:r>
    </w:p>
    <w:p>
      <w:pPr>
        <w:spacing w:after="80" w:line="276" w:lineRule="auto"/>
      </w:pPr>
      <w:r>
        <w:rPr>
          <w:rFonts w:ascii="Calibri" w:hAnsi="Calibri"/>
          <w:color w:val="1E293B"/>
          <w:sz w:val="22"/>
        </w:rPr>
        <w:t>5</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Katyayani Balasubramanian&amp;</w:t>
      </w:r>
    </w:p>
    <w:p>
      <w:pPr>
        <w:spacing w:after="80" w:line="276" w:lineRule="auto"/>
      </w:pPr>
      <w:r>
        <w:rPr>
          <w:rFonts w:ascii="Calibri" w:hAnsi="Calibri"/>
          <w:color w:val="1E293B"/>
          <w:sz w:val="22"/>
        </w:rPr>
        <w:t>December 17, 2024</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100</w:t>
      </w:r>
    </w:p>
    <w:p>
      <w:pPr>
        <w:spacing w:after="80" w:line="276" w:lineRule="auto"/>
      </w:pPr>
      <w:r>
        <w:rPr>
          <w:rFonts w:ascii="Calibri" w:hAnsi="Calibri"/>
          <w:color w:val="1E293B"/>
          <w:sz w:val="22"/>
        </w:rPr>
        <w:t>53,000.00</w:t>
      </w:r>
    </w:p>
    <w:p>
      <w:pPr>
        <w:spacing w:after="80" w:line="276" w:lineRule="auto"/>
      </w:pPr>
      <w:r>
        <w:rPr>
          <w:rFonts w:ascii="Calibri" w:hAnsi="Calibri"/>
          <w:color w:val="1E293B"/>
          <w:sz w:val="22"/>
        </w:rPr>
        <w:t>Katyayani Balasubramanian ^&amp;</w:t>
      </w:r>
    </w:p>
    <w:p>
      <w:pPr>
        <w:spacing w:after="80" w:line="276" w:lineRule="auto"/>
      </w:pPr>
      <w:r>
        <w:rPr>
          <w:rFonts w:ascii="Calibri" w:hAnsi="Calibri"/>
          <w:color w:val="1E293B"/>
          <w:sz w:val="22"/>
        </w:rPr>
        <w:t>February 21, 2025</w:t>
      </w:r>
    </w:p>
    <w:p>
      <w:pPr>
        <w:spacing w:after="80" w:line="276" w:lineRule="auto"/>
      </w:pPr>
      <w:r>
        <w:rPr>
          <w:rFonts w:ascii="Calibri" w:hAnsi="Calibri"/>
          <w:color w:val="1E293B"/>
          <w:sz w:val="22"/>
        </w:rPr>
        <w:t>80</w:t>
      </w:r>
    </w:p>
    <w:p>
      <w:pPr>
        <w:spacing w:after="80" w:line="276" w:lineRule="auto"/>
      </w:pPr>
      <w:r>
        <w:rPr>
          <w:rFonts w:ascii="Calibri" w:hAnsi="Calibri"/>
          <w:color w:val="1E293B"/>
          <w:sz w:val="22"/>
        </w:rPr>
        <w:t>5</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#As certified by Kirtane &amp; Acme Private Limited, Chartered Accountants, our Statutory Auditors, by way of their certificate dated December 10, 2025.</w:t>
      </w:r>
    </w:p>
    <w:p>
      <w:pPr>
        <w:spacing w:after="80" w:line="276" w:lineRule="auto"/>
      </w:pPr>
      <w:r>
        <w:rPr>
          <w:rFonts w:ascii="Calibri" w:hAnsi="Calibri"/>
          <w:color w:val="1E293B"/>
          <w:sz w:val="22"/>
        </w:rPr>
        <w:t>*Also, a Promoter Selling Shareholder.</w:t>
      </w:r>
    </w:p>
    <w:p>
      <w:pPr>
        <w:spacing w:after="80" w:line="276" w:lineRule="auto"/>
      </w:pPr>
      <w:r>
        <w:rPr>
          <w:rFonts w:ascii="Calibri" w:hAnsi="Calibri"/>
          <w:color w:val="1E293B"/>
          <w:sz w:val="22"/>
        </w:rPr>
        <w:t>&amp;Shareholder entitled with right to nominate directors or any other rights</w:t>
      </w:r>
    </w:p>
    <w:p>
      <w:pPr>
        <w:spacing w:after="80" w:line="276" w:lineRule="auto"/>
      </w:pPr>
      <w:r>
        <w:rPr>
          <w:rFonts w:ascii="Calibri" w:hAnsi="Calibri"/>
          <w:color w:val="1E293B"/>
          <w:sz w:val="22"/>
        </w:rPr>
        <w:t>^Bonus shares issued in the ratio of 4:1.</w:t>
      </w:r>
    </w:p>
    <w:p>
      <w:pPr>
        <w:spacing w:after="80" w:line="276" w:lineRule="auto"/>
      </w:pPr>
      <w:r>
        <w:rPr>
          <w:rFonts w:ascii="Calibri" w:hAnsi="Calibri"/>
          <w:color w:val="1E293B"/>
          <w:sz w:val="22"/>
        </w:rPr>
        <w:t>Secondary Transfer of Equity Shares of face value of ₹5 each in the form of Gifts</w:t>
      </w:r>
    </w:p>
    <w:p>
      <w:pPr>
        <w:spacing w:after="80" w:line="276" w:lineRule="auto"/>
      </w:pPr>
      <w:r>
        <w:rPr>
          <w:rFonts w:ascii="Calibri" w:hAnsi="Calibri"/>
          <w:color w:val="1E293B"/>
          <w:sz w:val="22"/>
        </w:rPr>
        <w:t>Transferee</w:t>
      </w:r>
    </w:p>
    <w:p>
      <w:pPr>
        <w:spacing w:after="80" w:line="276" w:lineRule="auto"/>
      </w:pPr>
      <w:r>
        <w:rPr>
          <w:rFonts w:ascii="Calibri" w:hAnsi="Calibri"/>
          <w:color w:val="1E293B"/>
          <w:sz w:val="22"/>
        </w:rPr>
        <w:t>Transferor</w:t>
      </w:r>
    </w:p>
    <w:p>
      <w:pPr>
        <w:spacing w:after="80" w:line="276" w:lineRule="auto"/>
      </w:pPr>
      <w:r>
        <w:rPr>
          <w:rFonts w:ascii="Calibri" w:hAnsi="Calibri"/>
          <w:color w:val="1E293B"/>
          <w:sz w:val="22"/>
        </w:rPr>
        <w:t>Equity Shares of face value of ₹5 each</w:t>
      </w:r>
    </w:p>
    <w:p>
      <w:pPr>
        <w:spacing w:after="80" w:line="276" w:lineRule="auto"/>
      </w:pPr>
      <w:r>
        <w:rPr>
          <w:rFonts w:ascii="Calibri" w:hAnsi="Calibri"/>
          <w:color w:val="1E293B"/>
          <w:sz w:val="22"/>
        </w:rPr>
        <w:t>Date</w:t>
      </w:r>
    </w:p>
    <w:p>
      <w:pPr>
        <w:spacing w:after="80" w:line="276" w:lineRule="auto"/>
      </w:pPr>
      <w:r>
        <w:rPr>
          <w:rFonts w:ascii="Calibri" w:hAnsi="Calibri"/>
          <w:color w:val="1E293B"/>
          <w:sz w:val="22"/>
        </w:rPr>
        <w:t>Dhaulagiri Family Trust</w:t>
      </w:r>
    </w:p>
    <w:p>
      <w:pPr>
        <w:spacing w:after="80" w:line="276" w:lineRule="auto"/>
      </w:pPr>
      <w:r>
        <w:rPr>
          <w:rFonts w:ascii="Calibri" w:hAnsi="Calibri"/>
          <w:color w:val="1E293B"/>
          <w:sz w:val="22"/>
        </w:rPr>
        <w:t>Kushal Subbayya Hegde</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May 7, 2025</w:t>
      </w:r>
    </w:p>
    <w:p>
      <w:pPr>
        <w:spacing w:after="80" w:line="276" w:lineRule="auto"/>
      </w:pPr>
      <w:r>
        <w:rPr>
          <w:rFonts w:ascii="Calibri" w:hAnsi="Calibri"/>
          <w:color w:val="1E293B"/>
          <w:sz w:val="22"/>
        </w:rPr>
        <w:t>Makalu Family Trust</w:t>
      </w:r>
    </w:p>
    <w:p>
      <w:pPr>
        <w:spacing w:after="80" w:line="276" w:lineRule="auto"/>
      </w:pPr>
      <w:r>
        <w:rPr>
          <w:rFonts w:ascii="Calibri" w:hAnsi="Calibri"/>
          <w:color w:val="1E293B"/>
          <w:sz w:val="22"/>
        </w:rPr>
        <w:t>Kushal Subbayya Hegde</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May 7, 2025</w:t>
      </w:r>
    </w:p>
    <w:p>
      <w:pPr>
        <w:spacing w:after="80" w:line="276" w:lineRule="auto"/>
      </w:pPr>
      <w:r>
        <w:rPr>
          <w:rFonts w:ascii="Calibri" w:hAnsi="Calibri"/>
          <w:color w:val="1E293B"/>
          <w:sz w:val="22"/>
        </w:rPr>
        <w:t>Everest Family Trust</w:t>
      </w:r>
    </w:p>
    <w:p>
      <w:pPr>
        <w:spacing w:after="80" w:line="276" w:lineRule="auto"/>
      </w:pPr>
      <w:r>
        <w:rPr>
          <w:rFonts w:ascii="Calibri" w:hAnsi="Calibri"/>
          <w:color w:val="1E293B"/>
          <w:sz w:val="22"/>
        </w:rPr>
        <w:t>Kushal Subbayya Hegde</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May 7, 2025</w:t>
      </w:r>
    </w:p>
    <w:p>
      <w:pPr>
        <w:spacing w:after="80" w:line="276" w:lineRule="auto"/>
      </w:pPr>
      <w:r>
        <w:rPr>
          <w:rFonts w:ascii="Calibri" w:hAnsi="Calibri"/>
          <w:color w:val="1E293B"/>
          <w:sz w:val="22"/>
        </w:rPr>
        <w:t>Kanchenjunga Family Trust</w:t>
      </w:r>
    </w:p>
    <w:p>
      <w:pPr>
        <w:spacing w:after="80" w:line="276" w:lineRule="auto"/>
      </w:pPr>
      <w:r>
        <w:rPr>
          <w:rFonts w:ascii="Calibri" w:hAnsi="Calibri"/>
          <w:color w:val="1E293B"/>
          <w:sz w:val="22"/>
        </w:rPr>
        <w:t>Pushpa Kushal Hegde</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May 7, 2025</w:t>
      </w:r>
    </w:p>
    <w:p>
      <w:pPr>
        <w:spacing w:after="80" w:line="276" w:lineRule="auto"/>
      </w:pPr>
      <w:r>
        <w:rPr>
          <w:rFonts w:ascii="Calibri" w:hAnsi="Calibri"/>
          <w:color w:val="1E293B"/>
          <w:sz w:val="22"/>
        </w:rPr>
        <w:t>Annapurna Family Trust</w:t>
      </w:r>
    </w:p>
    <w:p>
      <w:pPr>
        <w:spacing w:after="80" w:line="276" w:lineRule="auto"/>
      </w:pPr>
      <w:r>
        <w:rPr>
          <w:rFonts w:ascii="Calibri" w:hAnsi="Calibri"/>
          <w:color w:val="1E293B"/>
          <w:sz w:val="22"/>
        </w:rPr>
        <w:t>Pushpa Kushal Hegde</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May 8, 2025</w:t>
      </w:r>
    </w:p>
    <w:p>
      <w:pPr>
        <w:spacing w:after="80" w:line="276" w:lineRule="auto"/>
      </w:pPr>
      <w:r>
        <w:rPr>
          <w:rFonts w:ascii="Calibri" w:hAnsi="Calibri"/>
          <w:color w:val="1E293B"/>
          <w:sz w:val="22"/>
        </w:rPr>
        <w:t>Broad Family Trust</w:t>
      </w:r>
    </w:p>
    <w:p>
      <w:pPr>
        <w:spacing w:after="80" w:line="276" w:lineRule="auto"/>
      </w:pPr>
      <w:r>
        <w:rPr>
          <w:rFonts w:ascii="Calibri" w:hAnsi="Calibri"/>
          <w:color w:val="1E293B"/>
          <w:sz w:val="22"/>
        </w:rPr>
        <w:t>Pushpa Kushal Hegde</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May 8, 2025</w:t>
      </w:r>
    </w:p>
    <w:p>
      <w:pPr>
        <w:spacing w:after="80" w:line="276" w:lineRule="auto"/>
      </w:pPr>
      <w:r>
        <w:rPr>
          <w:rFonts w:ascii="Calibri" w:hAnsi="Calibri"/>
          <w:color w:val="1E293B"/>
          <w:sz w:val="22"/>
        </w:rPr>
        <w:t>Details of pre-IPO placement</w:t>
      </w:r>
    </w:p>
    <w:p>
      <w:pPr>
        <w:spacing w:after="80" w:line="276" w:lineRule="auto"/>
      </w:pPr>
      <w:r>
        <w:rPr>
          <w:rFonts w:ascii="Calibri" w:hAnsi="Calibri"/>
          <w:color w:val="1E293B"/>
          <w:sz w:val="22"/>
        </w:rPr>
        <w:t>Northstar Technologies Ltd has not undertaken any pre-IPO placement between the date of the Draft Red Herring Prospectus and the date of this Red Herring Prospectus.</w:t>
      </w:r>
    </w:p>
    <w:p>
      <w:pPr>
        <w:spacing w:after="80" w:line="276" w:lineRule="auto"/>
      </w:pPr>
      <w:r>
        <w:rPr>
          <w:rFonts w:ascii="Calibri" w:hAnsi="Calibri"/>
          <w:color w:val="1E293B"/>
          <w:sz w:val="22"/>
        </w:rPr>
        <w:t>Bluebird Capital LLP for consideration other than cash in the last one year</w:t>
      </w:r>
    </w:p>
    <w:p>
      <w:pPr>
        <w:spacing w:after="80" w:line="276" w:lineRule="auto"/>
      </w:pPr>
      <w:r>
        <w:rPr>
          <w:rFonts w:ascii="Calibri" w:hAnsi="Calibri"/>
          <w:color w:val="1E293B"/>
          <w:sz w:val="22"/>
        </w:rPr>
        <w:t>Except as disclosed in “Capital Structure – Notes to Capital Structure – Shares issued for consideration other than cash or by way of a bonus issue” on page 90, Bluebird Capital LLP has not issued any equity shares for consideration other than cash in the one year preceding the date of this Red Herring Prospectus.</w:t>
      </w:r>
    </w:p>
    <w:p>
      <w:pPr>
        <w:spacing w:after="80" w:line="276" w:lineRule="auto"/>
      </w:pPr>
      <w:r>
        <w:rPr>
          <w:rFonts w:ascii="Calibri" w:hAnsi="Calibri"/>
          <w:color w:val="1E293B"/>
          <w:sz w:val="22"/>
        </w:rPr>
        <w:t>Split or consolidation of equity shares in the last one year</w:t>
      </w:r>
    </w:p>
    <w:p>
      <w:pPr>
        <w:spacing w:after="80" w:line="276" w:lineRule="auto"/>
      </w:pPr>
      <w:r>
        <w:rPr>
          <w:rFonts w:ascii="Calibri" w:hAnsi="Calibri"/>
          <w:color w:val="1E293B"/>
          <w:sz w:val="22"/>
        </w:rPr>
        <w:t>Pursuant to a resolution passed by our Board dated February 10, 2025 and a resolution passed by our Shareholders dated February 11, 2025, the face value of the equity shares was split from ₹100 per equity share to ₹5 per Equity Share. Accordingly, Acme Private Limited, being 4,000,000 equity shares of ₹100 each was split into 80,000,000 Equity Shares of ₹5 each, and the issued, subscribed and Northstar Technologies Ltd, being 568,182 equity shares of</w:t>
      </w:r>
    </w:p>
    <w:p>
      <w:pPr>
        <w:spacing w:after="80" w:line="276" w:lineRule="auto"/>
      </w:pPr>
      <w:r>
        <w:rPr>
          <w:rFonts w:ascii="Calibri" w:hAnsi="Calibri"/>
          <w:color w:val="1E293B"/>
          <w:sz w:val="22"/>
        </w:rPr>
        <w:t>₹100 each was split into 1,13,63,640 Equity Shares of ₹5 each. For further details, please see “Capital Structure – Northstar Technologies Ltd” on page 85.</w:t>
      </w:r>
    </w:p>
    <w:p>
      <w:pPr>
        <w:spacing w:after="80" w:line="276" w:lineRule="auto"/>
      </w:pPr>
      <w:r>
        <w:rPr>
          <w:rFonts w:ascii="Calibri" w:hAnsi="Calibri"/>
          <w:color w:val="1E293B"/>
          <w:sz w:val="22"/>
        </w:rPr>
        <w:t>Exemption from complying with any provisions of securities laws, if any, granted by the SEBI</w:t>
      </w:r>
    </w:p>
    <w:p>
      <w:pPr>
        <w:spacing w:after="80" w:line="276" w:lineRule="auto"/>
      </w:pPr>
      <w:r>
        <w:rPr>
          <w:rFonts w:ascii="Calibri" w:hAnsi="Calibri"/>
          <w:color w:val="1E293B"/>
          <w:sz w:val="22"/>
        </w:rPr>
        <w:t>Northstar Technologies Ltd has not applied for or received any exemption by SEBI from complying with any provisions of securities laws including the SEBI ICDR Regulations, as on the date of this Red Herring Prospectus.</w:t>
      </w:r>
    </w:p>
    <w:p>
      <w:pPr>
        <w:spacing w:after="80" w:line="276" w:lineRule="auto"/>
      </w:pPr>
      <w:r>
        <w:rPr>
          <w:rFonts w:ascii="Calibri" w:hAnsi="Calibri"/>
          <w:color w:val="1E293B"/>
          <w:sz w:val="22"/>
        </w:rPr>
        <w:t>SECTION II: RISK FACTORS</w:t>
      </w:r>
    </w:p>
    <w:p>
      <w:pPr>
        <w:spacing w:after="80" w:line="276" w:lineRule="auto"/>
      </w:pPr>
      <w:r>
        <w:rPr>
          <w:rFonts w:ascii="Calibri" w:hAnsi="Calibri"/>
          <w:color w:val="1E293B"/>
          <w:sz w:val="22"/>
        </w:rPr>
        <w:t>An investment in equity shares involves a high degree of risk. Prospective investors should carefully consider all the information in this Red Herring Prospectus, including the risks and uncertainties described below, before making an investment in our Equity Shares. The risks described in this section are those that we consider to be the most significant to our business, results of operations and financial condition as of the date of this Red Herring Prospectus. The risks described below may not be exhaustive or the only ones relevant to us, the Equity Shares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spacing w:after="80" w:line="276" w:lineRule="auto"/>
      </w:pPr>
      <w:r>
        <w:rPr>
          <w:rFonts w:ascii="Calibri" w:hAnsi="Calibri"/>
          <w:color w:val="1E293B"/>
          <w:sz w:val="22"/>
        </w:rPr>
        <w:t>In order to Northstar Technologies Ltd and our business, prospective investors should read this section in conjunction with “Industry Overview”, “Our Business”, “Key Regulations and Policies in India”, “Restated Financial Statements”, “Management’s Discussion and Analysis of Financial Condition and Results of Operations” and “Outstanding Litigation and Material Developments” on pages 137, 211, 238, 280, 356 and 388, respectively, as well as the other financial and statistical information contained in this Red Herring Prospectus.</w:t>
      </w:r>
    </w:p>
    <w:p>
      <w:pPr>
        <w:spacing w:after="80" w:line="276" w:lineRule="auto"/>
      </w:pPr>
      <w:r>
        <w:rPr>
          <w:rFonts w:ascii="Calibri" w:hAnsi="Calibri"/>
          <w:color w:val="1E293B"/>
          <w:sz w:val="22"/>
        </w:rPr>
        <w:t>This Red Herring Prospectus also contains forward-looking statements that involve risks, assumptions, estimates, uncertainties and other factors, many of which are beyond our control. Our actual results could differ from those anticipated in these forward-looking statements as a result of certain factors, including the considerations described below and elsewhere in this Red Herring Prospectus. For more details, see “Forward-Looking Statements” on page 18.</w:t>
      </w:r>
    </w:p>
    <w:p>
      <w:pPr>
        <w:spacing w:after="80" w:line="276" w:lineRule="auto"/>
      </w:pPr>
      <w:r>
        <w:rPr>
          <w:rFonts w:ascii="Calibri" w:hAnsi="Calibri"/>
          <w:color w:val="1E293B"/>
          <w:sz w:val="22"/>
        </w:rPr>
        <w:t>Unless otherwise stated, or unless the context otherwise requires, Bluebird Capital LLP used in this section has been derived from our Restated Financial Statements included in this Red Herring Prospectus on page 280. Our financial year ends on March 31 of each year. Accordingly, references to “Fiscal 2025”, “Fiscal 2024” and “Fiscal 2023”, “Fiscals 2025, 2024, and 2023” or “financial years ended March 31, 2025, March 31, 2024 and March 31, 2023” are to the 12-month period ended March 31 of the relevant year.</w:t>
      </w:r>
    </w:p>
    <w:p>
      <w:pPr>
        <w:spacing w:after="80" w:line="276" w:lineRule="auto"/>
      </w:pPr>
      <w:r>
        <w:rPr>
          <w:rFonts w:ascii="Calibri" w:hAnsi="Calibri"/>
          <w:color w:val="1E293B"/>
          <w:sz w:val="22"/>
        </w:rPr>
        <w:t>We have also included various financial and operational performance indicators in this Red Herring Prospectus, some of which have not been derived from the Restated Financial Statements. The manner of calculation and presentation of some of these financial and operational performance indicators, and the assumptions and estimates used in such calculations, may vary from those used by other companies in India and other jurisdictions.</w:t>
      </w:r>
    </w:p>
    <w:p>
      <w:pPr>
        <w:spacing w:after="80" w:line="276" w:lineRule="auto"/>
      </w:pPr>
      <w:r>
        <w:rPr>
          <w:rFonts w:ascii="Calibri" w:hAnsi="Calibri"/>
          <w:color w:val="1E293B"/>
          <w:sz w:val="22"/>
        </w:rPr>
        <w:t>Unless stated otherwise, industry and market data used in this section has been obtained or derived from the report titled “Industry Research Report on Magnet Winding Wires Market in India” dated November 26, 2025 (“CARE Report”), prepared and Acme Private Limited pursuant to an engagement letter dated December 2, 2024, and exclusively commissioned and paid for by us in connection with the Offer. The industry-related information included herein includes excerpts from the CARE Report and may have been re-ordered by us for the purposes of presentation. Unless otherwise indicated, all financial, operational, industry and other related information derived from the CARE Report and included herein with respect to any particular year refers to such information for the relevant calendar year. The CARE Report will be Bluebird Capital LLP from the date of this Red Herring Prospectus until the Bid/Offer Closing Date. For more information, see “Certain Conventions, Use of Financial Information and Market Data and Currency of Presentation” on page 15.</w:t>
      </w:r>
    </w:p>
    <w:p>
      <w:pPr>
        <w:spacing w:after="80" w:line="276" w:lineRule="auto"/>
      </w:pPr>
      <w:r>
        <w:rPr>
          <w:rFonts w:ascii="Calibri" w:hAnsi="Calibri"/>
          <w:color w:val="1E293B"/>
          <w:sz w:val="22"/>
        </w:rPr>
        <w:t>INTERNAL RISKS</w:t>
      </w:r>
    </w:p>
    <w:p>
      <w:pPr>
        <w:spacing w:after="80" w:line="276" w:lineRule="auto"/>
      </w:pPr>
      <w:r>
        <w:rPr>
          <w:rFonts w:ascii="Calibri" w:hAnsi="Calibri"/>
          <w:color w:val="1E293B"/>
          <w:sz w:val="22"/>
        </w:rPr>
        <w:t>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Ananya Sharma adverse effect on our business, results of operations, financial condition and cash flows.</w:t>
      </w:r>
    </w:p>
    <w:p>
      <w:pPr>
        <w:spacing w:after="80" w:line="276" w:lineRule="auto"/>
      </w:pPr>
      <w:r>
        <w:rPr>
          <w:rFonts w:ascii="Calibri" w:hAnsi="Calibri"/>
          <w:color w:val="1E293B"/>
          <w:sz w:val="22"/>
        </w:rPr>
        <w:t>We have derived a significant portion of our revenue from operations from our top 10 customers. The table below sets forth details of our revenue from operations generated from top 10 customers in each of the period/ Fiscals indicated:</w:t>
      </w:r>
    </w:p>
    <w:p>
      <w:pPr>
        <w:spacing w:after="80" w:line="276" w:lineRule="auto"/>
      </w:pPr>
      <w:r>
        <w:rPr>
          <w:rFonts w:ascii="Calibri" w:hAnsi="Calibri"/>
          <w:color w:val="1E293B"/>
          <w:sz w:val="22"/>
        </w:rPr>
        <w:t>Particulars</w:t>
      </w:r>
    </w:p>
    <w:p>
      <w:pPr>
        <w:spacing w:after="80" w:line="276" w:lineRule="auto"/>
      </w:pPr>
      <w:r>
        <w:rPr>
          <w:rFonts w:ascii="Calibri" w:hAnsi="Calibri"/>
          <w:color w:val="1E293B"/>
          <w:sz w:val="22"/>
        </w:rPr>
        <w:t>Three-month period ended June 30, 2025</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Revenue from top 10 customers (₹ in million)</w:t>
      </w:r>
    </w:p>
    <w:p>
      <w:pPr>
        <w:spacing w:after="80" w:line="276" w:lineRule="auto"/>
      </w:pPr>
      <w:r>
        <w:rPr>
          <w:rFonts w:ascii="Calibri" w:hAnsi="Calibri"/>
          <w:color w:val="1E293B"/>
          <w:sz w:val="22"/>
        </w:rPr>
        <w:t>3,015.48</w:t>
      </w:r>
    </w:p>
    <w:p>
      <w:pPr>
        <w:spacing w:after="80" w:line="276" w:lineRule="auto"/>
      </w:pPr>
      <w:r>
        <w:rPr>
          <w:rFonts w:ascii="Calibri" w:hAnsi="Calibri"/>
          <w:color w:val="1E293B"/>
          <w:sz w:val="22"/>
        </w:rPr>
        <w:t>10,130.32</w:t>
      </w:r>
    </w:p>
    <w:p>
      <w:pPr>
        <w:spacing w:after="80" w:line="276" w:lineRule="auto"/>
      </w:pPr>
      <w:r>
        <w:rPr>
          <w:rFonts w:ascii="Calibri" w:hAnsi="Calibri"/>
          <w:color w:val="1E293B"/>
          <w:sz w:val="22"/>
        </w:rPr>
        <w:t>7,896.04</w:t>
      </w:r>
    </w:p>
    <w:p>
      <w:pPr>
        <w:spacing w:after="80" w:line="276" w:lineRule="auto"/>
      </w:pPr>
      <w:r>
        <w:rPr>
          <w:rFonts w:ascii="Calibri" w:hAnsi="Calibri"/>
          <w:color w:val="1E293B"/>
          <w:sz w:val="22"/>
        </w:rPr>
        <w:t>6,191.05</w:t>
      </w:r>
    </w:p>
    <w:p>
      <w:pPr>
        <w:spacing w:after="80" w:line="276" w:lineRule="auto"/>
      </w:pPr>
      <w:r>
        <w:rPr>
          <w:rFonts w:ascii="Calibri" w:hAnsi="Calibri"/>
          <w:color w:val="1E293B"/>
          <w:sz w:val="22"/>
        </w:rPr>
        <w:t>Particulars</w:t>
      </w:r>
    </w:p>
    <w:p>
      <w:pPr>
        <w:spacing w:after="80" w:line="276" w:lineRule="auto"/>
      </w:pPr>
      <w:r>
        <w:rPr>
          <w:rFonts w:ascii="Calibri" w:hAnsi="Calibri"/>
          <w:color w:val="1E293B"/>
          <w:sz w:val="22"/>
        </w:rPr>
        <w:t>Three-month period ended June 30, 2025</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Revenue from top 10 customers as a percentage of total revenue from operations (%)</w:t>
      </w:r>
    </w:p>
    <w:p>
      <w:pPr>
        <w:spacing w:after="80" w:line="276" w:lineRule="auto"/>
      </w:pPr>
      <w:r>
        <w:rPr>
          <w:rFonts w:ascii="Calibri" w:hAnsi="Calibri"/>
          <w:color w:val="1E293B"/>
          <w:sz w:val="22"/>
        </w:rPr>
        <w:t>53.97%</w:t>
      </w:r>
    </w:p>
    <w:p>
      <w:pPr>
        <w:spacing w:after="80" w:line="276" w:lineRule="auto"/>
      </w:pPr>
      <w:r>
        <w:rPr>
          <w:rFonts w:ascii="Calibri" w:hAnsi="Calibri"/>
          <w:color w:val="1E293B"/>
          <w:sz w:val="22"/>
        </w:rPr>
        <w:t>52.54%</w:t>
      </w:r>
    </w:p>
    <w:p>
      <w:pPr>
        <w:spacing w:after="80" w:line="276" w:lineRule="auto"/>
      </w:pPr>
      <w:r>
        <w:rPr>
          <w:rFonts w:ascii="Calibri" w:hAnsi="Calibri"/>
          <w:color w:val="1E293B"/>
          <w:sz w:val="22"/>
        </w:rPr>
        <w:t>57.10%</w:t>
      </w:r>
    </w:p>
    <w:p>
      <w:pPr>
        <w:spacing w:after="80" w:line="276" w:lineRule="auto"/>
      </w:pPr>
      <w:r>
        <w:rPr>
          <w:rFonts w:ascii="Calibri" w:hAnsi="Calibri"/>
          <w:color w:val="1E293B"/>
          <w:sz w:val="22"/>
        </w:rPr>
        <w:t>58.99%</w:t>
      </w:r>
    </w:p>
    <w:p>
      <w:pPr>
        <w:spacing w:after="80" w:line="276" w:lineRule="auto"/>
      </w:pPr>
      <w:r>
        <w:rPr>
          <w:rFonts w:ascii="Calibri" w:hAnsi="Calibri"/>
          <w:color w:val="1E293B"/>
          <w:sz w:val="22"/>
        </w:rPr>
        <w:t>Total revenue from operations</w:t>
      </w:r>
    </w:p>
    <w:p>
      <w:pPr>
        <w:spacing w:after="80" w:line="276" w:lineRule="auto"/>
      </w:pPr>
      <w:r>
        <w:rPr>
          <w:rFonts w:ascii="Calibri" w:hAnsi="Calibri"/>
          <w:color w:val="1E293B"/>
          <w:sz w:val="22"/>
        </w:rPr>
        <w:t>5,587.12</w:t>
      </w:r>
    </w:p>
    <w:p>
      <w:pPr>
        <w:spacing w:after="80" w:line="276" w:lineRule="auto"/>
      </w:pPr>
      <w:r>
        <w:rPr>
          <w:rFonts w:ascii="Calibri" w:hAnsi="Calibri"/>
          <w:color w:val="1E293B"/>
          <w:sz w:val="22"/>
        </w:rPr>
        <w:t>19,282.93</w:t>
      </w:r>
    </w:p>
    <w:p>
      <w:pPr>
        <w:spacing w:after="80" w:line="276" w:lineRule="auto"/>
      </w:pPr>
      <w:r>
        <w:rPr>
          <w:rFonts w:ascii="Calibri" w:hAnsi="Calibri"/>
          <w:color w:val="1E293B"/>
          <w:sz w:val="22"/>
        </w:rPr>
        <w:t>13,828.15</w:t>
      </w:r>
    </w:p>
    <w:p>
      <w:pPr>
        <w:spacing w:after="80" w:line="276" w:lineRule="auto"/>
      </w:pPr>
      <w:r>
        <w:rPr>
          <w:rFonts w:ascii="Calibri" w:hAnsi="Calibri"/>
          <w:color w:val="1E293B"/>
          <w:sz w:val="22"/>
        </w:rPr>
        <w:t>10,494.60</w:t>
      </w:r>
    </w:p>
    <w:p>
      <w:pPr>
        <w:spacing w:after="80" w:line="276" w:lineRule="auto"/>
      </w:pPr>
      <w:r>
        <w:rPr>
          <w:rFonts w:ascii="Calibri" w:hAnsi="Calibri"/>
          <w:color w:val="1E293B"/>
          <w:sz w:val="22"/>
        </w:rPr>
        <w:t>The table below sets forth the revenue derived from each of our top 10 customers, for the period/ Fiscals indicated:</w:t>
      </w:r>
    </w:p>
    <w:p>
      <w:pPr>
        <w:spacing w:after="80" w:line="276" w:lineRule="auto"/>
      </w:pPr>
      <w:r>
        <w:rPr>
          <w:rFonts w:ascii="Calibri" w:hAnsi="Calibri"/>
          <w:color w:val="1E293B"/>
          <w:sz w:val="22"/>
        </w:rPr>
        <w:t>S. N</w:t>
      </w:r>
    </w:p>
    <w:p>
      <w:pPr>
        <w:spacing w:after="80" w:line="276" w:lineRule="auto"/>
      </w:pPr>
      <w:r>
        <w:rPr>
          <w:rFonts w:ascii="Calibri" w:hAnsi="Calibri"/>
          <w:color w:val="1E293B"/>
          <w:sz w:val="22"/>
        </w:rPr>
        <w:t>o.</w:t>
      </w:r>
    </w:p>
    <w:p>
      <w:pPr>
        <w:spacing w:after="80" w:line="276" w:lineRule="auto"/>
      </w:pPr>
      <w:r>
        <w:rPr>
          <w:rFonts w:ascii="Calibri" w:hAnsi="Calibri"/>
          <w:color w:val="1E293B"/>
          <w:sz w:val="22"/>
        </w:rPr>
        <w:t>Various customer s*</w:t>
      </w:r>
    </w:p>
    <w:p>
      <w:pPr>
        <w:spacing w:after="80" w:line="276" w:lineRule="auto"/>
      </w:pPr>
      <w:r>
        <w:rPr>
          <w:rFonts w:ascii="Calibri" w:hAnsi="Calibri"/>
          <w:color w:val="1E293B"/>
          <w:sz w:val="22"/>
        </w:rPr>
        <w:t>Three-month period ended June 30, 2025</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Amount (₹ in million)</w:t>
      </w:r>
    </w:p>
    <w:p>
      <w:pPr>
        <w:spacing w:after="80" w:line="276" w:lineRule="auto"/>
      </w:pPr>
      <w:r>
        <w:rPr>
          <w:rFonts w:ascii="Calibri" w:hAnsi="Calibri"/>
          <w:color w:val="1E293B"/>
          <w:sz w:val="22"/>
        </w:rPr>
        <w:t>% of revenue from</w:t>
      </w:r>
    </w:p>
    <w:p>
      <w:pPr>
        <w:spacing w:after="80" w:line="276" w:lineRule="auto"/>
      </w:pPr>
      <w:r>
        <w:rPr>
          <w:rFonts w:ascii="Calibri" w:hAnsi="Calibri"/>
          <w:color w:val="1E293B"/>
          <w:sz w:val="22"/>
        </w:rPr>
        <w:t>operatio ns</w:t>
      </w:r>
    </w:p>
    <w:p>
      <w:pPr>
        <w:spacing w:after="80" w:line="276" w:lineRule="auto"/>
      </w:pPr>
      <w:r>
        <w:rPr>
          <w:rFonts w:ascii="Calibri" w:hAnsi="Calibri"/>
          <w:color w:val="1E293B"/>
          <w:sz w:val="22"/>
        </w:rPr>
        <w:t>Amount (₹</w:t>
      </w:r>
    </w:p>
    <w:p>
      <w:pPr>
        <w:spacing w:after="80" w:line="276" w:lineRule="auto"/>
      </w:pPr>
      <w:r>
        <w:rPr>
          <w:rFonts w:ascii="Calibri" w:hAnsi="Calibri"/>
          <w:color w:val="1E293B"/>
          <w:sz w:val="22"/>
        </w:rPr>
        <w:t>in million)</w:t>
      </w:r>
    </w:p>
    <w:p>
      <w:pPr>
        <w:spacing w:after="80" w:line="276" w:lineRule="auto"/>
      </w:pPr>
      <w:r>
        <w:rPr>
          <w:rFonts w:ascii="Calibri" w:hAnsi="Calibri"/>
          <w:color w:val="1E293B"/>
          <w:sz w:val="22"/>
        </w:rPr>
        <w:t>% of revenue from operations</w:t>
      </w:r>
    </w:p>
    <w:p>
      <w:pPr>
        <w:spacing w:after="80" w:line="276" w:lineRule="auto"/>
      </w:pPr>
      <w:r>
        <w:rPr>
          <w:rFonts w:ascii="Calibri" w:hAnsi="Calibri"/>
          <w:color w:val="1E293B"/>
          <w:sz w:val="22"/>
        </w:rPr>
        <w:t>Amount (₹ in million)</w:t>
      </w:r>
    </w:p>
    <w:p>
      <w:pPr>
        <w:spacing w:after="80" w:line="276" w:lineRule="auto"/>
      </w:pPr>
      <w:r>
        <w:rPr>
          <w:rFonts w:ascii="Calibri" w:hAnsi="Calibri"/>
          <w:color w:val="1E293B"/>
          <w:sz w:val="22"/>
        </w:rPr>
        <w:t>% of revenue from operations</w:t>
      </w:r>
    </w:p>
    <w:p>
      <w:pPr>
        <w:spacing w:after="80" w:line="276" w:lineRule="auto"/>
      </w:pPr>
      <w:r>
        <w:rPr>
          <w:rFonts w:ascii="Calibri" w:hAnsi="Calibri"/>
          <w:color w:val="1E293B"/>
          <w:sz w:val="22"/>
        </w:rPr>
        <w:t>Amount (₹ in million)</w:t>
      </w:r>
    </w:p>
    <w:p>
      <w:pPr>
        <w:spacing w:after="80" w:line="276" w:lineRule="auto"/>
      </w:pPr>
      <w:r>
        <w:rPr>
          <w:rFonts w:ascii="Calibri" w:hAnsi="Calibri"/>
          <w:color w:val="1E293B"/>
          <w:sz w:val="22"/>
        </w:rPr>
        <w:t>% of revenue from operations</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Customer</w:t>
      </w:r>
    </w:p>
    <w:p>
      <w:pPr>
        <w:spacing w:after="80" w:line="276" w:lineRule="auto"/>
      </w:pPr>
      <w:r>
        <w:rPr>
          <w:rFonts w:ascii="Calibri" w:hAnsi="Calibri"/>
          <w:color w:val="1E293B"/>
          <w:sz w:val="22"/>
        </w:rPr>
        <w:t>660.03</w:t>
      </w:r>
    </w:p>
    <w:p>
      <w:pPr>
        <w:spacing w:after="80" w:line="276" w:lineRule="auto"/>
      </w:pPr>
      <w:r>
        <w:rPr>
          <w:rFonts w:ascii="Calibri" w:hAnsi="Calibri"/>
          <w:color w:val="1E293B"/>
          <w:sz w:val="22"/>
        </w:rPr>
        <w:t>11.81%</w:t>
      </w:r>
    </w:p>
    <w:p>
      <w:pPr>
        <w:spacing w:after="80" w:line="276" w:lineRule="auto"/>
      </w:pPr>
      <w:r>
        <w:rPr>
          <w:rFonts w:ascii="Calibri" w:hAnsi="Calibri"/>
          <w:color w:val="1E293B"/>
          <w:sz w:val="22"/>
        </w:rPr>
        <w:t>1,963.92</w:t>
      </w:r>
    </w:p>
    <w:p>
      <w:pPr>
        <w:spacing w:after="80" w:line="276" w:lineRule="auto"/>
      </w:pPr>
      <w:r>
        <w:rPr>
          <w:rFonts w:ascii="Calibri" w:hAnsi="Calibri"/>
          <w:color w:val="1E293B"/>
          <w:sz w:val="22"/>
        </w:rPr>
        <w:t>10.18%</w:t>
      </w:r>
    </w:p>
    <w:p>
      <w:pPr>
        <w:spacing w:after="80" w:line="276" w:lineRule="auto"/>
      </w:pPr>
      <w:r>
        <w:rPr>
          <w:rFonts w:ascii="Calibri" w:hAnsi="Calibri"/>
          <w:color w:val="1E293B"/>
          <w:sz w:val="22"/>
        </w:rPr>
        <w:t>1,446.66</w:t>
      </w:r>
    </w:p>
    <w:p>
      <w:pPr>
        <w:spacing w:after="80" w:line="276" w:lineRule="auto"/>
      </w:pPr>
      <w:r>
        <w:rPr>
          <w:rFonts w:ascii="Calibri" w:hAnsi="Calibri"/>
          <w:color w:val="1E293B"/>
          <w:sz w:val="22"/>
        </w:rPr>
        <w:t>10.46%</w:t>
      </w:r>
    </w:p>
    <w:p>
      <w:pPr>
        <w:spacing w:after="80" w:line="276" w:lineRule="auto"/>
      </w:pPr>
      <w:r>
        <w:rPr>
          <w:rFonts w:ascii="Calibri" w:hAnsi="Calibri"/>
          <w:color w:val="1E293B"/>
          <w:sz w:val="22"/>
        </w:rPr>
        <w:t>1,303.86</w:t>
      </w:r>
    </w:p>
    <w:p>
      <w:pPr>
        <w:spacing w:after="80" w:line="276" w:lineRule="auto"/>
      </w:pPr>
      <w:r>
        <w:rPr>
          <w:rFonts w:ascii="Calibri" w:hAnsi="Calibri"/>
          <w:color w:val="1E293B"/>
          <w:sz w:val="22"/>
        </w:rPr>
        <w:t>12.42%</w:t>
      </w:r>
    </w:p>
    <w:p>
      <w:pPr>
        <w:spacing w:after="80" w:line="276" w:lineRule="auto"/>
      </w:pPr>
      <w:r>
        <w:rPr>
          <w:rFonts w:ascii="Calibri" w:hAnsi="Calibri"/>
          <w:color w:val="1E293B"/>
          <w:sz w:val="22"/>
        </w:rPr>
        <w:t>2.</w:t>
      </w:r>
    </w:p>
    <w:p>
      <w:pPr>
        <w:spacing w:after="80" w:line="276" w:lineRule="auto"/>
      </w:pPr>
      <w:r>
        <w:rPr>
          <w:rFonts w:ascii="Calibri" w:hAnsi="Calibri"/>
          <w:color w:val="1E293B"/>
          <w:sz w:val="22"/>
        </w:rPr>
        <w:t>Customer</w:t>
      </w:r>
    </w:p>
    <w:p>
      <w:pPr>
        <w:spacing w:after="80" w:line="276" w:lineRule="auto"/>
      </w:pPr>
      <w:r>
        <w:rPr>
          <w:rFonts w:ascii="Calibri" w:hAnsi="Calibri"/>
          <w:color w:val="1E293B"/>
          <w:sz w:val="22"/>
        </w:rPr>
        <w:t>609.48</w:t>
      </w:r>
    </w:p>
    <w:p>
      <w:pPr>
        <w:spacing w:after="80" w:line="276" w:lineRule="auto"/>
      </w:pPr>
      <w:r>
        <w:rPr>
          <w:rFonts w:ascii="Calibri" w:hAnsi="Calibri"/>
          <w:color w:val="1E293B"/>
          <w:sz w:val="22"/>
        </w:rPr>
        <w:t>10.91%</w:t>
      </w:r>
    </w:p>
    <w:p>
      <w:pPr>
        <w:spacing w:after="80" w:line="276" w:lineRule="auto"/>
      </w:pPr>
      <w:r>
        <w:rPr>
          <w:rFonts w:ascii="Calibri" w:hAnsi="Calibri"/>
          <w:color w:val="1E293B"/>
          <w:sz w:val="22"/>
        </w:rPr>
        <w:t>1,702.54</w:t>
      </w:r>
    </w:p>
    <w:p>
      <w:pPr>
        <w:spacing w:after="80" w:line="276" w:lineRule="auto"/>
      </w:pPr>
      <w:r>
        <w:rPr>
          <w:rFonts w:ascii="Calibri" w:hAnsi="Calibri"/>
          <w:color w:val="1E293B"/>
          <w:sz w:val="22"/>
        </w:rPr>
        <w:t>8.83%</w:t>
      </w:r>
    </w:p>
    <w:p>
      <w:pPr>
        <w:spacing w:after="80" w:line="276" w:lineRule="auto"/>
      </w:pPr>
      <w:r>
        <w:rPr>
          <w:rFonts w:ascii="Calibri" w:hAnsi="Calibri"/>
          <w:color w:val="1E293B"/>
          <w:sz w:val="22"/>
        </w:rPr>
        <w:t>1,396.23</w:t>
      </w:r>
    </w:p>
    <w:p>
      <w:pPr>
        <w:spacing w:after="80" w:line="276" w:lineRule="auto"/>
      </w:pPr>
      <w:r>
        <w:rPr>
          <w:rFonts w:ascii="Calibri" w:hAnsi="Calibri"/>
          <w:color w:val="1E293B"/>
          <w:sz w:val="22"/>
        </w:rPr>
        <w:t>10.10%</w:t>
      </w:r>
    </w:p>
    <w:p>
      <w:pPr>
        <w:spacing w:after="80" w:line="276" w:lineRule="auto"/>
      </w:pPr>
      <w:r>
        <w:rPr>
          <w:rFonts w:ascii="Calibri" w:hAnsi="Calibri"/>
          <w:color w:val="1E293B"/>
          <w:sz w:val="22"/>
        </w:rPr>
        <w:t>765.18</w:t>
      </w:r>
    </w:p>
    <w:p>
      <w:pPr>
        <w:spacing w:after="80" w:line="276" w:lineRule="auto"/>
      </w:pPr>
      <w:r>
        <w:rPr>
          <w:rFonts w:ascii="Calibri" w:hAnsi="Calibri"/>
          <w:color w:val="1E293B"/>
          <w:sz w:val="22"/>
        </w:rPr>
        <w:t>7.29%</w:t>
      </w:r>
    </w:p>
    <w:p>
      <w:pPr>
        <w:spacing w:after="80" w:line="276" w:lineRule="auto"/>
      </w:pPr>
      <w:r>
        <w:rPr>
          <w:rFonts w:ascii="Calibri" w:hAnsi="Calibri"/>
          <w:color w:val="1E293B"/>
          <w:sz w:val="22"/>
        </w:rPr>
        <w:t>3.</w:t>
      </w:r>
    </w:p>
    <w:p>
      <w:pPr>
        <w:spacing w:after="80" w:line="276" w:lineRule="auto"/>
      </w:pPr>
      <w:r>
        <w:rPr>
          <w:rFonts w:ascii="Calibri" w:hAnsi="Calibri"/>
          <w:color w:val="1E293B"/>
          <w:sz w:val="22"/>
        </w:rPr>
        <w:t>Customer</w:t>
      </w:r>
    </w:p>
    <w:p>
      <w:pPr>
        <w:spacing w:after="80" w:line="276" w:lineRule="auto"/>
      </w:pPr>
      <w:r>
        <w:rPr>
          <w:rFonts w:ascii="Calibri" w:hAnsi="Calibri"/>
          <w:color w:val="1E293B"/>
          <w:sz w:val="22"/>
        </w:rPr>
        <w:t>352.56</w:t>
      </w:r>
    </w:p>
    <w:p>
      <w:pPr>
        <w:spacing w:after="80" w:line="276" w:lineRule="auto"/>
      </w:pPr>
      <w:r>
        <w:rPr>
          <w:rFonts w:ascii="Calibri" w:hAnsi="Calibri"/>
          <w:color w:val="1E293B"/>
          <w:sz w:val="22"/>
        </w:rPr>
        <w:t>6.31%</w:t>
      </w:r>
    </w:p>
    <w:p>
      <w:pPr>
        <w:spacing w:after="80" w:line="276" w:lineRule="auto"/>
      </w:pPr>
      <w:r>
        <w:rPr>
          <w:rFonts w:ascii="Calibri" w:hAnsi="Calibri"/>
          <w:color w:val="1E293B"/>
          <w:sz w:val="22"/>
        </w:rPr>
        <w:t>934.53</w:t>
      </w:r>
    </w:p>
    <w:p>
      <w:pPr>
        <w:spacing w:after="80" w:line="276" w:lineRule="auto"/>
      </w:pPr>
      <w:r>
        <w:rPr>
          <w:rFonts w:ascii="Calibri" w:hAnsi="Calibri"/>
          <w:color w:val="1E293B"/>
          <w:sz w:val="22"/>
        </w:rPr>
        <w:t>4.85%</w:t>
      </w:r>
    </w:p>
    <w:p>
      <w:pPr>
        <w:spacing w:after="80" w:line="276" w:lineRule="auto"/>
      </w:pPr>
      <w:r>
        <w:rPr>
          <w:rFonts w:ascii="Calibri" w:hAnsi="Calibri"/>
          <w:color w:val="1E293B"/>
          <w:sz w:val="22"/>
        </w:rPr>
        <w:t>856.66</w:t>
      </w:r>
    </w:p>
    <w:p>
      <w:pPr>
        <w:spacing w:after="80" w:line="276" w:lineRule="auto"/>
      </w:pPr>
      <w:r>
        <w:rPr>
          <w:rFonts w:ascii="Calibri" w:hAnsi="Calibri"/>
          <w:color w:val="1E293B"/>
          <w:sz w:val="22"/>
        </w:rPr>
        <w:t>6.20%</w:t>
      </w:r>
    </w:p>
    <w:p>
      <w:pPr>
        <w:spacing w:after="80" w:line="276" w:lineRule="auto"/>
      </w:pPr>
      <w:r>
        <w:rPr>
          <w:rFonts w:ascii="Calibri" w:hAnsi="Calibri"/>
          <w:color w:val="1E293B"/>
          <w:sz w:val="22"/>
        </w:rPr>
        <w:t>672.20</w:t>
      </w:r>
    </w:p>
    <w:p>
      <w:pPr>
        <w:spacing w:after="80" w:line="276" w:lineRule="auto"/>
      </w:pPr>
      <w:r>
        <w:rPr>
          <w:rFonts w:ascii="Calibri" w:hAnsi="Calibri"/>
          <w:color w:val="1E293B"/>
          <w:sz w:val="22"/>
        </w:rPr>
        <w:t>6.41%</w:t>
      </w:r>
    </w:p>
    <w:p>
      <w:pPr>
        <w:spacing w:after="80" w:line="276" w:lineRule="auto"/>
      </w:pPr>
      <w:r>
        <w:rPr>
          <w:rFonts w:ascii="Calibri" w:hAnsi="Calibri"/>
          <w:color w:val="1E293B"/>
          <w:sz w:val="22"/>
        </w:rPr>
        <w:t>4.</w:t>
      </w:r>
    </w:p>
    <w:p>
      <w:pPr>
        <w:spacing w:after="80" w:line="276" w:lineRule="auto"/>
      </w:pPr>
      <w:r>
        <w:rPr>
          <w:rFonts w:ascii="Calibri" w:hAnsi="Calibri"/>
          <w:color w:val="1E293B"/>
          <w:sz w:val="22"/>
        </w:rPr>
        <w:t>Customer</w:t>
      </w:r>
    </w:p>
    <w:p>
      <w:pPr>
        <w:spacing w:after="80" w:line="276" w:lineRule="auto"/>
      </w:pPr>
      <w:r>
        <w:rPr>
          <w:rFonts w:ascii="Calibri" w:hAnsi="Calibri"/>
          <w:color w:val="1E293B"/>
          <w:sz w:val="22"/>
        </w:rPr>
        <w:t>241.41</w:t>
      </w:r>
    </w:p>
    <w:p>
      <w:pPr>
        <w:spacing w:after="80" w:line="276" w:lineRule="auto"/>
      </w:pPr>
      <w:r>
        <w:rPr>
          <w:rFonts w:ascii="Calibri" w:hAnsi="Calibri"/>
          <w:color w:val="1E293B"/>
          <w:sz w:val="22"/>
        </w:rPr>
        <w:t>4.32%</w:t>
      </w:r>
    </w:p>
    <w:p>
      <w:pPr>
        <w:spacing w:after="80" w:line="276" w:lineRule="auto"/>
      </w:pPr>
      <w:r>
        <w:rPr>
          <w:rFonts w:ascii="Calibri" w:hAnsi="Calibri"/>
          <w:color w:val="1E293B"/>
          <w:sz w:val="22"/>
        </w:rPr>
        <w:t>895.21</w:t>
      </w:r>
    </w:p>
    <w:p>
      <w:pPr>
        <w:spacing w:after="80" w:line="276" w:lineRule="auto"/>
      </w:pPr>
      <w:r>
        <w:rPr>
          <w:rFonts w:ascii="Calibri" w:hAnsi="Calibri"/>
          <w:color w:val="1E293B"/>
          <w:sz w:val="22"/>
        </w:rPr>
        <w:t>4.64%</w:t>
      </w:r>
    </w:p>
    <w:p>
      <w:pPr>
        <w:spacing w:after="80" w:line="276" w:lineRule="auto"/>
      </w:pPr>
      <w:r>
        <w:rPr>
          <w:rFonts w:ascii="Calibri" w:hAnsi="Calibri"/>
          <w:color w:val="1E293B"/>
          <w:sz w:val="22"/>
        </w:rPr>
        <w:t>774.13</w:t>
      </w:r>
    </w:p>
    <w:p>
      <w:pPr>
        <w:spacing w:after="80" w:line="276" w:lineRule="auto"/>
      </w:pPr>
      <w:r>
        <w:rPr>
          <w:rFonts w:ascii="Calibri" w:hAnsi="Calibri"/>
          <w:color w:val="1E293B"/>
          <w:sz w:val="22"/>
        </w:rPr>
        <w:t>5.60%</w:t>
      </w:r>
    </w:p>
    <w:p>
      <w:pPr>
        <w:spacing w:after="80" w:line="276" w:lineRule="auto"/>
      </w:pPr>
      <w:r>
        <w:rPr>
          <w:rFonts w:ascii="Calibri" w:hAnsi="Calibri"/>
          <w:color w:val="1E293B"/>
          <w:sz w:val="22"/>
        </w:rPr>
        <w:t>632.42</w:t>
      </w:r>
    </w:p>
    <w:p>
      <w:pPr>
        <w:spacing w:after="80" w:line="276" w:lineRule="auto"/>
      </w:pPr>
      <w:r>
        <w:rPr>
          <w:rFonts w:ascii="Calibri" w:hAnsi="Calibri"/>
          <w:color w:val="1E293B"/>
          <w:sz w:val="22"/>
        </w:rPr>
        <w:t>6.03%</w:t>
      </w:r>
    </w:p>
    <w:p>
      <w:pPr>
        <w:spacing w:after="80" w:line="276" w:lineRule="auto"/>
      </w:pPr>
      <w:r>
        <w:rPr>
          <w:rFonts w:ascii="Calibri" w:hAnsi="Calibri"/>
          <w:color w:val="1E293B"/>
          <w:sz w:val="22"/>
        </w:rPr>
        <w:t>5.</w:t>
      </w:r>
    </w:p>
    <w:p>
      <w:pPr>
        <w:spacing w:after="80" w:line="276" w:lineRule="auto"/>
      </w:pPr>
      <w:r>
        <w:rPr>
          <w:rFonts w:ascii="Calibri" w:hAnsi="Calibri"/>
          <w:color w:val="1E293B"/>
          <w:sz w:val="22"/>
        </w:rPr>
        <w:t>Customer</w:t>
      </w:r>
    </w:p>
    <w:p>
      <w:pPr>
        <w:spacing w:after="80" w:line="276" w:lineRule="auto"/>
      </w:pPr>
      <w:r>
        <w:rPr>
          <w:rFonts w:ascii="Calibri" w:hAnsi="Calibri"/>
          <w:color w:val="1E293B"/>
          <w:sz w:val="22"/>
        </w:rPr>
        <w:t>227.08</w:t>
      </w:r>
    </w:p>
    <w:p>
      <w:pPr>
        <w:spacing w:after="80" w:line="276" w:lineRule="auto"/>
      </w:pPr>
      <w:r>
        <w:rPr>
          <w:rFonts w:ascii="Calibri" w:hAnsi="Calibri"/>
          <w:color w:val="1E293B"/>
          <w:sz w:val="22"/>
        </w:rPr>
        <w:t>4.06%</w:t>
      </w:r>
    </w:p>
    <w:p>
      <w:pPr>
        <w:spacing w:after="80" w:line="276" w:lineRule="auto"/>
      </w:pPr>
      <w:r>
        <w:rPr>
          <w:rFonts w:ascii="Calibri" w:hAnsi="Calibri"/>
          <w:color w:val="1E293B"/>
          <w:sz w:val="22"/>
        </w:rPr>
        <w:t>873.79</w:t>
      </w:r>
    </w:p>
    <w:p>
      <w:pPr>
        <w:spacing w:after="80" w:line="276" w:lineRule="auto"/>
      </w:pPr>
      <w:r>
        <w:rPr>
          <w:rFonts w:ascii="Calibri" w:hAnsi="Calibri"/>
          <w:color w:val="1E293B"/>
          <w:sz w:val="22"/>
        </w:rPr>
        <w:t>4.53%</w:t>
      </w:r>
    </w:p>
    <w:p>
      <w:pPr>
        <w:spacing w:after="80" w:line="276" w:lineRule="auto"/>
      </w:pPr>
      <w:r>
        <w:rPr>
          <w:rFonts w:ascii="Calibri" w:hAnsi="Calibri"/>
          <w:color w:val="1E293B"/>
          <w:sz w:val="22"/>
        </w:rPr>
        <w:t>758.39</w:t>
      </w:r>
    </w:p>
    <w:p>
      <w:pPr>
        <w:spacing w:after="80" w:line="276" w:lineRule="auto"/>
      </w:pPr>
      <w:r>
        <w:rPr>
          <w:rFonts w:ascii="Calibri" w:hAnsi="Calibri"/>
          <w:color w:val="1E293B"/>
          <w:sz w:val="22"/>
        </w:rPr>
        <w:t>5.48%</w:t>
      </w:r>
    </w:p>
    <w:p>
      <w:pPr>
        <w:spacing w:after="80" w:line="276" w:lineRule="auto"/>
      </w:pPr>
      <w:r>
        <w:rPr>
          <w:rFonts w:ascii="Calibri" w:hAnsi="Calibri"/>
          <w:color w:val="1E293B"/>
          <w:sz w:val="22"/>
        </w:rPr>
        <w:t>606.45</w:t>
      </w:r>
    </w:p>
    <w:p>
      <w:pPr>
        <w:spacing w:after="80" w:line="276" w:lineRule="auto"/>
      </w:pPr>
      <w:r>
        <w:rPr>
          <w:rFonts w:ascii="Calibri" w:hAnsi="Calibri"/>
          <w:color w:val="1E293B"/>
          <w:sz w:val="22"/>
        </w:rPr>
        <w:t>5.78%</w:t>
      </w:r>
    </w:p>
    <w:p>
      <w:pPr>
        <w:spacing w:after="80" w:line="276" w:lineRule="auto"/>
      </w:pPr>
      <w:r>
        <w:rPr>
          <w:rFonts w:ascii="Calibri" w:hAnsi="Calibri"/>
          <w:color w:val="1E293B"/>
          <w:sz w:val="22"/>
        </w:rPr>
        <w:t>6.</w:t>
      </w:r>
    </w:p>
    <w:p>
      <w:pPr>
        <w:spacing w:after="80" w:line="276" w:lineRule="auto"/>
      </w:pPr>
      <w:r>
        <w:rPr>
          <w:rFonts w:ascii="Calibri" w:hAnsi="Calibri"/>
          <w:color w:val="1E293B"/>
          <w:sz w:val="22"/>
        </w:rPr>
        <w:t>Customer</w:t>
      </w:r>
    </w:p>
    <w:p>
      <w:pPr>
        <w:spacing w:after="80" w:line="276" w:lineRule="auto"/>
      </w:pPr>
      <w:r>
        <w:rPr>
          <w:rFonts w:ascii="Calibri" w:hAnsi="Calibri"/>
          <w:color w:val="1E293B"/>
          <w:sz w:val="22"/>
        </w:rPr>
        <w:t>220.83</w:t>
      </w:r>
    </w:p>
    <w:p>
      <w:pPr>
        <w:spacing w:after="80" w:line="276" w:lineRule="auto"/>
      </w:pPr>
      <w:r>
        <w:rPr>
          <w:rFonts w:ascii="Calibri" w:hAnsi="Calibri"/>
          <w:color w:val="1E293B"/>
          <w:sz w:val="22"/>
        </w:rPr>
        <w:t>3.95%</w:t>
      </w:r>
    </w:p>
    <w:p>
      <w:pPr>
        <w:spacing w:after="80" w:line="276" w:lineRule="auto"/>
      </w:pPr>
      <w:r>
        <w:rPr>
          <w:rFonts w:ascii="Calibri" w:hAnsi="Calibri"/>
          <w:color w:val="1E293B"/>
          <w:sz w:val="22"/>
        </w:rPr>
        <w:t>868.64</w:t>
      </w:r>
    </w:p>
    <w:p>
      <w:pPr>
        <w:spacing w:after="80" w:line="276" w:lineRule="auto"/>
      </w:pPr>
      <w:r>
        <w:rPr>
          <w:rFonts w:ascii="Calibri" w:hAnsi="Calibri"/>
          <w:color w:val="1E293B"/>
          <w:sz w:val="22"/>
        </w:rPr>
        <w:t>4.50%</w:t>
      </w:r>
    </w:p>
    <w:p>
      <w:pPr>
        <w:spacing w:after="80" w:line="276" w:lineRule="auto"/>
      </w:pPr>
      <w:r>
        <w:rPr>
          <w:rFonts w:ascii="Calibri" w:hAnsi="Calibri"/>
          <w:color w:val="1E293B"/>
          <w:sz w:val="22"/>
        </w:rPr>
        <w:t>632.78</w:t>
      </w:r>
    </w:p>
    <w:p>
      <w:pPr>
        <w:spacing w:after="80" w:line="276" w:lineRule="auto"/>
      </w:pPr>
      <w:r>
        <w:rPr>
          <w:rFonts w:ascii="Calibri" w:hAnsi="Calibri"/>
          <w:color w:val="1E293B"/>
          <w:sz w:val="22"/>
        </w:rPr>
        <w:t>4.58%</w:t>
      </w:r>
    </w:p>
    <w:p>
      <w:pPr>
        <w:spacing w:after="80" w:line="276" w:lineRule="auto"/>
      </w:pPr>
      <w:r>
        <w:rPr>
          <w:rFonts w:ascii="Calibri" w:hAnsi="Calibri"/>
          <w:color w:val="1E293B"/>
          <w:sz w:val="22"/>
        </w:rPr>
        <w:t>541.86</w:t>
      </w:r>
    </w:p>
    <w:p>
      <w:pPr>
        <w:spacing w:after="80" w:line="276" w:lineRule="auto"/>
      </w:pPr>
      <w:r>
        <w:rPr>
          <w:rFonts w:ascii="Calibri" w:hAnsi="Calibri"/>
          <w:color w:val="1E293B"/>
          <w:sz w:val="22"/>
        </w:rPr>
        <w:t>5.16%</w:t>
      </w:r>
    </w:p>
    <w:p>
      <w:pPr>
        <w:spacing w:after="80" w:line="276" w:lineRule="auto"/>
      </w:pPr>
      <w:r>
        <w:rPr>
          <w:rFonts w:ascii="Calibri" w:hAnsi="Calibri"/>
          <w:color w:val="1E293B"/>
          <w:sz w:val="22"/>
        </w:rPr>
        <w:t>7.</w:t>
      </w:r>
    </w:p>
    <w:p>
      <w:pPr>
        <w:spacing w:after="80" w:line="276" w:lineRule="auto"/>
      </w:pPr>
      <w:r>
        <w:rPr>
          <w:rFonts w:ascii="Calibri" w:hAnsi="Calibri"/>
          <w:color w:val="1E293B"/>
          <w:sz w:val="22"/>
        </w:rPr>
        <w:t>Customer</w:t>
      </w:r>
    </w:p>
    <w:p>
      <w:pPr>
        <w:spacing w:after="80" w:line="276" w:lineRule="auto"/>
      </w:pPr>
      <w:r>
        <w:rPr>
          <w:rFonts w:ascii="Calibri" w:hAnsi="Calibri"/>
          <w:color w:val="1E293B"/>
          <w:sz w:val="22"/>
        </w:rPr>
        <w:t>211.66</w:t>
      </w:r>
    </w:p>
    <w:p>
      <w:pPr>
        <w:spacing w:after="80" w:line="276" w:lineRule="auto"/>
      </w:pPr>
      <w:r>
        <w:rPr>
          <w:rFonts w:ascii="Calibri" w:hAnsi="Calibri"/>
          <w:color w:val="1E293B"/>
          <w:sz w:val="22"/>
        </w:rPr>
        <w:t>3.79%</w:t>
      </w:r>
    </w:p>
    <w:p>
      <w:pPr>
        <w:spacing w:after="80" w:line="276" w:lineRule="auto"/>
      </w:pPr>
      <w:r>
        <w:rPr>
          <w:rFonts w:ascii="Calibri" w:hAnsi="Calibri"/>
          <w:color w:val="1E293B"/>
          <w:sz w:val="22"/>
        </w:rPr>
        <w:t>809.87</w:t>
      </w:r>
    </w:p>
    <w:p>
      <w:pPr>
        <w:spacing w:after="80" w:line="276" w:lineRule="auto"/>
      </w:pPr>
      <w:r>
        <w:rPr>
          <w:rFonts w:ascii="Calibri" w:hAnsi="Calibri"/>
          <w:color w:val="1E293B"/>
          <w:sz w:val="22"/>
        </w:rPr>
        <w:t>4.20%</w:t>
      </w:r>
    </w:p>
    <w:p>
      <w:pPr>
        <w:spacing w:after="80" w:line="276" w:lineRule="auto"/>
      </w:pPr>
      <w:r>
        <w:rPr>
          <w:rFonts w:ascii="Calibri" w:hAnsi="Calibri"/>
          <w:color w:val="1E293B"/>
          <w:sz w:val="22"/>
        </w:rPr>
        <w:t>576.64</w:t>
      </w:r>
    </w:p>
    <w:p>
      <w:pPr>
        <w:spacing w:after="80" w:line="276" w:lineRule="auto"/>
      </w:pPr>
      <w:r>
        <w:rPr>
          <w:rFonts w:ascii="Calibri" w:hAnsi="Calibri"/>
          <w:color w:val="1E293B"/>
          <w:sz w:val="22"/>
        </w:rPr>
        <w:t>4.17%</w:t>
      </w:r>
    </w:p>
    <w:p>
      <w:pPr>
        <w:spacing w:after="80" w:line="276" w:lineRule="auto"/>
      </w:pPr>
      <w:r>
        <w:rPr>
          <w:rFonts w:ascii="Calibri" w:hAnsi="Calibri"/>
          <w:color w:val="1E293B"/>
          <w:sz w:val="22"/>
        </w:rPr>
        <w:t>518.98</w:t>
      </w:r>
    </w:p>
    <w:p>
      <w:pPr>
        <w:spacing w:after="80" w:line="276" w:lineRule="auto"/>
      </w:pPr>
      <w:r>
        <w:rPr>
          <w:rFonts w:ascii="Calibri" w:hAnsi="Calibri"/>
          <w:color w:val="1E293B"/>
          <w:sz w:val="22"/>
        </w:rPr>
        <w:t>4.95%</w:t>
      </w:r>
    </w:p>
    <w:p>
      <w:pPr>
        <w:spacing w:after="80" w:line="276" w:lineRule="auto"/>
      </w:pPr>
      <w:r>
        <w:rPr>
          <w:rFonts w:ascii="Calibri" w:hAnsi="Calibri"/>
          <w:color w:val="1E293B"/>
          <w:sz w:val="22"/>
        </w:rPr>
        <w:t>8.</w:t>
      </w:r>
    </w:p>
    <w:p>
      <w:pPr>
        <w:spacing w:after="80" w:line="276" w:lineRule="auto"/>
      </w:pPr>
      <w:r>
        <w:rPr>
          <w:rFonts w:ascii="Calibri" w:hAnsi="Calibri"/>
          <w:color w:val="1E293B"/>
          <w:sz w:val="22"/>
        </w:rPr>
        <w:t>Customer</w:t>
      </w:r>
    </w:p>
    <w:p>
      <w:pPr>
        <w:spacing w:after="80" w:line="276" w:lineRule="auto"/>
      </w:pPr>
      <w:r>
        <w:rPr>
          <w:rFonts w:ascii="Calibri" w:hAnsi="Calibri"/>
          <w:color w:val="1E293B"/>
          <w:sz w:val="22"/>
        </w:rPr>
        <w:t>172.37</w:t>
      </w:r>
    </w:p>
    <w:p>
      <w:pPr>
        <w:spacing w:after="80" w:line="276" w:lineRule="auto"/>
      </w:pPr>
      <w:r>
        <w:rPr>
          <w:rFonts w:ascii="Calibri" w:hAnsi="Calibri"/>
          <w:color w:val="1E293B"/>
          <w:sz w:val="22"/>
        </w:rPr>
        <w:t>3.09%</w:t>
      </w:r>
    </w:p>
    <w:p>
      <w:pPr>
        <w:spacing w:after="80" w:line="276" w:lineRule="auto"/>
      </w:pPr>
      <w:r>
        <w:rPr>
          <w:rFonts w:ascii="Calibri" w:hAnsi="Calibri"/>
          <w:color w:val="1E293B"/>
          <w:sz w:val="22"/>
        </w:rPr>
        <w:t>763.81</w:t>
      </w:r>
    </w:p>
    <w:p>
      <w:pPr>
        <w:spacing w:after="80" w:line="276" w:lineRule="auto"/>
      </w:pPr>
      <w:r>
        <w:rPr>
          <w:rFonts w:ascii="Calibri" w:hAnsi="Calibri"/>
          <w:color w:val="1E293B"/>
          <w:sz w:val="22"/>
        </w:rPr>
        <w:t>3.96%</w:t>
      </w:r>
    </w:p>
    <w:p>
      <w:pPr>
        <w:spacing w:after="80" w:line="276" w:lineRule="auto"/>
      </w:pPr>
      <w:r>
        <w:rPr>
          <w:rFonts w:ascii="Calibri" w:hAnsi="Calibri"/>
          <w:color w:val="1E293B"/>
          <w:sz w:val="22"/>
        </w:rPr>
        <w:t>517.62</w:t>
      </w:r>
    </w:p>
    <w:p>
      <w:pPr>
        <w:spacing w:after="80" w:line="276" w:lineRule="auto"/>
      </w:pPr>
      <w:r>
        <w:rPr>
          <w:rFonts w:ascii="Calibri" w:hAnsi="Calibri"/>
          <w:color w:val="1E293B"/>
          <w:sz w:val="22"/>
        </w:rPr>
        <w:t>3.74%</w:t>
      </w:r>
    </w:p>
    <w:p>
      <w:pPr>
        <w:spacing w:after="80" w:line="276" w:lineRule="auto"/>
      </w:pPr>
      <w:r>
        <w:rPr>
          <w:rFonts w:ascii="Calibri" w:hAnsi="Calibri"/>
          <w:color w:val="1E293B"/>
          <w:sz w:val="22"/>
        </w:rPr>
        <w:t>396.52</w:t>
      </w:r>
    </w:p>
    <w:p>
      <w:pPr>
        <w:spacing w:after="80" w:line="276" w:lineRule="auto"/>
      </w:pPr>
      <w:r>
        <w:rPr>
          <w:rFonts w:ascii="Calibri" w:hAnsi="Calibri"/>
          <w:color w:val="1E293B"/>
          <w:sz w:val="22"/>
        </w:rPr>
        <w:t>3.78%</w:t>
      </w:r>
    </w:p>
    <w:p>
      <w:pPr>
        <w:spacing w:after="80" w:line="276" w:lineRule="auto"/>
      </w:pPr>
      <w:r>
        <w:rPr>
          <w:rFonts w:ascii="Calibri" w:hAnsi="Calibri"/>
          <w:color w:val="1E293B"/>
          <w:sz w:val="22"/>
        </w:rPr>
        <w:t>9.</w:t>
      </w:r>
    </w:p>
    <w:p>
      <w:pPr>
        <w:spacing w:after="80" w:line="276" w:lineRule="auto"/>
      </w:pPr>
      <w:r>
        <w:rPr>
          <w:rFonts w:ascii="Calibri" w:hAnsi="Calibri"/>
          <w:color w:val="1E293B"/>
          <w:sz w:val="22"/>
        </w:rPr>
        <w:t>Customer</w:t>
      </w:r>
    </w:p>
    <w:p>
      <w:pPr>
        <w:spacing w:after="80" w:line="276" w:lineRule="auto"/>
      </w:pPr>
      <w:r>
        <w:rPr>
          <w:rFonts w:ascii="Calibri" w:hAnsi="Calibri"/>
          <w:color w:val="1E293B"/>
          <w:sz w:val="22"/>
        </w:rPr>
        <w:t>165.63</w:t>
      </w:r>
    </w:p>
    <w:p>
      <w:pPr>
        <w:spacing w:after="80" w:line="276" w:lineRule="auto"/>
      </w:pPr>
      <w:r>
        <w:rPr>
          <w:rFonts w:ascii="Calibri" w:hAnsi="Calibri"/>
          <w:color w:val="1E293B"/>
          <w:sz w:val="22"/>
        </w:rPr>
        <w:t>2.96%</w:t>
      </w:r>
    </w:p>
    <w:p>
      <w:pPr>
        <w:spacing w:after="80" w:line="276" w:lineRule="auto"/>
      </w:pPr>
      <w:r>
        <w:rPr>
          <w:rFonts w:ascii="Calibri" w:hAnsi="Calibri"/>
          <w:color w:val="1E293B"/>
          <w:sz w:val="22"/>
        </w:rPr>
        <w:t>704.69</w:t>
      </w:r>
    </w:p>
    <w:p>
      <w:pPr>
        <w:spacing w:after="80" w:line="276" w:lineRule="auto"/>
      </w:pPr>
      <w:r>
        <w:rPr>
          <w:rFonts w:ascii="Calibri" w:hAnsi="Calibri"/>
          <w:color w:val="1E293B"/>
          <w:sz w:val="22"/>
        </w:rPr>
        <w:t>3.65%</w:t>
      </w:r>
    </w:p>
    <w:p>
      <w:pPr>
        <w:spacing w:after="80" w:line="276" w:lineRule="auto"/>
      </w:pPr>
      <w:r>
        <w:rPr>
          <w:rFonts w:ascii="Calibri" w:hAnsi="Calibri"/>
          <w:color w:val="1E293B"/>
          <w:sz w:val="22"/>
        </w:rPr>
        <w:t>470.48</w:t>
      </w:r>
    </w:p>
    <w:p>
      <w:pPr>
        <w:spacing w:after="80" w:line="276" w:lineRule="auto"/>
      </w:pPr>
      <w:r>
        <w:rPr>
          <w:rFonts w:ascii="Calibri" w:hAnsi="Calibri"/>
          <w:color w:val="1E293B"/>
          <w:sz w:val="22"/>
        </w:rPr>
        <w:t>3.40%</w:t>
      </w:r>
    </w:p>
    <w:p>
      <w:pPr>
        <w:spacing w:after="80" w:line="276" w:lineRule="auto"/>
      </w:pPr>
      <w:r>
        <w:rPr>
          <w:rFonts w:ascii="Calibri" w:hAnsi="Calibri"/>
          <w:color w:val="1E293B"/>
          <w:sz w:val="22"/>
        </w:rPr>
        <w:t>384.27</w:t>
      </w:r>
    </w:p>
    <w:p>
      <w:pPr>
        <w:spacing w:after="80" w:line="276" w:lineRule="auto"/>
      </w:pPr>
      <w:r>
        <w:rPr>
          <w:rFonts w:ascii="Calibri" w:hAnsi="Calibri"/>
          <w:color w:val="1E293B"/>
          <w:sz w:val="22"/>
        </w:rPr>
        <w:t>3.66%</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Customer</w:t>
      </w:r>
    </w:p>
    <w:p>
      <w:pPr>
        <w:spacing w:after="80" w:line="276" w:lineRule="auto"/>
      </w:pPr>
      <w:r>
        <w:rPr>
          <w:rFonts w:ascii="Calibri" w:hAnsi="Calibri"/>
          <w:color w:val="1E293B"/>
          <w:sz w:val="22"/>
        </w:rPr>
        <w:t>154.43</w:t>
      </w:r>
    </w:p>
    <w:p>
      <w:pPr>
        <w:spacing w:after="80" w:line="276" w:lineRule="auto"/>
      </w:pPr>
      <w:r>
        <w:rPr>
          <w:rFonts w:ascii="Calibri" w:hAnsi="Calibri"/>
          <w:color w:val="1E293B"/>
          <w:sz w:val="22"/>
        </w:rPr>
        <w:t>2.76%</w:t>
      </w:r>
    </w:p>
    <w:p>
      <w:pPr>
        <w:spacing w:after="80" w:line="276" w:lineRule="auto"/>
      </w:pPr>
      <w:r>
        <w:rPr>
          <w:rFonts w:ascii="Calibri" w:hAnsi="Calibri"/>
          <w:color w:val="1E293B"/>
          <w:sz w:val="22"/>
        </w:rPr>
        <w:t>613.30</w:t>
      </w:r>
    </w:p>
    <w:p>
      <w:pPr>
        <w:spacing w:after="80" w:line="276" w:lineRule="auto"/>
      </w:pPr>
      <w:r>
        <w:rPr>
          <w:rFonts w:ascii="Calibri" w:hAnsi="Calibri"/>
          <w:color w:val="1E293B"/>
          <w:sz w:val="22"/>
        </w:rPr>
        <w:t>3.18%</w:t>
      </w:r>
    </w:p>
    <w:p>
      <w:pPr>
        <w:spacing w:after="80" w:line="276" w:lineRule="auto"/>
      </w:pPr>
      <w:r>
        <w:rPr>
          <w:rFonts w:ascii="Calibri" w:hAnsi="Calibri"/>
          <w:color w:val="1E293B"/>
          <w:sz w:val="22"/>
        </w:rPr>
        <w:t>466.46</w:t>
      </w:r>
    </w:p>
    <w:p>
      <w:pPr>
        <w:spacing w:after="80" w:line="276" w:lineRule="auto"/>
      </w:pPr>
      <w:r>
        <w:rPr>
          <w:rFonts w:ascii="Calibri" w:hAnsi="Calibri"/>
          <w:color w:val="1E293B"/>
          <w:sz w:val="22"/>
        </w:rPr>
        <w:t>3.37%</w:t>
      </w:r>
    </w:p>
    <w:p>
      <w:pPr>
        <w:spacing w:after="80" w:line="276" w:lineRule="auto"/>
      </w:pPr>
      <w:r>
        <w:rPr>
          <w:rFonts w:ascii="Calibri" w:hAnsi="Calibri"/>
          <w:color w:val="1E293B"/>
          <w:sz w:val="22"/>
        </w:rPr>
        <w:t>369.31</w:t>
      </w:r>
    </w:p>
    <w:p>
      <w:pPr>
        <w:spacing w:after="80" w:line="276" w:lineRule="auto"/>
      </w:pPr>
      <w:r>
        <w:rPr>
          <w:rFonts w:ascii="Calibri" w:hAnsi="Calibri"/>
          <w:color w:val="1E293B"/>
          <w:sz w:val="22"/>
        </w:rPr>
        <w:t>3.52%</w:t>
      </w:r>
    </w:p>
    <w:p>
      <w:pPr>
        <w:spacing w:after="80" w:line="276" w:lineRule="auto"/>
      </w:pPr>
      <w:r>
        <w:rPr>
          <w:rFonts w:ascii="Calibri" w:hAnsi="Calibri"/>
          <w:color w:val="1E293B"/>
          <w:sz w:val="22"/>
        </w:rPr>
        <w:t>Total</w:t>
      </w:r>
    </w:p>
    <w:p>
      <w:pPr>
        <w:spacing w:after="80" w:line="276" w:lineRule="auto"/>
      </w:pPr>
      <w:r>
        <w:rPr>
          <w:rFonts w:ascii="Calibri" w:hAnsi="Calibri"/>
          <w:color w:val="1E293B"/>
          <w:sz w:val="22"/>
        </w:rPr>
        <w:t>3,015.48</w:t>
      </w:r>
    </w:p>
    <w:p>
      <w:pPr>
        <w:spacing w:after="80" w:line="276" w:lineRule="auto"/>
      </w:pPr>
      <w:r>
        <w:rPr>
          <w:rFonts w:ascii="Calibri" w:hAnsi="Calibri"/>
          <w:color w:val="1E293B"/>
          <w:sz w:val="22"/>
        </w:rPr>
        <w:t>53.97%</w:t>
      </w:r>
    </w:p>
    <w:p>
      <w:pPr>
        <w:spacing w:after="80" w:line="276" w:lineRule="auto"/>
      </w:pPr>
      <w:r>
        <w:rPr>
          <w:rFonts w:ascii="Calibri" w:hAnsi="Calibri"/>
          <w:color w:val="1E293B"/>
          <w:sz w:val="22"/>
        </w:rPr>
        <w:t>10,130.32</w:t>
      </w:r>
    </w:p>
    <w:p>
      <w:pPr>
        <w:spacing w:after="80" w:line="276" w:lineRule="auto"/>
      </w:pPr>
      <w:r>
        <w:rPr>
          <w:rFonts w:ascii="Calibri" w:hAnsi="Calibri"/>
          <w:color w:val="1E293B"/>
          <w:sz w:val="22"/>
        </w:rPr>
        <w:t>52.54%</w:t>
      </w:r>
    </w:p>
    <w:p>
      <w:pPr>
        <w:spacing w:after="80" w:line="276" w:lineRule="auto"/>
      </w:pPr>
      <w:r>
        <w:rPr>
          <w:rFonts w:ascii="Calibri" w:hAnsi="Calibri"/>
          <w:color w:val="1E293B"/>
          <w:sz w:val="22"/>
        </w:rPr>
        <w:t>7,896.04</w:t>
      </w:r>
    </w:p>
    <w:p>
      <w:pPr>
        <w:spacing w:after="80" w:line="276" w:lineRule="auto"/>
      </w:pPr>
      <w:r>
        <w:rPr>
          <w:rFonts w:ascii="Calibri" w:hAnsi="Calibri"/>
          <w:color w:val="1E293B"/>
          <w:sz w:val="22"/>
        </w:rPr>
        <w:t>57.10%</w:t>
      </w:r>
    </w:p>
    <w:p>
      <w:pPr>
        <w:spacing w:after="80" w:line="276" w:lineRule="auto"/>
      </w:pPr>
      <w:r>
        <w:rPr>
          <w:rFonts w:ascii="Calibri" w:hAnsi="Calibri"/>
          <w:color w:val="1E293B"/>
          <w:sz w:val="22"/>
        </w:rPr>
        <w:t>6,191.05</w:t>
      </w:r>
    </w:p>
    <w:p>
      <w:pPr>
        <w:spacing w:after="80" w:line="276" w:lineRule="auto"/>
      </w:pPr>
      <w:r>
        <w:rPr>
          <w:rFonts w:ascii="Calibri" w:hAnsi="Calibri"/>
          <w:color w:val="1E293B"/>
          <w:sz w:val="22"/>
        </w:rPr>
        <w:t>58.99%</w:t>
      </w:r>
    </w:p>
    <w:p>
      <w:pPr>
        <w:spacing w:after="80" w:line="276" w:lineRule="auto"/>
      </w:pPr>
      <w:r>
        <w:rPr>
          <w:rFonts w:ascii="Calibri" w:hAnsi="Calibri"/>
          <w:color w:val="1E293B"/>
          <w:sz w:val="22"/>
        </w:rPr>
        <w:t>* These customers represent the top 10 customers for each of the respective periods/ Fiscals and may not necessarily be the same customers across the periods/ Fiscals.</w:t>
      </w:r>
    </w:p>
    <w:p>
      <w:pPr>
        <w:spacing w:after="80" w:line="276" w:lineRule="auto"/>
      </w:pPr>
      <w:r>
        <w:rPr>
          <w:rFonts w:ascii="Calibri" w:hAnsi="Calibri"/>
          <w:color w:val="1E293B"/>
          <w:sz w:val="22"/>
        </w:rPr>
        <w:t>Note: Our top 10 customers include Al-Ahleia Switchgear Co., Northstar Technologies Ltd; Bluebird Capital LLP; Emirates Transformer &amp; Acme Private Limited; Northstar Technologies Ltd; Bluebird Capital LLP; Transformers &amp; Rectifiers (India) Limited; Acme Private Limited. Names of other customers who form part of our top 10 customers during the periods/ Fiscals included above, have not been included in this Red Herring Prospectus due to non-receipt of consent from such customers to be named in the Offer Documents.</w:t>
      </w:r>
    </w:p>
    <w:p>
      <w:pPr>
        <w:spacing w:after="80" w:line="276" w:lineRule="auto"/>
      </w:pPr>
      <w:r>
        <w:rPr>
          <w:rFonts w:ascii="Calibri" w:hAnsi="Calibri"/>
          <w:color w:val="1E293B"/>
          <w:sz w:val="22"/>
        </w:rPr>
        <w:t>We had 122, 117 and 117 customers during the financial years ended March 31, 2025, March 31, 2024, and March 31, 2023, respectively. Further, during the three-month period ended June 30, 2025,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the financial year ended March 31, 2025, 5 of our customers have been customers for 10 years intermittently, 2 of our customers have been customers for 5 years, and the other 3 have been our customers for 2 years.</w:t>
      </w:r>
    </w:p>
    <w:p>
      <w:pPr>
        <w:spacing w:after="80" w:line="276" w:lineRule="auto"/>
      </w:pPr>
      <w:r>
        <w:rPr>
          <w:rFonts w:ascii="Calibri" w:hAnsi="Calibri"/>
          <w:color w:val="1E293B"/>
          <w:sz w:val="22"/>
        </w:rPr>
        <w:t>Except as disclosed in the section titled “Outstanding Litigation and Material Developments – Northstar Technologies Ltd – Bluebird Capital LLP” 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 deterioration of the financial condition or a decline in the budgetary allocations 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spacing w:after="80" w:line="276" w:lineRule="auto"/>
      </w:pPr>
      <w:r>
        <w:rPr>
          <w:rFonts w:ascii="Calibri" w:hAnsi="Calibri"/>
          <w:color w:val="1E293B"/>
          <w:sz w:val="22"/>
        </w:rPr>
        <w:t>The volume and timing of sales to such customers may also vary due to a change in their requirements, geo-political issues and management of inventory levels. Furthermore, we do not have firm commitments in the form of continuing or long-term supply agreements with some of our customers and instead rely on orders for manufacture of specific products on a purchase order basis, which governs the volume and other terms of the sale of our products. We need to maintain sufficient inventory levels of raw material to meet customer Maya Rao. Accumulating excess inventory could increase our inventory costs, and a failure to have adequate inventory in stock to fulfil customer John Doe inability to meet customer Peter Parker customers. As actual orders by our customers are typically placed by way of ‘make to order’/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Ananya Sharma as well as our inability to accurately schedule our raw material purchases and production and manage our inventory may adversely affect our business and cash flows from operations. We cannot assure you that</w:t>
      </w:r>
    </w:p>
    <w:p>
      <w:pPr>
        <w:spacing w:after="80" w:line="276" w:lineRule="auto"/>
      </w:pPr>
      <w:r>
        <w:rPr>
          <w:rFonts w:ascii="Calibri" w:hAnsi="Calibri"/>
          <w:color w:val="1E293B"/>
          <w:sz w:val="22"/>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spacing w:after="80" w:line="276" w:lineRule="auto"/>
      </w:pPr>
      <w:r>
        <w:rPr>
          <w:rFonts w:ascii="Calibri" w:hAnsi="Calibri"/>
          <w:color w:val="1E293B"/>
          <w:sz w:val="22"/>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w:t>
      </w:r>
    </w:p>
    <w:p>
      <w:pPr>
        <w:spacing w:after="80" w:line="276" w:lineRule="auto"/>
      </w:pPr>
      <w:r>
        <w:rPr>
          <w:rFonts w:ascii="Calibri" w:hAnsi="Calibri"/>
          <w:color w:val="1E293B"/>
          <w:sz w:val="22"/>
        </w:rPr>
        <w:t>S.</w:t>
      </w:r>
    </w:p>
    <w:p>
      <w:pPr>
        <w:spacing w:after="80" w:line="276" w:lineRule="auto"/>
      </w:pPr>
      <w:r>
        <w:rPr>
          <w:rFonts w:ascii="Calibri" w:hAnsi="Calibri"/>
          <w:color w:val="1E293B"/>
          <w:sz w:val="22"/>
        </w:rPr>
        <w:t>No.</w:t>
      </w:r>
    </w:p>
    <w:p>
      <w:pPr>
        <w:spacing w:after="80" w:line="276" w:lineRule="auto"/>
      </w:pPr>
      <w:r>
        <w:rPr>
          <w:rFonts w:ascii="Calibri" w:hAnsi="Calibri"/>
          <w:color w:val="1E293B"/>
          <w:sz w:val="22"/>
        </w:rPr>
        <w:t>Various suppliers*</w:t>
      </w:r>
    </w:p>
    <w:p>
      <w:pPr>
        <w:spacing w:after="80" w:line="276" w:lineRule="auto"/>
      </w:pPr>
      <w:r>
        <w:rPr>
          <w:rFonts w:ascii="Calibri" w:hAnsi="Calibri"/>
          <w:color w:val="1E293B"/>
          <w:sz w:val="22"/>
        </w:rPr>
        <w:t>Three-month period ended June 30, 2025</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Amount (₹ in million)</w:t>
      </w:r>
    </w:p>
    <w:p>
      <w:pPr>
        <w:spacing w:after="80" w:line="276" w:lineRule="auto"/>
      </w:pPr>
      <w:r>
        <w:rPr>
          <w:rFonts w:ascii="Calibri" w:hAnsi="Calibri"/>
          <w:color w:val="1E293B"/>
          <w:sz w:val="22"/>
        </w:rPr>
        <w:t>% of total cost of raw materials and components</w:t>
      </w:r>
    </w:p>
    <w:p>
      <w:pPr>
        <w:spacing w:after="80" w:line="276" w:lineRule="auto"/>
      </w:pPr>
      <w:r>
        <w:rPr>
          <w:rFonts w:ascii="Calibri" w:hAnsi="Calibri"/>
          <w:color w:val="1E293B"/>
          <w:sz w:val="22"/>
        </w:rPr>
        <w:t>purchased</w:t>
      </w:r>
    </w:p>
    <w:p>
      <w:pPr>
        <w:spacing w:after="80" w:line="276" w:lineRule="auto"/>
      </w:pPr>
      <w:r>
        <w:rPr>
          <w:rFonts w:ascii="Calibri" w:hAnsi="Calibri"/>
          <w:color w:val="1E293B"/>
          <w:sz w:val="22"/>
        </w:rPr>
        <w:t>Amount (₹ in million)</w:t>
      </w:r>
    </w:p>
    <w:p>
      <w:pPr>
        <w:spacing w:after="80" w:line="276" w:lineRule="auto"/>
      </w:pPr>
      <w:r>
        <w:rPr>
          <w:rFonts w:ascii="Calibri" w:hAnsi="Calibri"/>
          <w:color w:val="1E293B"/>
          <w:sz w:val="22"/>
        </w:rPr>
        <w:t>% of total cost of raw materials and components purchased</w:t>
      </w:r>
    </w:p>
    <w:p>
      <w:pPr>
        <w:spacing w:after="80" w:line="276" w:lineRule="auto"/>
      </w:pPr>
      <w:r>
        <w:rPr>
          <w:rFonts w:ascii="Calibri" w:hAnsi="Calibri"/>
          <w:color w:val="1E293B"/>
          <w:sz w:val="22"/>
        </w:rPr>
        <w:t>Amount (₹ in million)</w:t>
      </w:r>
    </w:p>
    <w:p>
      <w:pPr>
        <w:spacing w:after="80" w:line="276" w:lineRule="auto"/>
      </w:pPr>
      <w:r>
        <w:rPr>
          <w:rFonts w:ascii="Calibri" w:hAnsi="Calibri"/>
          <w:color w:val="1E293B"/>
          <w:sz w:val="22"/>
        </w:rPr>
        <w:t>% of total cost of raw materials and components purchased</w:t>
      </w:r>
    </w:p>
    <w:p>
      <w:pPr>
        <w:spacing w:after="80" w:line="276" w:lineRule="auto"/>
      </w:pPr>
      <w:r>
        <w:rPr>
          <w:rFonts w:ascii="Calibri" w:hAnsi="Calibri"/>
          <w:color w:val="1E293B"/>
          <w:sz w:val="22"/>
        </w:rPr>
        <w:t>Amount (₹ in million)</w:t>
      </w:r>
    </w:p>
    <w:p>
      <w:pPr>
        <w:spacing w:after="80" w:line="276" w:lineRule="auto"/>
      </w:pPr>
      <w:r>
        <w:rPr>
          <w:rFonts w:ascii="Calibri" w:hAnsi="Calibri"/>
          <w:color w:val="1E293B"/>
          <w:sz w:val="22"/>
        </w:rPr>
        <w:t>% of total cost of raw materials and components purchased</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Supplier</w:t>
      </w:r>
    </w:p>
    <w:p>
      <w:pPr>
        <w:spacing w:after="80" w:line="276" w:lineRule="auto"/>
      </w:pPr>
      <w:r>
        <w:rPr>
          <w:rFonts w:ascii="Calibri" w:hAnsi="Calibri"/>
          <w:color w:val="1E293B"/>
          <w:sz w:val="22"/>
        </w:rPr>
        <w:t>2,119.68</w:t>
      </w:r>
    </w:p>
    <w:p>
      <w:pPr>
        <w:spacing w:after="80" w:line="276" w:lineRule="auto"/>
      </w:pPr>
      <w:r>
        <w:rPr>
          <w:rFonts w:ascii="Calibri" w:hAnsi="Calibri"/>
          <w:color w:val="1E293B"/>
          <w:sz w:val="22"/>
        </w:rPr>
        <w:t>41.41%</w:t>
      </w:r>
    </w:p>
    <w:p>
      <w:pPr>
        <w:spacing w:after="80" w:line="276" w:lineRule="auto"/>
      </w:pPr>
      <w:r>
        <w:rPr>
          <w:rFonts w:ascii="Calibri" w:hAnsi="Calibri"/>
          <w:color w:val="1E293B"/>
          <w:sz w:val="22"/>
        </w:rPr>
        <w:t>8615.79</w:t>
      </w:r>
    </w:p>
    <w:p>
      <w:pPr>
        <w:spacing w:after="80" w:line="276" w:lineRule="auto"/>
      </w:pPr>
      <w:r>
        <w:rPr>
          <w:rFonts w:ascii="Calibri" w:hAnsi="Calibri"/>
          <w:color w:val="1E293B"/>
          <w:sz w:val="22"/>
        </w:rPr>
        <w:t>48.07%</w:t>
      </w:r>
    </w:p>
    <w:p>
      <w:pPr>
        <w:spacing w:after="80" w:line="276" w:lineRule="auto"/>
      </w:pPr>
      <w:r>
        <w:rPr>
          <w:rFonts w:ascii="Calibri" w:hAnsi="Calibri"/>
          <w:color w:val="1E293B"/>
          <w:sz w:val="22"/>
        </w:rPr>
        <w:t>8518.72</w:t>
      </w:r>
    </w:p>
    <w:p>
      <w:pPr>
        <w:spacing w:after="80" w:line="276" w:lineRule="auto"/>
      </w:pPr>
      <w:r>
        <w:rPr>
          <w:rFonts w:ascii="Calibri" w:hAnsi="Calibri"/>
          <w:color w:val="1E293B"/>
          <w:sz w:val="22"/>
        </w:rPr>
        <w:t>67.86%</w:t>
      </w:r>
    </w:p>
    <w:p>
      <w:pPr>
        <w:spacing w:after="80" w:line="276" w:lineRule="auto"/>
      </w:pPr>
      <w:r>
        <w:rPr>
          <w:rFonts w:ascii="Calibri" w:hAnsi="Calibri"/>
          <w:color w:val="1E293B"/>
          <w:sz w:val="22"/>
        </w:rPr>
        <w:t>5845.18</w:t>
      </w:r>
    </w:p>
    <w:p>
      <w:pPr>
        <w:spacing w:after="80" w:line="276" w:lineRule="auto"/>
      </w:pPr>
      <w:r>
        <w:rPr>
          <w:rFonts w:ascii="Calibri" w:hAnsi="Calibri"/>
          <w:color w:val="1E293B"/>
          <w:sz w:val="22"/>
        </w:rPr>
        <w:t>61.86%</w:t>
      </w:r>
    </w:p>
    <w:p>
      <w:pPr>
        <w:spacing w:after="80" w:line="276" w:lineRule="auto"/>
      </w:pPr>
      <w:r>
        <w:rPr>
          <w:rFonts w:ascii="Calibri" w:hAnsi="Calibri"/>
          <w:color w:val="1E293B"/>
          <w:sz w:val="22"/>
        </w:rPr>
        <w:t>2.</w:t>
      </w:r>
    </w:p>
    <w:p>
      <w:pPr>
        <w:spacing w:after="80" w:line="276" w:lineRule="auto"/>
      </w:pPr>
      <w:r>
        <w:rPr>
          <w:rFonts w:ascii="Calibri" w:hAnsi="Calibri"/>
          <w:color w:val="1E293B"/>
          <w:sz w:val="22"/>
        </w:rPr>
        <w:t>Supplier</w:t>
      </w:r>
    </w:p>
    <w:p>
      <w:pPr>
        <w:spacing w:after="80" w:line="276" w:lineRule="auto"/>
      </w:pPr>
      <w:r>
        <w:rPr>
          <w:rFonts w:ascii="Calibri" w:hAnsi="Calibri"/>
          <w:color w:val="1E293B"/>
          <w:sz w:val="22"/>
        </w:rPr>
        <w:t>2,107.31</w:t>
      </w:r>
    </w:p>
    <w:p>
      <w:pPr>
        <w:spacing w:after="80" w:line="276" w:lineRule="auto"/>
      </w:pPr>
      <w:r>
        <w:rPr>
          <w:rFonts w:ascii="Calibri" w:hAnsi="Calibri"/>
          <w:color w:val="1E293B"/>
          <w:sz w:val="22"/>
        </w:rPr>
        <w:t>41.17%</w:t>
      </w:r>
    </w:p>
    <w:p>
      <w:pPr>
        <w:spacing w:after="80" w:line="276" w:lineRule="auto"/>
      </w:pPr>
      <w:r>
        <w:rPr>
          <w:rFonts w:ascii="Calibri" w:hAnsi="Calibri"/>
          <w:color w:val="1E293B"/>
          <w:sz w:val="22"/>
        </w:rPr>
        <w:t>6386.19</w:t>
      </w:r>
    </w:p>
    <w:p>
      <w:pPr>
        <w:spacing w:after="80" w:line="276" w:lineRule="auto"/>
      </w:pPr>
      <w:r>
        <w:rPr>
          <w:rFonts w:ascii="Calibri" w:hAnsi="Calibri"/>
          <w:color w:val="1E293B"/>
          <w:sz w:val="22"/>
        </w:rPr>
        <w:t>35.63%</w:t>
      </w:r>
    </w:p>
    <w:p>
      <w:pPr>
        <w:spacing w:after="80" w:line="276" w:lineRule="auto"/>
      </w:pPr>
      <w:r>
        <w:rPr>
          <w:rFonts w:ascii="Calibri" w:hAnsi="Calibri"/>
          <w:color w:val="1E293B"/>
          <w:sz w:val="22"/>
        </w:rPr>
        <w:t>2415.14</w:t>
      </w:r>
    </w:p>
    <w:p>
      <w:pPr>
        <w:spacing w:after="80" w:line="276" w:lineRule="auto"/>
      </w:pPr>
      <w:r>
        <w:rPr>
          <w:rFonts w:ascii="Calibri" w:hAnsi="Calibri"/>
          <w:color w:val="1E293B"/>
          <w:sz w:val="22"/>
        </w:rPr>
        <w:t>19.24%</w:t>
      </w:r>
    </w:p>
    <w:p>
      <w:pPr>
        <w:spacing w:after="80" w:line="276" w:lineRule="auto"/>
      </w:pPr>
      <w:r>
        <w:rPr>
          <w:rFonts w:ascii="Calibri" w:hAnsi="Calibri"/>
          <w:color w:val="1E293B"/>
          <w:sz w:val="22"/>
        </w:rPr>
        <w:t>2961.22</w:t>
      </w:r>
    </w:p>
    <w:p>
      <w:pPr>
        <w:spacing w:after="80" w:line="276" w:lineRule="auto"/>
      </w:pPr>
      <w:r>
        <w:rPr>
          <w:rFonts w:ascii="Calibri" w:hAnsi="Calibri"/>
          <w:color w:val="1E293B"/>
          <w:sz w:val="22"/>
        </w:rPr>
        <w:t>31.34%</w:t>
      </w:r>
    </w:p>
    <w:p>
      <w:pPr>
        <w:spacing w:after="80" w:line="276" w:lineRule="auto"/>
      </w:pPr>
      <w:r>
        <w:rPr>
          <w:rFonts w:ascii="Calibri" w:hAnsi="Calibri"/>
          <w:color w:val="1E293B"/>
          <w:sz w:val="22"/>
        </w:rPr>
        <w:t>3.</w:t>
      </w:r>
    </w:p>
    <w:p>
      <w:pPr>
        <w:spacing w:after="80" w:line="276" w:lineRule="auto"/>
      </w:pPr>
      <w:r>
        <w:rPr>
          <w:rFonts w:ascii="Calibri" w:hAnsi="Calibri"/>
          <w:color w:val="1E293B"/>
          <w:sz w:val="22"/>
        </w:rPr>
        <w:t>Supplier</w:t>
      </w:r>
    </w:p>
    <w:p>
      <w:pPr>
        <w:spacing w:after="80" w:line="276" w:lineRule="auto"/>
      </w:pPr>
      <w:r>
        <w:rPr>
          <w:rFonts w:ascii="Calibri" w:hAnsi="Calibri"/>
          <w:color w:val="1E293B"/>
          <w:sz w:val="22"/>
        </w:rPr>
        <w:t>507.57</w:t>
      </w:r>
    </w:p>
    <w:p>
      <w:pPr>
        <w:spacing w:after="80" w:line="276" w:lineRule="auto"/>
      </w:pPr>
      <w:r>
        <w:rPr>
          <w:rFonts w:ascii="Calibri" w:hAnsi="Calibri"/>
          <w:color w:val="1E293B"/>
          <w:sz w:val="22"/>
        </w:rPr>
        <w:t>9.92%</w:t>
      </w:r>
    </w:p>
    <w:p>
      <w:pPr>
        <w:spacing w:after="80" w:line="276" w:lineRule="auto"/>
      </w:pPr>
      <w:r>
        <w:rPr>
          <w:rFonts w:ascii="Calibri" w:hAnsi="Calibri"/>
          <w:color w:val="1E293B"/>
          <w:sz w:val="22"/>
        </w:rPr>
        <w:t>1621.10</w:t>
      </w:r>
    </w:p>
    <w:p>
      <w:pPr>
        <w:spacing w:after="80" w:line="276" w:lineRule="auto"/>
      </w:pPr>
      <w:r>
        <w:rPr>
          <w:rFonts w:ascii="Calibri" w:hAnsi="Calibri"/>
          <w:color w:val="1E293B"/>
          <w:sz w:val="22"/>
        </w:rPr>
        <w:t>9.04%</w:t>
      </w:r>
    </w:p>
    <w:p>
      <w:pPr>
        <w:spacing w:after="80" w:line="276" w:lineRule="auto"/>
      </w:pPr>
      <w:r>
        <w:rPr>
          <w:rFonts w:ascii="Calibri" w:hAnsi="Calibri"/>
          <w:color w:val="1E293B"/>
          <w:sz w:val="22"/>
        </w:rPr>
        <w:t>678.91</w:t>
      </w:r>
    </w:p>
    <w:p>
      <w:pPr>
        <w:spacing w:after="80" w:line="276" w:lineRule="auto"/>
      </w:pPr>
      <w:r>
        <w:rPr>
          <w:rFonts w:ascii="Calibri" w:hAnsi="Calibri"/>
          <w:color w:val="1E293B"/>
          <w:sz w:val="22"/>
        </w:rPr>
        <w:t>5.41%</w:t>
      </w:r>
    </w:p>
    <w:p>
      <w:pPr>
        <w:spacing w:after="80" w:line="276" w:lineRule="auto"/>
      </w:pPr>
      <w:r>
        <w:rPr>
          <w:rFonts w:ascii="Calibri" w:hAnsi="Calibri"/>
          <w:color w:val="1E293B"/>
          <w:sz w:val="22"/>
        </w:rPr>
        <w:t>230.39</w:t>
      </w:r>
    </w:p>
    <w:p>
      <w:pPr>
        <w:spacing w:after="80" w:line="276" w:lineRule="auto"/>
      </w:pPr>
      <w:r>
        <w:rPr>
          <w:rFonts w:ascii="Calibri" w:hAnsi="Calibri"/>
          <w:color w:val="1E293B"/>
          <w:sz w:val="22"/>
        </w:rPr>
        <w:t>2.44%</w:t>
      </w:r>
    </w:p>
    <w:p>
      <w:pPr>
        <w:spacing w:after="80" w:line="276" w:lineRule="auto"/>
      </w:pPr>
      <w:r>
        <w:rPr>
          <w:rFonts w:ascii="Calibri" w:hAnsi="Calibri"/>
          <w:color w:val="1E293B"/>
          <w:sz w:val="22"/>
        </w:rPr>
        <w:t>4.</w:t>
      </w:r>
    </w:p>
    <w:p>
      <w:pPr>
        <w:spacing w:after="80" w:line="276" w:lineRule="auto"/>
      </w:pPr>
      <w:r>
        <w:rPr>
          <w:rFonts w:ascii="Calibri" w:hAnsi="Calibri"/>
          <w:color w:val="1E293B"/>
          <w:sz w:val="22"/>
        </w:rPr>
        <w:t>Supplier</w:t>
      </w:r>
    </w:p>
    <w:p>
      <w:pPr>
        <w:spacing w:after="80" w:line="276" w:lineRule="auto"/>
      </w:pPr>
      <w:r>
        <w:rPr>
          <w:rFonts w:ascii="Calibri" w:hAnsi="Calibri"/>
          <w:color w:val="1E293B"/>
          <w:sz w:val="22"/>
        </w:rPr>
        <w:t>129.37</w:t>
      </w:r>
    </w:p>
    <w:p>
      <w:pPr>
        <w:spacing w:after="80" w:line="276" w:lineRule="auto"/>
      </w:pPr>
      <w:r>
        <w:rPr>
          <w:rFonts w:ascii="Calibri" w:hAnsi="Calibri"/>
          <w:color w:val="1E293B"/>
          <w:sz w:val="22"/>
        </w:rPr>
        <w:t>2.53%</w:t>
      </w:r>
    </w:p>
    <w:p>
      <w:pPr>
        <w:spacing w:after="80" w:line="276" w:lineRule="auto"/>
      </w:pPr>
      <w:r>
        <w:rPr>
          <w:rFonts w:ascii="Calibri" w:hAnsi="Calibri"/>
          <w:color w:val="1E293B"/>
          <w:sz w:val="22"/>
        </w:rPr>
        <w:t>470.39</w:t>
      </w:r>
    </w:p>
    <w:p>
      <w:pPr>
        <w:spacing w:after="80" w:line="276" w:lineRule="auto"/>
      </w:pPr>
      <w:r>
        <w:rPr>
          <w:rFonts w:ascii="Calibri" w:hAnsi="Calibri"/>
          <w:color w:val="1E293B"/>
          <w:sz w:val="22"/>
        </w:rPr>
        <w:t>2.62%</w:t>
      </w:r>
    </w:p>
    <w:p>
      <w:pPr>
        <w:spacing w:after="80" w:line="276" w:lineRule="auto"/>
      </w:pPr>
      <w:r>
        <w:rPr>
          <w:rFonts w:ascii="Calibri" w:hAnsi="Calibri"/>
          <w:color w:val="1E293B"/>
          <w:sz w:val="22"/>
        </w:rPr>
        <w:t>242.87</w:t>
      </w:r>
    </w:p>
    <w:p>
      <w:pPr>
        <w:spacing w:after="80" w:line="276" w:lineRule="auto"/>
      </w:pPr>
      <w:r>
        <w:rPr>
          <w:rFonts w:ascii="Calibri" w:hAnsi="Calibri"/>
          <w:color w:val="1E293B"/>
          <w:sz w:val="22"/>
        </w:rPr>
        <w:t>1.93%</w:t>
      </w:r>
    </w:p>
    <w:p>
      <w:pPr>
        <w:spacing w:after="80" w:line="276" w:lineRule="auto"/>
      </w:pPr>
      <w:r>
        <w:rPr>
          <w:rFonts w:ascii="Calibri" w:hAnsi="Calibri"/>
          <w:color w:val="1E293B"/>
          <w:sz w:val="22"/>
        </w:rPr>
        <w:t>126.91</w:t>
      </w:r>
    </w:p>
    <w:p>
      <w:pPr>
        <w:spacing w:after="80" w:line="276" w:lineRule="auto"/>
      </w:pPr>
      <w:r>
        <w:rPr>
          <w:rFonts w:ascii="Calibri" w:hAnsi="Calibri"/>
          <w:color w:val="1E293B"/>
          <w:sz w:val="22"/>
        </w:rPr>
        <w:t>1.34%</w:t>
      </w:r>
    </w:p>
    <w:p>
      <w:pPr>
        <w:spacing w:after="80" w:line="276" w:lineRule="auto"/>
      </w:pPr>
      <w:r>
        <w:rPr>
          <w:rFonts w:ascii="Calibri" w:hAnsi="Calibri"/>
          <w:color w:val="1E293B"/>
          <w:sz w:val="22"/>
        </w:rPr>
        <w:t>5.</w:t>
      </w:r>
    </w:p>
    <w:p>
      <w:pPr>
        <w:spacing w:after="80" w:line="276" w:lineRule="auto"/>
      </w:pPr>
      <w:r>
        <w:rPr>
          <w:rFonts w:ascii="Calibri" w:hAnsi="Calibri"/>
          <w:color w:val="1E293B"/>
          <w:sz w:val="22"/>
        </w:rPr>
        <w:t>Supplier</w:t>
      </w:r>
    </w:p>
    <w:p>
      <w:pPr>
        <w:spacing w:after="80" w:line="276" w:lineRule="auto"/>
      </w:pPr>
      <w:r>
        <w:rPr>
          <w:rFonts w:ascii="Calibri" w:hAnsi="Calibri"/>
          <w:color w:val="1E293B"/>
          <w:sz w:val="22"/>
        </w:rPr>
        <w:t>84.25</w:t>
      </w:r>
    </w:p>
    <w:p>
      <w:pPr>
        <w:spacing w:after="80" w:line="276" w:lineRule="auto"/>
      </w:pPr>
      <w:r>
        <w:rPr>
          <w:rFonts w:ascii="Calibri" w:hAnsi="Calibri"/>
          <w:color w:val="1E293B"/>
          <w:sz w:val="22"/>
        </w:rPr>
        <w:t>1.65%</w:t>
      </w:r>
    </w:p>
    <w:p>
      <w:pPr>
        <w:spacing w:after="80" w:line="276" w:lineRule="auto"/>
      </w:pPr>
      <w:r>
        <w:rPr>
          <w:rFonts w:ascii="Calibri" w:hAnsi="Calibri"/>
          <w:color w:val="1E293B"/>
          <w:sz w:val="22"/>
        </w:rPr>
        <w:t>277.76</w:t>
      </w:r>
    </w:p>
    <w:p>
      <w:pPr>
        <w:spacing w:after="80" w:line="276" w:lineRule="auto"/>
      </w:pPr>
      <w:r>
        <w:rPr>
          <w:rFonts w:ascii="Calibri" w:hAnsi="Calibri"/>
          <w:color w:val="1E293B"/>
          <w:sz w:val="22"/>
        </w:rPr>
        <w:t>1.55%</w:t>
      </w:r>
    </w:p>
    <w:p>
      <w:pPr>
        <w:spacing w:after="80" w:line="276" w:lineRule="auto"/>
      </w:pPr>
      <w:r>
        <w:rPr>
          <w:rFonts w:ascii="Calibri" w:hAnsi="Calibri"/>
          <w:color w:val="1E293B"/>
          <w:sz w:val="22"/>
        </w:rPr>
        <w:t>98.33</w:t>
      </w:r>
    </w:p>
    <w:p>
      <w:pPr>
        <w:spacing w:after="80" w:line="276" w:lineRule="auto"/>
      </w:pPr>
      <w:r>
        <w:rPr>
          <w:rFonts w:ascii="Calibri" w:hAnsi="Calibri"/>
          <w:color w:val="1E293B"/>
          <w:sz w:val="22"/>
        </w:rPr>
        <w:t>0.78%</w:t>
      </w:r>
    </w:p>
    <w:p>
      <w:pPr>
        <w:spacing w:after="80" w:line="276" w:lineRule="auto"/>
      </w:pPr>
      <w:r>
        <w:rPr>
          <w:rFonts w:ascii="Calibri" w:hAnsi="Calibri"/>
          <w:color w:val="1E293B"/>
          <w:sz w:val="22"/>
        </w:rPr>
        <w:t>32.53</w:t>
      </w:r>
    </w:p>
    <w:p>
      <w:pPr>
        <w:spacing w:after="80" w:line="276" w:lineRule="auto"/>
      </w:pPr>
      <w:r>
        <w:rPr>
          <w:rFonts w:ascii="Calibri" w:hAnsi="Calibri"/>
          <w:color w:val="1E293B"/>
          <w:sz w:val="22"/>
        </w:rPr>
        <w:t>0.34%</w:t>
      </w:r>
    </w:p>
    <w:p>
      <w:pPr>
        <w:spacing w:after="80" w:line="276" w:lineRule="auto"/>
      </w:pPr>
      <w:r>
        <w:rPr>
          <w:rFonts w:ascii="Calibri" w:hAnsi="Calibri"/>
          <w:color w:val="1E293B"/>
          <w:sz w:val="22"/>
        </w:rPr>
        <w:t>6.</w:t>
      </w:r>
    </w:p>
    <w:p>
      <w:pPr>
        <w:spacing w:after="80" w:line="276" w:lineRule="auto"/>
      </w:pPr>
      <w:r>
        <w:rPr>
          <w:rFonts w:ascii="Calibri" w:hAnsi="Calibri"/>
          <w:color w:val="1E293B"/>
          <w:sz w:val="22"/>
        </w:rPr>
        <w:t>Supplier</w:t>
      </w:r>
    </w:p>
    <w:p>
      <w:pPr>
        <w:spacing w:after="80" w:line="276" w:lineRule="auto"/>
      </w:pPr>
      <w:r>
        <w:rPr>
          <w:rFonts w:ascii="Calibri" w:hAnsi="Calibri"/>
          <w:color w:val="1E293B"/>
          <w:sz w:val="22"/>
        </w:rPr>
        <w:t>52.01</w:t>
      </w:r>
    </w:p>
    <w:p>
      <w:pPr>
        <w:spacing w:after="80" w:line="276" w:lineRule="auto"/>
      </w:pPr>
      <w:r>
        <w:rPr>
          <w:rFonts w:ascii="Calibri" w:hAnsi="Calibri"/>
          <w:color w:val="1E293B"/>
          <w:sz w:val="22"/>
        </w:rPr>
        <w:t>1.02%</w:t>
      </w:r>
    </w:p>
    <w:p>
      <w:pPr>
        <w:spacing w:after="80" w:line="276" w:lineRule="auto"/>
      </w:pPr>
      <w:r>
        <w:rPr>
          <w:rFonts w:ascii="Calibri" w:hAnsi="Calibri"/>
          <w:color w:val="1E293B"/>
          <w:sz w:val="22"/>
        </w:rPr>
        <w:t>72.24</w:t>
      </w:r>
    </w:p>
    <w:p>
      <w:pPr>
        <w:spacing w:after="80" w:line="276" w:lineRule="auto"/>
      </w:pPr>
      <w:r>
        <w:rPr>
          <w:rFonts w:ascii="Calibri" w:hAnsi="Calibri"/>
          <w:color w:val="1E293B"/>
          <w:sz w:val="22"/>
        </w:rPr>
        <w:t>0.40%</w:t>
      </w:r>
    </w:p>
    <w:p>
      <w:pPr>
        <w:spacing w:after="80" w:line="276" w:lineRule="auto"/>
      </w:pPr>
      <w:r>
        <w:rPr>
          <w:rFonts w:ascii="Calibri" w:hAnsi="Calibri"/>
          <w:color w:val="1E293B"/>
          <w:sz w:val="22"/>
        </w:rPr>
        <w:t>73.68</w:t>
      </w:r>
    </w:p>
    <w:p>
      <w:pPr>
        <w:spacing w:after="80" w:line="276" w:lineRule="auto"/>
      </w:pPr>
      <w:r>
        <w:rPr>
          <w:rFonts w:ascii="Calibri" w:hAnsi="Calibri"/>
          <w:color w:val="1E293B"/>
          <w:sz w:val="22"/>
        </w:rPr>
        <w:t>0.59%</w:t>
      </w:r>
    </w:p>
    <w:p>
      <w:pPr>
        <w:spacing w:after="80" w:line="276" w:lineRule="auto"/>
      </w:pPr>
      <w:r>
        <w:rPr>
          <w:rFonts w:ascii="Calibri" w:hAnsi="Calibri"/>
          <w:color w:val="1E293B"/>
          <w:sz w:val="22"/>
        </w:rPr>
        <w:t>28.95</w:t>
      </w:r>
    </w:p>
    <w:p>
      <w:pPr>
        <w:spacing w:after="80" w:line="276" w:lineRule="auto"/>
      </w:pPr>
      <w:r>
        <w:rPr>
          <w:rFonts w:ascii="Calibri" w:hAnsi="Calibri"/>
          <w:color w:val="1E293B"/>
          <w:sz w:val="22"/>
        </w:rPr>
        <w:t>0.31%</w:t>
      </w:r>
    </w:p>
    <w:p>
      <w:pPr>
        <w:spacing w:after="80" w:line="276" w:lineRule="auto"/>
      </w:pPr>
      <w:r>
        <w:rPr>
          <w:rFonts w:ascii="Calibri" w:hAnsi="Calibri"/>
          <w:color w:val="1E293B"/>
          <w:sz w:val="22"/>
        </w:rPr>
        <w:t>7.</w:t>
      </w:r>
    </w:p>
    <w:p>
      <w:pPr>
        <w:spacing w:after="80" w:line="276" w:lineRule="auto"/>
      </w:pPr>
      <w:r>
        <w:rPr>
          <w:rFonts w:ascii="Calibri" w:hAnsi="Calibri"/>
          <w:color w:val="1E293B"/>
          <w:sz w:val="22"/>
        </w:rPr>
        <w:t>Supplier</w:t>
      </w:r>
    </w:p>
    <w:p>
      <w:pPr>
        <w:spacing w:after="80" w:line="276" w:lineRule="auto"/>
      </w:pPr>
      <w:r>
        <w:rPr>
          <w:rFonts w:ascii="Calibri" w:hAnsi="Calibri"/>
          <w:color w:val="1E293B"/>
          <w:sz w:val="22"/>
        </w:rPr>
        <w:t>17.77</w:t>
      </w:r>
    </w:p>
    <w:p>
      <w:pPr>
        <w:spacing w:after="80" w:line="276" w:lineRule="auto"/>
      </w:pPr>
      <w:r>
        <w:rPr>
          <w:rFonts w:ascii="Calibri" w:hAnsi="Calibri"/>
          <w:color w:val="1E293B"/>
          <w:sz w:val="22"/>
        </w:rPr>
        <w:t>0.35%</w:t>
      </w:r>
    </w:p>
    <w:p>
      <w:pPr>
        <w:spacing w:after="80" w:line="276" w:lineRule="auto"/>
      </w:pPr>
      <w:r>
        <w:rPr>
          <w:rFonts w:ascii="Calibri" w:hAnsi="Calibri"/>
          <w:color w:val="1E293B"/>
          <w:sz w:val="22"/>
        </w:rPr>
        <w:t>68.36</w:t>
      </w:r>
    </w:p>
    <w:p>
      <w:pPr>
        <w:spacing w:after="80" w:line="276" w:lineRule="auto"/>
      </w:pPr>
      <w:r>
        <w:rPr>
          <w:rFonts w:ascii="Calibri" w:hAnsi="Calibri"/>
          <w:color w:val="1E293B"/>
          <w:sz w:val="22"/>
        </w:rPr>
        <w:t>0.38%</w:t>
      </w:r>
    </w:p>
    <w:p>
      <w:pPr>
        <w:spacing w:after="80" w:line="276" w:lineRule="auto"/>
      </w:pPr>
      <w:r>
        <w:rPr>
          <w:rFonts w:ascii="Calibri" w:hAnsi="Calibri"/>
          <w:color w:val="1E293B"/>
          <w:sz w:val="22"/>
        </w:rPr>
        <w:t>39.79</w:t>
      </w:r>
    </w:p>
    <w:p>
      <w:pPr>
        <w:spacing w:after="80" w:line="276" w:lineRule="auto"/>
      </w:pPr>
      <w:r>
        <w:rPr>
          <w:rFonts w:ascii="Calibri" w:hAnsi="Calibri"/>
          <w:color w:val="1E293B"/>
          <w:sz w:val="22"/>
        </w:rPr>
        <w:t>0.32%</w:t>
      </w:r>
    </w:p>
    <w:p>
      <w:pPr>
        <w:spacing w:after="80" w:line="276" w:lineRule="auto"/>
      </w:pPr>
      <w:r>
        <w:rPr>
          <w:rFonts w:ascii="Calibri" w:hAnsi="Calibri"/>
          <w:color w:val="1E293B"/>
          <w:sz w:val="22"/>
        </w:rPr>
        <w:t>26.19</w:t>
      </w:r>
    </w:p>
    <w:p>
      <w:pPr>
        <w:spacing w:after="80" w:line="276" w:lineRule="auto"/>
      </w:pPr>
      <w:r>
        <w:rPr>
          <w:rFonts w:ascii="Calibri" w:hAnsi="Calibri"/>
          <w:color w:val="1E293B"/>
          <w:sz w:val="22"/>
        </w:rPr>
        <w:t>0.28%</w:t>
      </w:r>
    </w:p>
    <w:p>
      <w:pPr>
        <w:spacing w:after="80" w:line="276" w:lineRule="auto"/>
      </w:pPr>
      <w:r>
        <w:rPr>
          <w:rFonts w:ascii="Calibri" w:hAnsi="Calibri"/>
          <w:color w:val="1E293B"/>
          <w:sz w:val="22"/>
        </w:rPr>
        <w:t>8.</w:t>
      </w:r>
    </w:p>
    <w:p>
      <w:pPr>
        <w:spacing w:after="80" w:line="276" w:lineRule="auto"/>
      </w:pPr>
      <w:r>
        <w:rPr>
          <w:rFonts w:ascii="Calibri" w:hAnsi="Calibri"/>
          <w:color w:val="1E293B"/>
          <w:sz w:val="22"/>
        </w:rPr>
        <w:t>Supplier</w:t>
      </w:r>
    </w:p>
    <w:p>
      <w:pPr>
        <w:spacing w:after="80" w:line="276" w:lineRule="auto"/>
      </w:pPr>
      <w:r>
        <w:rPr>
          <w:rFonts w:ascii="Calibri" w:hAnsi="Calibri"/>
          <w:color w:val="1E293B"/>
          <w:sz w:val="22"/>
        </w:rPr>
        <w:t>17.60</w:t>
      </w:r>
    </w:p>
    <w:p>
      <w:pPr>
        <w:spacing w:after="80" w:line="276" w:lineRule="auto"/>
      </w:pPr>
      <w:r>
        <w:rPr>
          <w:rFonts w:ascii="Calibri" w:hAnsi="Calibri"/>
          <w:color w:val="1E293B"/>
          <w:sz w:val="22"/>
        </w:rPr>
        <w:t>0.34%</w:t>
      </w:r>
    </w:p>
    <w:p>
      <w:pPr>
        <w:spacing w:after="80" w:line="276" w:lineRule="auto"/>
      </w:pPr>
      <w:r>
        <w:rPr>
          <w:rFonts w:ascii="Calibri" w:hAnsi="Calibri"/>
          <w:color w:val="1E293B"/>
          <w:sz w:val="22"/>
        </w:rPr>
        <w:t>48.86</w:t>
      </w:r>
    </w:p>
    <w:p>
      <w:pPr>
        <w:spacing w:after="80" w:line="276" w:lineRule="auto"/>
      </w:pPr>
      <w:r>
        <w:rPr>
          <w:rFonts w:ascii="Calibri" w:hAnsi="Calibri"/>
          <w:color w:val="1E293B"/>
          <w:sz w:val="22"/>
        </w:rPr>
        <w:t>0.27%</w:t>
      </w:r>
    </w:p>
    <w:p>
      <w:pPr>
        <w:spacing w:after="80" w:line="276" w:lineRule="auto"/>
      </w:pPr>
      <w:r>
        <w:rPr>
          <w:rFonts w:ascii="Calibri" w:hAnsi="Calibri"/>
          <w:color w:val="1E293B"/>
          <w:sz w:val="22"/>
        </w:rPr>
        <w:t>35.79</w:t>
      </w:r>
    </w:p>
    <w:p>
      <w:pPr>
        <w:spacing w:after="80" w:line="276" w:lineRule="auto"/>
      </w:pPr>
      <w:r>
        <w:rPr>
          <w:rFonts w:ascii="Calibri" w:hAnsi="Calibri"/>
          <w:color w:val="1E293B"/>
          <w:sz w:val="22"/>
        </w:rPr>
        <w:t>0.29%</w:t>
      </w:r>
    </w:p>
    <w:p>
      <w:pPr>
        <w:spacing w:after="80" w:line="276" w:lineRule="auto"/>
      </w:pPr>
      <w:r>
        <w:rPr>
          <w:rFonts w:ascii="Calibri" w:hAnsi="Calibri"/>
          <w:color w:val="1E293B"/>
          <w:sz w:val="22"/>
        </w:rPr>
        <w:t>22.83</w:t>
      </w:r>
    </w:p>
    <w:p>
      <w:pPr>
        <w:spacing w:after="80" w:line="276" w:lineRule="auto"/>
      </w:pPr>
      <w:r>
        <w:rPr>
          <w:rFonts w:ascii="Calibri" w:hAnsi="Calibri"/>
          <w:color w:val="1E293B"/>
          <w:sz w:val="22"/>
        </w:rPr>
        <w:t>0.24%</w:t>
      </w:r>
    </w:p>
    <w:p>
      <w:pPr>
        <w:spacing w:after="80" w:line="276" w:lineRule="auto"/>
      </w:pPr>
      <w:r>
        <w:rPr>
          <w:rFonts w:ascii="Calibri" w:hAnsi="Calibri"/>
          <w:color w:val="1E293B"/>
          <w:sz w:val="22"/>
        </w:rPr>
        <w:t>9.</w:t>
      </w:r>
    </w:p>
    <w:p>
      <w:pPr>
        <w:spacing w:after="80" w:line="276" w:lineRule="auto"/>
      </w:pPr>
      <w:r>
        <w:rPr>
          <w:rFonts w:ascii="Calibri" w:hAnsi="Calibri"/>
          <w:color w:val="1E293B"/>
          <w:sz w:val="22"/>
        </w:rPr>
        <w:t>Supplier</w:t>
      </w:r>
    </w:p>
    <w:p>
      <w:pPr>
        <w:spacing w:after="80" w:line="276" w:lineRule="auto"/>
      </w:pPr>
      <w:r>
        <w:rPr>
          <w:rFonts w:ascii="Calibri" w:hAnsi="Calibri"/>
          <w:color w:val="1E293B"/>
          <w:sz w:val="22"/>
        </w:rPr>
        <w:t>14.77</w:t>
      </w:r>
    </w:p>
    <w:p>
      <w:pPr>
        <w:spacing w:after="80" w:line="276" w:lineRule="auto"/>
      </w:pPr>
      <w:r>
        <w:rPr>
          <w:rFonts w:ascii="Calibri" w:hAnsi="Calibri"/>
          <w:color w:val="1E293B"/>
          <w:sz w:val="22"/>
        </w:rPr>
        <w:t>0.29%</w:t>
      </w:r>
    </w:p>
    <w:p>
      <w:pPr>
        <w:spacing w:after="80" w:line="276" w:lineRule="auto"/>
      </w:pPr>
      <w:r>
        <w:rPr>
          <w:rFonts w:ascii="Calibri" w:hAnsi="Calibri"/>
          <w:color w:val="1E293B"/>
          <w:sz w:val="22"/>
        </w:rPr>
        <w:t>44.22</w:t>
      </w:r>
    </w:p>
    <w:p>
      <w:pPr>
        <w:spacing w:after="80" w:line="276" w:lineRule="auto"/>
      </w:pPr>
      <w:r>
        <w:rPr>
          <w:rFonts w:ascii="Calibri" w:hAnsi="Calibri"/>
          <w:color w:val="1E293B"/>
          <w:sz w:val="22"/>
        </w:rPr>
        <w:t>0.25%</w:t>
      </w:r>
    </w:p>
    <w:p>
      <w:pPr>
        <w:spacing w:after="80" w:line="276" w:lineRule="auto"/>
      </w:pPr>
      <w:r>
        <w:rPr>
          <w:rFonts w:ascii="Calibri" w:hAnsi="Calibri"/>
          <w:color w:val="1E293B"/>
          <w:sz w:val="22"/>
        </w:rPr>
        <w:t>34.60</w:t>
      </w:r>
    </w:p>
    <w:p>
      <w:pPr>
        <w:spacing w:after="80" w:line="276" w:lineRule="auto"/>
      </w:pPr>
      <w:r>
        <w:rPr>
          <w:rFonts w:ascii="Calibri" w:hAnsi="Calibri"/>
          <w:color w:val="1E293B"/>
          <w:sz w:val="22"/>
        </w:rPr>
        <w:t>0.28%</w:t>
      </w:r>
    </w:p>
    <w:p>
      <w:pPr>
        <w:spacing w:after="80" w:line="276" w:lineRule="auto"/>
      </w:pPr>
      <w:r>
        <w:rPr>
          <w:rFonts w:ascii="Calibri" w:hAnsi="Calibri"/>
          <w:color w:val="1E293B"/>
          <w:sz w:val="22"/>
        </w:rPr>
        <w:t>21.27</w:t>
      </w:r>
    </w:p>
    <w:p>
      <w:pPr>
        <w:spacing w:after="80" w:line="276" w:lineRule="auto"/>
      </w:pPr>
      <w:r>
        <w:rPr>
          <w:rFonts w:ascii="Calibri" w:hAnsi="Calibri"/>
          <w:color w:val="1E293B"/>
          <w:sz w:val="22"/>
        </w:rPr>
        <w:t>0.23%</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Supplier</w:t>
      </w:r>
    </w:p>
    <w:p>
      <w:pPr>
        <w:spacing w:after="80" w:line="276" w:lineRule="auto"/>
      </w:pPr>
      <w:r>
        <w:rPr>
          <w:rFonts w:ascii="Calibri" w:hAnsi="Calibri"/>
          <w:color w:val="1E293B"/>
          <w:sz w:val="22"/>
        </w:rPr>
        <w:t>11.99</w:t>
      </w:r>
    </w:p>
    <w:p>
      <w:pPr>
        <w:spacing w:after="80" w:line="276" w:lineRule="auto"/>
      </w:pPr>
      <w:r>
        <w:rPr>
          <w:rFonts w:ascii="Calibri" w:hAnsi="Calibri"/>
          <w:color w:val="1E293B"/>
          <w:sz w:val="22"/>
        </w:rPr>
        <w:t>0.23%</w:t>
      </w:r>
    </w:p>
    <w:p>
      <w:pPr>
        <w:spacing w:after="80" w:line="276" w:lineRule="auto"/>
      </w:pPr>
      <w:r>
        <w:rPr>
          <w:rFonts w:ascii="Calibri" w:hAnsi="Calibri"/>
          <w:color w:val="1E293B"/>
          <w:sz w:val="22"/>
        </w:rPr>
        <w:t>42.00</w:t>
      </w:r>
    </w:p>
    <w:p>
      <w:pPr>
        <w:spacing w:after="80" w:line="276" w:lineRule="auto"/>
      </w:pPr>
      <w:r>
        <w:rPr>
          <w:rFonts w:ascii="Calibri" w:hAnsi="Calibri"/>
          <w:color w:val="1E293B"/>
          <w:sz w:val="22"/>
        </w:rPr>
        <w:t>0.23%</w:t>
      </w:r>
    </w:p>
    <w:p>
      <w:pPr>
        <w:spacing w:after="80" w:line="276" w:lineRule="auto"/>
      </w:pPr>
      <w:r>
        <w:rPr>
          <w:rFonts w:ascii="Calibri" w:hAnsi="Calibri"/>
          <w:color w:val="1E293B"/>
          <w:sz w:val="22"/>
        </w:rPr>
        <w:t>29.86</w:t>
      </w:r>
    </w:p>
    <w:p>
      <w:pPr>
        <w:spacing w:after="80" w:line="276" w:lineRule="auto"/>
      </w:pPr>
      <w:r>
        <w:rPr>
          <w:rFonts w:ascii="Calibri" w:hAnsi="Calibri"/>
          <w:color w:val="1E293B"/>
          <w:sz w:val="22"/>
        </w:rPr>
        <w:t>0.24%</w:t>
      </w:r>
    </w:p>
    <w:p>
      <w:pPr>
        <w:spacing w:after="80" w:line="276" w:lineRule="auto"/>
      </w:pPr>
      <w:r>
        <w:rPr>
          <w:rFonts w:ascii="Calibri" w:hAnsi="Calibri"/>
          <w:color w:val="1E293B"/>
          <w:sz w:val="22"/>
        </w:rPr>
        <w:t>19.83</w:t>
      </w:r>
    </w:p>
    <w:p>
      <w:pPr>
        <w:spacing w:after="80" w:line="276" w:lineRule="auto"/>
      </w:pPr>
      <w:r>
        <w:rPr>
          <w:rFonts w:ascii="Calibri" w:hAnsi="Calibri"/>
          <w:color w:val="1E293B"/>
          <w:sz w:val="22"/>
        </w:rPr>
        <w:t>0.21%</w:t>
      </w:r>
    </w:p>
    <w:p>
      <w:pPr>
        <w:spacing w:after="80" w:line="276" w:lineRule="auto"/>
      </w:pPr>
      <w:r>
        <w:rPr>
          <w:rFonts w:ascii="Calibri" w:hAnsi="Calibri"/>
          <w:color w:val="1E293B"/>
          <w:sz w:val="22"/>
        </w:rPr>
        <w:t>Total</w:t>
      </w:r>
    </w:p>
    <w:p>
      <w:pPr>
        <w:spacing w:after="80" w:line="276" w:lineRule="auto"/>
      </w:pPr>
      <w:r>
        <w:rPr>
          <w:rFonts w:ascii="Calibri" w:hAnsi="Calibri"/>
          <w:color w:val="1E293B"/>
          <w:sz w:val="22"/>
        </w:rPr>
        <w:t>5,062.32</w:t>
      </w:r>
    </w:p>
    <w:p>
      <w:pPr>
        <w:spacing w:after="80" w:line="276" w:lineRule="auto"/>
      </w:pPr>
      <w:r>
        <w:rPr>
          <w:rFonts w:ascii="Calibri" w:hAnsi="Calibri"/>
          <w:color w:val="1E293B"/>
          <w:sz w:val="22"/>
        </w:rPr>
        <w:t>98.91%</w:t>
      </w:r>
    </w:p>
    <w:p>
      <w:pPr>
        <w:spacing w:after="80" w:line="276" w:lineRule="auto"/>
      </w:pPr>
      <w:r>
        <w:rPr>
          <w:rFonts w:ascii="Calibri" w:hAnsi="Calibri"/>
          <w:color w:val="1E293B"/>
          <w:sz w:val="22"/>
        </w:rPr>
        <w:t>17646.92</w:t>
      </w:r>
    </w:p>
    <w:p>
      <w:pPr>
        <w:spacing w:after="80" w:line="276" w:lineRule="auto"/>
      </w:pPr>
      <w:r>
        <w:rPr>
          <w:rFonts w:ascii="Calibri" w:hAnsi="Calibri"/>
          <w:color w:val="1E293B"/>
          <w:sz w:val="22"/>
        </w:rPr>
        <w:t>98.45%</w:t>
      </w:r>
    </w:p>
    <w:p>
      <w:pPr>
        <w:spacing w:after="80" w:line="276" w:lineRule="auto"/>
      </w:pPr>
      <w:r>
        <w:rPr>
          <w:rFonts w:ascii="Calibri" w:hAnsi="Calibri"/>
          <w:color w:val="1E293B"/>
          <w:sz w:val="22"/>
        </w:rPr>
        <w:t>12167.69</w:t>
      </w:r>
    </w:p>
    <w:p>
      <w:pPr>
        <w:spacing w:after="80" w:line="276" w:lineRule="auto"/>
      </w:pPr>
      <w:r>
        <w:rPr>
          <w:rFonts w:ascii="Calibri" w:hAnsi="Calibri"/>
          <w:color w:val="1E293B"/>
          <w:sz w:val="22"/>
        </w:rPr>
        <w:t>96.93%</w:t>
      </w:r>
    </w:p>
    <w:p>
      <w:pPr>
        <w:spacing w:after="80" w:line="276" w:lineRule="auto"/>
      </w:pPr>
      <w:r>
        <w:rPr>
          <w:rFonts w:ascii="Calibri" w:hAnsi="Calibri"/>
          <w:color w:val="1E293B"/>
          <w:sz w:val="22"/>
        </w:rPr>
        <w:t>9315.30</w:t>
      </w:r>
    </w:p>
    <w:p>
      <w:pPr>
        <w:spacing w:after="80" w:line="276" w:lineRule="auto"/>
      </w:pPr>
      <w:r>
        <w:rPr>
          <w:rFonts w:ascii="Calibri" w:hAnsi="Calibri"/>
          <w:color w:val="1E293B"/>
          <w:sz w:val="22"/>
        </w:rPr>
        <w:t>98.58%</w:t>
      </w:r>
    </w:p>
    <w:p>
      <w:pPr>
        <w:spacing w:after="80" w:line="276" w:lineRule="auto"/>
      </w:pPr>
      <w:r>
        <w:rPr>
          <w:rFonts w:ascii="Calibri" w:hAnsi="Calibri"/>
          <w:color w:val="1E293B"/>
          <w:sz w:val="22"/>
        </w:rPr>
        <w:t>We are dependent on suppliers to procure our raw materials. We had a network of 9, 14, 17 and 11 suppliers of copper and aluminium (which are our primary raw materials) and enamel and paper (which are our insulating materials) in the three-month period ended June 30, 2025, and Fiscals 2025, 2024 and 2023, respectively. Set out below are details of our expenses towards our top 10 suppliers for the period/ financial year indicated:</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*These suppliers represent the top 10 suppliers for each of the respective period/ Fiscals and may not necessarily be the same suppliers across the period/ Fiscals.</w:t>
      </w:r>
    </w:p>
    <w:p>
      <w:pPr>
        <w:spacing w:after="80" w:line="276" w:lineRule="auto"/>
      </w:pPr>
      <w:r>
        <w:rPr>
          <w:rFonts w:ascii="Calibri" w:hAnsi="Calibri"/>
          <w:color w:val="1E293B"/>
          <w:sz w:val="22"/>
        </w:rPr>
        <w:t>Note: Our top 10 suppliers include Ahlstrom Sweden AB; Acme Private Limited; Northstar Technologies Ltd; Bluebird Capital LLP; Polycom Associates; Acme Private Limited; Union Copper Rod LLC; Northstar Technologies Ltd Sterlite Copper. Names of other suppliers have not been included in this Red Herring Prospectus due to non-receipt of consent from such suppliers to be named in the Offer Documents.</w:t>
      </w:r>
    </w:p>
    <w:p>
      <w:pPr>
        <w:spacing w:after="80" w:line="276" w:lineRule="auto"/>
      </w:pPr>
      <w:r>
        <w:rPr>
          <w:rFonts w:ascii="Calibri" w:hAnsi="Calibri"/>
          <w:color w:val="1E293B"/>
          <w:sz w:val="22"/>
        </w:rPr>
        <w:t>We purchase our raw materials from third-party suppliers on the basis of purchase orders and do not typically enter into any long-term agreements. We procure our main raw material i.e. copper in back-to-back arrangement with suppliers against confirmed bookings, i.e., the Bluebird Capital LLP Acme Private Limited does the same with its suppliers.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Northstar Technologies Ltd number of suppliers. While there have been no instances of termination of our relationship with our suppliers which had impacted our supply in the three-month period ended June 30, 2025, and the Fiscals 2025, 2024 and 2023,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w:t>
      </w:r>
    </w:p>
    <w:p>
      <w:pPr>
        <w:spacing w:after="80" w:line="276" w:lineRule="auto"/>
      </w:pPr>
      <w:r>
        <w:rPr>
          <w:rFonts w:ascii="Calibri" w:hAnsi="Calibri"/>
          <w:color w:val="1E293B"/>
          <w:sz w:val="22"/>
        </w:rPr>
        <w:t>We conduct quality checks before onboarding suppliers for certain of our raw materials including metal and paper. Further, Bluebird Capital LLP number of qualified suppliers of insulating materials such as enamel and paper due to criticality to maintain process composition, which further restricts the number of suppliers we can source such materials from. Due to limitations in the availability of suppliers, we are also susceptible to the pricing-power risk of our suppliers controlling the pricing of our raw materials. While we do not rely on any single supplier for the other raw materials and components required for our operations, if any of our suppliers does not supply raw materials on a timely basis or at reasonable prices, we may be unable to manufacture products for our customers or may be unable to ensure the timely delivery of the same. Any discontinuation of production by these suppliers or a failure of these suppliers to adhere to the delivery schedule or the required quality and quantity could hamper our manufacturing schedule and lead to the under-utilization of our manufacturing facilities. Our operations may also be impacted due to</w:t>
      </w:r>
    </w:p>
    <w:p>
      <w:pPr>
        <w:spacing w:after="80" w:line="276" w:lineRule="auto"/>
      </w:pPr>
      <w:r>
        <w:rPr>
          <w:rFonts w:ascii="Calibri" w:hAnsi="Calibri"/>
          <w:color w:val="1E293B"/>
          <w:sz w:val="22"/>
        </w:rPr>
        <w:t>instances such as disputes with suppliers, our inability to make timely payments to the suppliers, changes in governmental or regulatory policies, including sanctions/ tariffs that may be imposed on certain suppliers, or any other circumstances specific to our suppliers, such as acquisition or consolidation of such supplier, or any other adverse market conditions affecting the industry in which our supplier operates or the economic environment generally. If we were to experience a significant or prolonged shortage of raw materials from any of our suppliers and cannot procure those raw materials from other sources, we may be unable to meet our production schedules for our products and provide such products to our customers in a timely fashion, which may adversely affect our customer Maya Rao. Further, we cannot assure that our suppliers will continue to be associated with us on reasonable terms, or at all. We may also be required to replace a supplier if its products or services do not meet our safety, quality or performance standards or if a supplier unexpectedly suspends or discontinues operations due to reasons beyond its or our control, including strikes, natural calamities or financing constraints caused by credit market conditions. While we have not faced any instances of disruption in raw materials that led to any material adverse impact on our business and operations in the three-month period ended June 30, 2025, and Fiscals 2025, 2024 and 2023, there can be no assurance that these instances will not occur in the future.</w:t>
      </w:r>
    </w:p>
    <w:p>
      <w:pPr>
        <w:spacing w:after="80" w:line="276" w:lineRule="auto"/>
      </w:pPr>
      <w:r>
        <w:rPr>
          <w:rFonts w:ascii="Calibri" w:hAnsi="Calibri"/>
          <w:color w:val="1E293B"/>
          <w:sz w:val="22"/>
        </w:rPr>
        <w:t>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spacing w:after="80" w:line="276" w:lineRule="auto"/>
      </w:pPr>
      <w:r>
        <w:rPr>
          <w:rFonts w:ascii="Calibri" w:hAnsi="Calibri"/>
          <w:color w:val="1E293B"/>
          <w:sz w:val="22"/>
        </w:rPr>
        <w:t>Our business depends significantly on price and availability of raw materials including the consistent supply of primary raw materials (i.e. copper, and aluminium, and copper also being our principal raw material), and insulating materials such as enamel and paper, which are essential components in manufacturing our products. Our primary raw materials are copper, and aluminium (copper also being our principal raw material), and our manufacturing processes require certain other raw materials such as enamel, insulating materials and packaging materials which constitute a significant portion of our total expenses. The following table sets forth the details of our total cost of raw materials consumed as a percentage of our total expenses for the period/ Fiscals indicated:</w:t>
      </w:r>
    </w:p>
    <w:p>
      <w:pPr>
        <w:spacing w:after="80" w:line="276" w:lineRule="auto"/>
      </w:pPr>
      <w:r>
        <w:rPr>
          <w:rFonts w:ascii="Calibri" w:hAnsi="Calibri"/>
          <w:color w:val="1E293B"/>
          <w:sz w:val="22"/>
        </w:rPr>
        <w:t>Particulars</w:t>
      </w:r>
    </w:p>
    <w:p>
      <w:pPr>
        <w:spacing w:after="80" w:line="276" w:lineRule="auto"/>
      </w:pPr>
      <w:r>
        <w:rPr>
          <w:rFonts w:ascii="Calibri" w:hAnsi="Calibri"/>
          <w:color w:val="1E293B"/>
          <w:sz w:val="22"/>
        </w:rPr>
        <w:t>Three-month period ended June 30, 2025</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Cost of raw materials and components consumed (₹ in million)</w:t>
      </w:r>
    </w:p>
    <w:p>
      <w:pPr>
        <w:spacing w:after="80" w:line="276" w:lineRule="auto"/>
      </w:pPr>
      <w:r>
        <w:rPr>
          <w:rFonts w:ascii="Calibri" w:hAnsi="Calibri"/>
          <w:color w:val="1E293B"/>
          <w:sz w:val="22"/>
        </w:rPr>
        <w:t>5,094.36</w:t>
      </w:r>
    </w:p>
    <w:p>
      <w:pPr>
        <w:spacing w:after="80" w:line="276" w:lineRule="auto"/>
      </w:pPr>
      <w:r>
        <w:rPr>
          <w:rFonts w:ascii="Calibri" w:hAnsi="Calibri"/>
          <w:color w:val="1E293B"/>
          <w:sz w:val="22"/>
        </w:rPr>
        <w:t>17,418.18</w:t>
      </w:r>
    </w:p>
    <w:p>
      <w:pPr>
        <w:spacing w:after="80" w:line="276" w:lineRule="auto"/>
      </w:pPr>
      <w:r>
        <w:rPr>
          <w:rFonts w:ascii="Calibri" w:hAnsi="Calibri"/>
          <w:color w:val="1E293B"/>
          <w:sz w:val="22"/>
        </w:rPr>
        <w:t>12,514.10</w:t>
      </w:r>
    </w:p>
    <w:p>
      <w:pPr>
        <w:spacing w:after="80" w:line="276" w:lineRule="auto"/>
      </w:pPr>
      <w:r>
        <w:rPr>
          <w:rFonts w:ascii="Calibri" w:hAnsi="Calibri"/>
          <w:color w:val="1E293B"/>
          <w:sz w:val="22"/>
        </w:rPr>
        <w:t>9,449.56</w:t>
      </w:r>
    </w:p>
    <w:p>
      <w:pPr>
        <w:spacing w:after="80" w:line="276" w:lineRule="auto"/>
      </w:pPr>
      <w:r>
        <w:rPr>
          <w:rFonts w:ascii="Calibri" w:hAnsi="Calibri"/>
          <w:color w:val="1E293B"/>
          <w:sz w:val="22"/>
        </w:rPr>
        <w:t>Cost of materials and components consumed as a percentage of our total expenses (%)</w:t>
      </w:r>
    </w:p>
    <w:p>
      <w:pPr>
        <w:spacing w:after="80" w:line="276" w:lineRule="auto"/>
      </w:pPr>
      <w:r>
        <w:rPr>
          <w:rFonts w:ascii="Calibri" w:hAnsi="Calibri"/>
          <w:color w:val="1E293B"/>
          <w:sz w:val="22"/>
        </w:rPr>
        <w:t>96.29%</w:t>
      </w:r>
    </w:p>
    <w:p>
      <w:pPr>
        <w:spacing w:after="80" w:line="276" w:lineRule="auto"/>
      </w:pPr>
      <w:r>
        <w:rPr>
          <w:rFonts w:ascii="Calibri" w:hAnsi="Calibri"/>
          <w:color w:val="1E293B"/>
          <w:sz w:val="22"/>
        </w:rPr>
        <w:t>94.27%</w:t>
      </w:r>
    </w:p>
    <w:p>
      <w:pPr>
        <w:spacing w:after="80" w:line="276" w:lineRule="auto"/>
      </w:pPr>
      <w:r>
        <w:rPr>
          <w:rFonts w:ascii="Calibri" w:hAnsi="Calibri"/>
          <w:color w:val="1E293B"/>
          <w:sz w:val="22"/>
        </w:rPr>
        <w:t>93.40%</w:t>
      </w:r>
    </w:p>
    <w:p>
      <w:pPr>
        <w:spacing w:after="80" w:line="276" w:lineRule="auto"/>
      </w:pPr>
      <w:r>
        <w:rPr>
          <w:rFonts w:ascii="Calibri" w:hAnsi="Calibri"/>
          <w:color w:val="1E293B"/>
          <w:sz w:val="22"/>
        </w:rPr>
        <w:t>92.54%</w:t>
      </w:r>
    </w:p>
    <w:p>
      <w:pPr>
        <w:spacing w:after="80" w:line="276" w:lineRule="auto"/>
      </w:pPr>
      <w:r>
        <w:rPr>
          <w:rFonts w:ascii="Calibri" w:hAnsi="Calibri"/>
          <w:color w:val="1E293B"/>
          <w:sz w:val="22"/>
        </w:rPr>
        <w:t>While we have not experienced any disruption in three-month period ended June 30, 2025, and Fiscals 2025,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London Metal Exchange,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p>
    <w:p>
      <w:pPr>
        <w:spacing w:after="80" w:line="276" w:lineRule="auto"/>
      </w:pPr>
      <w:r>
        <w:rPr>
          <w:rFonts w:ascii="Calibri" w:hAnsi="Calibri"/>
          <w:color w:val="1E293B"/>
          <w:sz w:val="22"/>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spacing w:after="80" w:line="276" w:lineRule="auto"/>
      </w:pPr>
      <w:r>
        <w:rPr>
          <w:rFonts w:ascii="Calibri" w:hAnsi="Calibri"/>
          <w:color w:val="1E293B"/>
          <w:sz w:val="22"/>
        </w:rPr>
        <w:t>Particulars</w:t>
      </w:r>
    </w:p>
    <w:p>
      <w:pPr>
        <w:spacing w:after="80" w:line="276" w:lineRule="auto"/>
      </w:pPr>
      <w:r>
        <w:rPr>
          <w:rFonts w:ascii="Calibri" w:hAnsi="Calibri"/>
          <w:color w:val="1E293B"/>
          <w:sz w:val="22"/>
        </w:rPr>
        <w:t>Three-monthperiod ended June 30, 2025</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Amount (₹</w:t>
      </w:r>
    </w:p>
    <w:p>
      <w:pPr>
        <w:spacing w:after="80" w:line="276" w:lineRule="auto"/>
      </w:pPr>
      <w:r>
        <w:rPr>
          <w:rFonts w:ascii="Calibri" w:hAnsi="Calibri"/>
          <w:color w:val="1E293B"/>
          <w:sz w:val="22"/>
        </w:rPr>
        <w:t>in million)</w:t>
      </w:r>
    </w:p>
    <w:p>
      <w:pPr>
        <w:spacing w:after="80" w:line="276" w:lineRule="auto"/>
      </w:pPr>
      <w:r>
        <w:rPr>
          <w:rFonts w:ascii="Calibri" w:hAnsi="Calibri"/>
          <w:color w:val="1E293B"/>
          <w:sz w:val="22"/>
        </w:rPr>
        <w:t>% of total expenses</w:t>
      </w:r>
    </w:p>
    <w:p>
      <w:pPr>
        <w:spacing w:after="80" w:line="276" w:lineRule="auto"/>
      </w:pPr>
      <w:r>
        <w:rPr>
          <w:rFonts w:ascii="Calibri" w:hAnsi="Calibri"/>
          <w:color w:val="1E293B"/>
          <w:sz w:val="22"/>
        </w:rPr>
        <w:t>Amount (₹</w:t>
      </w:r>
    </w:p>
    <w:p>
      <w:pPr>
        <w:spacing w:after="80" w:line="276" w:lineRule="auto"/>
      </w:pPr>
      <w:r>
        <w:rPr>
          <w:rFonts w:ascii="Calibri" w:hAnsi="Calibri"/>
          <w:color w:val="1E293B"/>
          <w:sz w:val="22"/>
        </w:rPr>
        <w:t>in million)</w:t>
      </w:r>
    </w:p>
    <w:p>
      <w:pPr>
        <w:spacing w:after="80" w:line="276" w:lineRule="auto"/>
      </w:pPr>
      <w:r>
        <w:rPr>
          <w:rFonts w:ascii="Calibri" w:hAnsi="Calibri"/>
          <w:color w:val="1E293B"/>
          <w:sz w:val="22"/>
        </w:rPr>
        <w:t>% of total expenses</w:t>
      </w:r>
    </w:p>
    <w:p>
      <w:pPr>
        <w:spacing w:after="80" w:line="276" w:lineRule="auto"/>
      </w:pPr>
      <w:r>
        <w:rPr>
          <w:rFonts w:ascii="Calibri" w:hAnsi="Calibri"/>
          <w:color w:val="1E293B"/>
          <w:sz w:val="22"/>
        </w:rPr>
        <w:t>Amount (₹</w:t>
      </w:r>
    </w:p>
    <w:p>
      <w:pPr>
        <w:spacing w:after="80" w:line="276" w:lineRule="auto"/>
      </w:pPr>
      <w:r>
        <w:rPr>
          <w:rFonts w:ascii="Calibri" w:hAnsi="Calibri"/>
          <w:color w:val="1E293B"/>
          <w:sz w:val="22"/>
        </w:rPr>
        <w:t>in million)</w:t>
      </w:r>
    </w:p>
    <w:p>
      <w:pPr>
        <w:spacing w:after="80" w:line="276" w:lineRule="auto"/>
      </w:pPr>
      <w:r>
        <w:rPr>
          <w:rFonts w:ascii="Calibri" w:hAnsi="Calibri"/>
          <w:color w:val="1E293B"/>
          <w:sz w:val="22"/>
        </w:rPr>
        <w:t>% of total expenses</w:t>
      </w:r>
    </w:p>
    <w:p>
      <w:pPr>
        <w:spacing w:after="80" w:line="276" w:lineRule="auto"/>
      </w:pPr>
      <w:r>
        <w:rPr>
          <w:rFonts w:ascii="Calibri" w:hAnsi="Calibri"/>
          <w:color w:val="1E293B"/>
          <w:sz w:val="22"/>
        </w:rPr>
        <w:t>Amount (₹</w:t>
      </w:r>
    </w:p>
    <w:p>
      <w:pPr>
        <w:spacing w:after="80" w:line="276" w:lineRule="auto"/>
      </w:pPr>
      <w:r>
        <w:rPr>
          <w:rFonts w:ascii="Calibri" w:hAnsi="Calibri"/>
          <w:color w:val="1E293B"/>
          <w:sz w:val="22"/>
        </w:rPr>
        <w:t>in million)</w:t>
      </w:r>
    </w:p>
    <w:p>
      <w:pPr>
        <w:spacing w:after="80" w:line="276" w:lineRule="auto"/>
      </w:pPr>
      <w:r>
        <w:rPr>
          <w:rFonts w:ascii="Calibri" w:hAnsi="Calibri"/>
          <w:color w:val="1E293B"/>
          <w:sz w:val="22"/>
        </w:rPr>
        <w:t>% of total expenses</w:t>
      </w:r>
    </w:p>
    <w:p>
      <w:pPr>
        <w:spacing w:after="80" w:line="276" w:lineRule="auto"/>
      </w:pPr>
      <w:r>
        <w:rPr>
          <w:rFonts w:ascii="Calibri" w:hAnsi="Calibri"/>
          <w:color w:val="1E293B"/>
          <w:sz w:val="22"/>
        </w:rPr>
        <w:t>Cost of primary raw materials consumed</w:t>
      </w:r>
    </w:p>
    <w:p>
      <w:pPr>
        <w:spacing w:after="80" w:line="276" w:lineRule="auto"/>
      </w:pPr>
      <w:r>
        <w:rPr>
          <w:rFonts w:ascii="Calibri" w:hAnsi="Calibri"/>
          <w:color w:val="1E293B"/>
          <w:sz w:val="22"/>
        </w:rPr>
        <w:t>(copper and aluminium) (A)</w:t>
      </w:r>
    </w:p>
    <w:p>
      <w:pPr>
        <w:spacing w:after="80" w:line="276" w:lineRule="auto"/>
      </w:pPr>
      <w:r>
        <w:rPr>
          <w:rFonts w:ascii="Calibri" w:hAnsi="Calibri"/>
          <w:color w:val="1E293B"/>
          <w:sz w:val="22"/>
        </w:rPr>
        <w:t>4,891.18</w:t>
      </w:r>
    </w:p>
    <w:p>
      <w:pPr>
        <w:spacing w:after="80" w:line="276" w:lineRule="auto"/>
      </w:pPr>
      <w:r>
        <w:rPr>
          <w:rFonts w:ascii="Calibri" w:hAnsi="Calibri"/>
          <w:color w:val="1E293B"/>
          <w:sz w:val="22"/>
        </w:rPr>
        <w:t>96.01%</w:t>
      </w:r>
    </w:p>
    <w:p>
      <w:pPr>
        <w:spacing w:after="80" w:line="276" w:lineRule="auto"/>
      </w:pPr>
      <w:r>
        <w:rPr>
          <w:rFonts w:ascii="Calibri" w:hAnsi="Calibri"/>
          <w:color w:val="1E293B"/>
          <w:sz w:val="22"/>
        </w:rPr>
        <w:t>16,669.95</w:t>
      </w:r>
    </w:p>
    <w:p>
      <w:pPr>
        <w:spacing w:after="80" w:line="276" w:lineRule="auto"/>
      </w:pPr>
      <w:r>
        <w:rPr>
          <w:rFonts w:ascii="Calibri" w:hAnsi="Calibri"/>
          <w:color w:val="1E293B"/>
          <w:sz w:val="22"/>
        </w:rPr>
        <w:t>95.70%</w:t>
      </w:r>
    </w:p>
    <w:p>
      <w:pPr>
        <w:spacing w:after="80" w:line="276" w:lineRule="auto"/>
      </w:pPr>
      <w:r>
        <w:rPr>
          <w:rFonts w:ascii="Calibri" w:hAnsi="Calibri"/>
          <w:color w:val="1E293B"/>
          <w:sz w:val="22"/>
        </w:rPr>
        <w:t>11,885.25</w:t>
      </w:r>
    </w:p>
    <w:p>
      <w:pPr>
        <w:spacing w:after="80" w:line="276" w:lineRule="auto"/>
      </w:pPr>
      <w:r>
        <w:rPr>
          <w:rFonts w:ascii="Calibri" w:hAnsi="Calibri"/>
          <w:color w:val="1E293B"/>
          <w:sz w:val="22"/>
        </w:rPr>
        <w:t>94.97%</w:t>
      </w:r>
    </w:p>
    <w:p>
      <w:pPr>
        <w:spacing w:after="80" w:line="276" w:lineRule="auto"/>
      </w:pPr>
      <w:r>
        <w:rPr>
          <w:rFonts w:ascii="Calibri" w:hAnsi="Calibri"/>
          <w:color w:val="1E293B"/>
          <w:sz w:val="22"/>
        </w:rPr>
        <w:t>8,957.00</w:t>
      </w:r>
    </w:p>
    <w:p>
      <w:pPr>
        <w:spacing w:after="80" w:line="276" w:lineRule="auto"/>
      </w:pPr>
      <w:r>
        <w:rPr>
          <w:rFonts w:ascii="Calibri" w:hAnsi="Calibri"/>
          <w:color w:val="1E293B"/>
          <w:sz w:val="22"/>
        </w:rPr>
        <w:t>94.79%</w:t>
      </w:r>
    </w:p>
    <w:p>
      <w:pPr>
        <w:spacing w:after="80" w:line="276" w:lineRule="auto"/>
      </w:pPr>
      <w:r>
        <w:rPr>
          <w:rFonts w:ascii="Calibri" w:hAnsi="Calibri"/>
          <w:color w:val="1E293B"/>
          <w:sz w:val="22"/>
        </w:rPr>
        <w:t>Cost of other raw materials and</w:t>
      </w:r>
    </w:p>
    <w:p>
      <w:pPr>
        <w:spacing w:after="80" w:line="276" w:lineRule="auto"/>
      </w:pPr>
      <w:r>
        <w:rPr>
          <w:rFonts w:ascii="Calibri" w:hAnsi="Calibri"/>
          <w:color w:val="1E293B"/>
          <w:sz w:val="22"/>
        </w:rPr>
        <w:t>components consumed (B)</w:t>
      </w:r>
    </w:p>
    <w:p>
      <w:pPr>
        <w:spacing w:after="80" w:line="276" w:lineRule="auto"/>
      </w:pPr>
      <w:r>
        <w:rPr>
          <w:rFonts w:ascii="Calibri" w:hAnsi="Calibri"/>
          <w:color w:val="1E293B"/>
          <w:sz w:val="22"/>
        </w:rPr>
        <w:t>203.18</w:t>
      </w:r>
    </w:p>
    <w:p>
      <w:pPr>
        <w:spacing w:after="80" w:line="276" w:lineRule="auto"/>
      </w:pPr>
      <w:r>
        <w:rPr>
          <w:rFonts w:ascii="Calibri" w:hAnsi="Calibri"/>
          <w:color w:val="1E293B"/>
          <w:sz w:val="22"/>
        </w:rPr>
        <w:t>3.99%</w:t>
      </w:r>
    </w:p>
    <w:p>
      <w:pPr>
        <w:spacing w:after="80" w:line="276" w:lineRule="auto"/>
      </w:pPr>
      <w:r>
        <w:rPr>
          <w:rFonts w:ascii="Calibri" w:hAnsi="Calibri"/>
          <w:color w:val="1E293B"/>
          <w:sz w:val="22"/>
        </w:rPr>
        <w:t>748.23</w:t>
      </w:r>
    </w:p>
    <w:p>
      <w:pPr>
        <w:spacing w:after="80" w:line="276" w:lineRule="auto"/>
      </w:pPr>
      <w:r>
        <w:rPr>
          <w:rFonts w:ascii="Calibri" w:hAnsi="Calibri"/>
          <w:color w:val="1E293B"/>
          <w:sz w:val="22"/>
        </w:rPr>
        <w:t>4.30%</w:t>
      </w:r>
    </w:p>
    <w:p>
      <w:pPr>
        <w:spacing w:after="80" w:line="276" w:lineRule="auto"/>
      </w:pPr>
      <w:r>
        <w:rPr>
          <w:rFonts w:ascii="Calibri" w:hAnsi="Calibri"/>
          <w:color w:val="1E293B"/>
          <w:sz w:val="22"/>
        </w:rPr>
        <w:t>628.85</w:t>
      </w:r>
    </w:p>
    <w:p>
      <w:pPr>
        <w:spacing w:after="80" w:line="276" w:lineRule="auto"/>
      </w:pPr>
      <w:r>
        <w:rPr>
          <w:rFonts w:ascii="Calibri" w:hAnsi="Calibri"/>
          <w:color w:val="1E293B"/>
          <w:sz w:val="22"/>
        </w:rPr>
        <w:t>5.03%</w:t>
      </w:r>
    </w:p>
    <w:p>
      <w:pPr>
        <w:spacing w:after="80" w:line="276" w:lineRule="auto"/>
      </w:pPr>
      <w:r>
        <w:rPr>
          <w:rFonts w:ascii="Calibri" w:hAnsi="Calibri"/>
          <w:color w:val="1E293B"/>
          <w:sz w:val="22"/>
        </w:rPr>
        <w:t>492.56</w:t>
      </w:r>
    </w:p>
    <w:p>
      <w:pPr>
        <w:spacing w:after="80" w:line="276" w:lineRule="auto"/>
      </w:pPr>
      <w:r>
        <w:rPr>
          <w:rFonts w:ascii="Calibri" w:hAnsi="Calibri"/>
          <w:color w:val="1E293B"/>
          <w:sz w:val="22"/>
        </w:rPr>
        <w:t>5.21%</w:t>
      </w:r>
    </w:p>
    <w:p>
      <w:pPr>
        <w:spacing w:after="80" w:line="276" w:lineRule="auto"/>
      </w:pPr>
      <w:r>
        <w:rPr>
          <w:rFonts w:ascii="Calibri" w:hAnsi="Calibri"/>
          <w:color w:val="1E293B"/>
          <w:sz w:val="22"/>
        </w:rPr>
        <w:t>Total cost of raw materials</w:t>
      </w:r>
    </w:p>
    <w:p>
      <w:pPr>
        <w:spacing w:after="80" w:line="276" w:lineRule="auto"/>
      </w:pPr>
      <w:r>
        <w:rPr>
          <w:rFonts w:ascii="Calibri" w:hAnsi="Calibri"/>
          <w:color w:val="1E293B"/>
          <w:sz w:val="22"/>
        </w:rPr>
        <w:t>and</w:t>
      </w:r>
    </w:p>
    <w:p>
      <w:pPr>
        <w:spacing w:after="80" w:line="276" w:lineRule="auto"/>
      </w:pPr>
      <w:r>
        <w:rPr>
          <w:rFonts w:ascii="Calibri" w:hAnsi="Calibri"/>
          <w:color w:val="1E293B"/>
          <w:sz w:val="22"/>
        </w:rPr>
        <w:t>5,094.36</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17,418.18</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12,514.10</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9,449.56</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Particulars</w:t>
      </w:r>
    </w:p>
    <w:p>
      <w:pPr>
        <w:spacing w:after="80" w:line="276" w:lineRule="auto"/>
      </w:pPr>
      <w:r>
        <w:rPr>
          <w:rFonts w:ascii="Calibri" w:hAnsi="Calibri"/>
          <w:color w:val="1E293B"/>
          <w:sz w:val="22"/>
        </w:rPr>
        <w:t>Three-monthperiod ended June 30, 2025</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Amount (₹</w:t>
      </w:r>
    </w:p>
    <w:p>
      <w:pPr>
        <w:spacing w:after="80" w:line="276" w:lineRule="auto"/>
      </w:pPr>
      <w:r>
        <w:rPr>
          <w:rFonts w:ascii="Calibri" w:hAnsi="Calibri"/>
          <w:color w:val="1E293B"/>
          <w:sz w:val="22"/>
        </w:rPr>
        <w:t>in million)</w:t>
      </w:r>
    </w:p>
    <w:p>
      <w:pPr>
        <w:spacing w:after="80" w:line="276" w:lineRule="auto"/>
      </w:pPr>
      <w:r>
        <w:rPr>
          <w:rFonts w:ascii="Calibri" w:hAnsi="Calibri"/>
          <w:color w:val="1E293B"/>
          <w:sz w:val="22"/>
        </w:rPr>
        <w:t>% of total expenses</w:t>
      </w:r>
    </w:p>
    <w:p>
      <w:pPr>
        <w:spacing w:after="80" w:line="276" w:lineRule="auto"/>
      </w:pPr>
      <w:r>
        <w:rPr>
          <w:rFonts w:ascii="Calibri" w:hAnsi="Calibri"/>
          <w:color w:val="1E293B"/>
          <w:sz w:val="22"/>
        </w:rPr>
        <w:t>Amount (₹</w:t>
      </w:r>
    </w:p>
    <w:p>
      <w:pPr>
        <w:spacing w:after="80" w:line="276" w:lineRule="auto"/>
      </w:pPr>
      <w:r>
        <w:rPr>
          <w:rFonts w:ascii="Calibri" w:hAnsi="Calibri"/>
          <w:color w:val="1E293B"/>
          <w:sz w:val="22"/>
        </w:rPr>
        <w:t>in million)</w:t>
      </w:r>
    </w:p>
    <w:p>
      <w:pPr>
        <w:spacing w:after="80" w:line="276" w:lineRule="auto"/>
      </w:pPr>
      <w:r>
        <w:rPr>
          <w:rFonts w:ascii="Calibri" w:hAnsi="Calibri"/>
          <w:color w:val="1E293B"/>
          <w:sz w:val="22"/>
        </w:rPr>
        <w:t>% of total expenses</w:t>
      </w:r>
    </w:p>
    <w:p>
      <w:pPr>
        <w:spacing w:after="80" w:line="276" w:lineRule="auto"/>
      </w:pPr>
      <w:r>
        <w:rPr>
          <w:rFonts w:ascii="Calibri" w:hAnsi="Calibri"/>
          <w:color w:val="1E293B"/>
          <w:sz w:val="22"/>
        </w:rPr>
        <w:t>Amount (₹</w:t>
      </w:r>
    </w:p>
    <w:p>
      <w:pPr>
        <w:spacing w:after="80" w:line="276" w:lineRule="auto"/>
      </w:pPr>
      <w:r>
        <w:rPr>
          <w:rFonts w:ascii="Calibri" w:hAnsi="Calibri"/>
          <w:color w:val="1E293B"/>
          <w:sz w:val="22"/>
        </w:rPr>
        <w:t>in million)</w:t>
      </w:r>
    </w:p>
    <w:p>
      <w:pPr>
        <w:spacing w:after="80" w:line="276" w:lineRule="auto"/>
      </w:pPr>
      <w:r>
        <w:rPr>
          <w:rFonts w:ascii="Calibri" w:hAnsi="Calibri"/>
          <w:color w:val="1E293B"/>
          <w:sz w:val="22"/>
        </w:rPr>
        <w:t>% of total expenses</w:t>
      </w:r>
    </w:p>
    <w:p>
      <w:pPr>
        <w:spacing w:after="80" w:line="276" w:lineRule="auto"/>
      </w:pPr>
      <w:r>
        <w:rPr>
          <w:rFonts w:ascii="Calibri" w:hAnsi="Calibri"/>
          <w:color w:val="1E293B"/>
          <w:sz w:val="22"/>
        </w:rPr>
        <w:t>Amount (₹</w:t>
      </w:r>
    </w:p>
    <w:p>
      <w:pPr>
        <w:spacing w:after="80" w:line="276" w:lineRule="auto"/>
      </w:pPr>
      <w:r>
        <w:rPr>
          <w:rFonts w:ascii="Calibri" w:hAnsi="Calibri"/>
          <w:color w:val="1E293B"/>
          <w:sz w:val="22"/>
        </w:rPr>
        <w:t>in million)</w:t>
      </w:r>
    </w:p>
    <w:p>
      <w:pPr>
        <w:spacing w:after="80" w:line="276" w:lineRule="auto"/>
      </w:pPr>
      <w:r>
        <w:rPr>
          <w:rFonts w:ascii="Calibri" w:hAnsi="Calibri"/>
          <w:color w:val="1E293B"/>
          <w:sz w:val="22"/>
        </w:rPr>
        <w:t>% of total expenses</w:t>
      </w:r>
    </w:p>
    <w:p>
      <w:pPr>
        <w:spacing w:after="80" w:line="276" w:lineRule="auto"/>
      </w:pPr>
      <w:r>
        <w:rPr>
          <w:rFonts w:ascii="Calibri" w:hAnsi="Calibri"/>
          <w:color w:val="1E293B"/>
          <w:sz w:val="22"/>
        </w:rPr>
        <w:t>components consumed</w:t>
      </w:r>
    </w:p>
    <w:p>
      <w:pPr>
        <w:spacing w:after="80" w:line="276" w:lineRule="auto"/>
      </w:pPr>
      <w:r>
        <w:rPr>
          <w:rFonts w:ascii="Calibri" w:hAnsi="Calibri"/>
          <w:color w:val="1E293B"/>
          <w:sz w:val="22"/>
        </w:rPr>
        <w:t>(A+B)</w:t>
      </w:r>
    </w:p>
    <w:p>
      <w:pPr>
        <w:spacing w:after="80" w:line="276" w:lineRule="auto"/>
      </w:pPr>
      <w:r>
        <w:rPr>
          <w:rFonts w:ascii="Calibri" w:hAnsi="Calibri"/>
          <w:color w:val="1E293B"/>
          <w:sz w:val="22"/>
        </w:rPr>
        <w:t>In addition to supply challenges, the cost of raw materials is subject to market fluctuations driven by inflation, foreign exchange rate volatility, and changes in government policies, such as tariffs and environmental regulations. The table below sets forth details of the suppliers from within and outside India and percentage of total expenses towards such suppliers in the period/ Fiscals indicated:</w:t>
      </w:r>
    </w:p>
    <w:p>
      <w:pPr>
        <w:spacing w:after="80" w:line="276" w:lineRule="auto"/>
      </w:pPr>
      <w:r>
        <w:rPr>
          <w:rFonts w:ascii="Calibri" w:hAnsi="Calibri"/>
          <w:color w:val="1E293B"/>
          <w:sz w:val="22"/>
        </w:rPr>
        <w:t>Particulars</w:t>
      </w:r>
    </w:p>
    <w:p>
      <w:pPr>
        <w:spacing w:after="80" w:line="276" w:lineRule="auto"/>
      </w:pPr>
      <w:r>
        <w:rPr>
          <w:rFonts w:ascii="Calibri" w:hAnsi="Calibri"/>
          <w:color w:val="1E293B"/>
          <w:sz w:val="22"/>
        </w:rPr>
        <w:t>Three-month period ended June 30, 2025</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Amount</w:t>
      </w:r>
    </w:p>
    <w:p>
      <w:pPr>
        <w:spacing w:after="80" w:line="276" w:lineRule="auto"/>
      </w:pPr>
      <w:r>
        <w:rPr>
          <w:rFonts w:ascii="Calibri" w:hAnsi="Calibri"/>
          <w:color w:val="1E293B"/>
          <w:sz w:val="22"/>
        </w:rPr>
        <w:t>(₹ in million)</w:t>
      </w:r>
    </w:p>
    <w:p>
      <w:pPr>
        <w:spacing w:after="80" w:line="276" w:lineRule="auto"/>
      </w:pPr>
      <w:r>
        <w:rPr>
          <w:rFonts w:ascii="Calibri" w:hAnsi="Calibri"/>
          <w:color w:val="1E293B"/>
          <w:sz w:val="22"/>
        </w:rPr>
        <w:t>% of expenses</w:t>
      </w:r>
    </w:p>
    <w:p>
      <w:pPr>
        <w:spacing w:after="80" w:line="276" w:lineRule="auto"/>
      </w:pPr>
      <w:r>
        <w:rPr>
          <w:rFonts w:ascii="Calibri" w:hAnsi="Calibri"/>
          <w:color w:val="1E293B"/>
          <w:sz w:val="22"/>
        </w:rPr>
        <w:t>Amount</w:t>
      </w:r>
    </w:p>
    <w:p>
      <w:pPr>
        <w:spacing w:after="80" w:line="276" w:lineRule="auto"/>
      </w:pPr>
      <w:r>
        <w:rPr>
          <w:rFonts w:ascii="Calibri" w:hAnsi="Calibri"/>
          <w:color w:val="1E293B"/>
          <w:sz w:val="22"/>
        </w:rPr>
        <w:t>(₹ in</w:t>
      </w:r>
    </w:p>
    <w:p>
      <w:pPr>
        <w:spacing w:after="80" w:line="276" w:lineRule="auto"/>
      </w:pPr>
      <w:r>
        <w:rPr>
          <w:rFonts w:ascii="Calibri" w:hAnsi="Calibri"/>
          <w:color w:val="1E293B"/>
          <w:sz w:val="22"/>
        </w:rPr>
        <w:t>million)</w:t>
      </w:r>
    </w:p>
    <w:p>
      <w:pPr>
        <w:spacing w:after="80" w:line="276" w:lineRule="auto"/>
      </w:pPr>
      <w:r>
        <w:rPr>
          <w:rFonts w:ascii="Calibri" w:hAnsi="Calibri"/>
          <w:color w:val="1E293B"/>
          <w:sz w:val="22"/>
        </w:rPr>
        <w:t>% of expenses</w:t>
      </w:r>
    </w:p>
    <w:p>
      <w:pPr>
        <w:spacing w:after="80" w:line="276" w:lineRule="auto"/>
      </w:pPr>
      <w:r>
        <w:rPr>
          <w:rFonts w:ascii="Calibri" w:hAnsi="Calibri"/>
          <w:color w:val="1E293B"/>
          <w:sz w:val="22"/>
        </w:rPr>
        <w:t>Amount</w:t>
      </w:r>
    </w:p>
    <w:p>
      <w:pPr>
        <w:spacing w:after="80" w:line="276" w:lineRule="auto"/>
      </w:pPr>
      <w:r>
        <w:rPr>
          <w:rFonts w:ascii="Calibri" w:hAnsi="Calibri"/>
          <w:color w:val="1E293B"/>
          <w:sz w:val="22"/>
        </w:rPr>
        <w:t>(₹ in million)</w:t>
      </w:r>
    </w:p>
    <w:p>
      <w:pPr>
        <w:spacing w:after="80" w:line="276" w:lineRule="auto"/>
      </w:pPr>
      <w:r>
        <w:rPr>
          <w:rFonts w:ascii="Calibri" w:hAnsi="Calibri"/>
          <w:color w:val="1E293B"/>
          <w:sz w:val="22"/>
        </w:rPr>
        <w:t>% of expenses</w:t>
      </w:r>
    </w:p>
    <w:p>
      <w:pPr>
        <w:spacing w:after="80" w:line="276" w:lineRule="auto"/>
      </w:pPr>
      <w:r>
        <w:rPr>
          <w:rFonts w:ascii="Calibri" w:hAnsi="Calibri"/>
          <w:color w:val="1E293B"/>
          <w:sz w:val="22"/>
        </w:rPr>
        <w:t>Amount</w:t>
      </w:r>
    </w:p>
    <w:p>
      <w:pPr>
        <w:spacing w:after="80" w:line="276" w:lineRule="auto"/>
      </w:pPr>
      <w:r>
        <w:rPr>
          <w:rFonts w:ascii="Calibri" w:hAnsi="Calibri"/>
          <w:color w:val="1E293B"/>
          <w:sz w:val="22"/>
        </w:rPr>
        <w:t>(₹ in</w:t>
      </w:r>
    </w:p>
    <w:p>
      <w:pPr>
        <w:spacing w:after="80" w:line="276" w:lineRule="auto"/>
      </w:pPr>
      <w:r>
        <w:rPr>
          <w:rFonts w:ascii="Calibri" w:hAnsi="Calibri"/>
          <w:color w:val="1E293B"/>
          <w:sz w:val="22"/>
        </w:rPr>
        <w:t>million)</w:t>
      </w:r>
    </w:p>
    <w:p>
      <w:pPr>
        <w:spacing w:after="80" w:line="276" w:lineRule="auto"/>
      </w:pPr>
      <w:r>
        <w:rPr>
          <w:rFonts w:ascii="Calibri" w:hAnsi="Calibri"/>
          <w:color w:val="1E293B"/>
          <w:sz w:val="22"/>
        </w:rPr>
        <w:t>% of expenses</w:t>
      </w:r>
    </w:p>
    <w:p>
      <w:pPr>
        <w:spacing w:after="80" w:line="276" w:lineRule="auto"/>
      </w:pPr>
      <w:r>
        <w:rPr>
          <w:rFonts w:ascii="Calibri" w:hAnsi="Calibri"/>
          <w:color w:val="1E293B"/>
          <w:sz w:val="22"/>
        </w:rPr>
        <w:t>Domestic suppliers</w:t>
      </w:r>
    </w:p>
    <w:p>
      <w:pPr>
        <w:spacing w:after="80" w:line="276" w:lineRule="auto"/>
      </w:pPr>
      <w:r>
        <w:rPr>
          <w:rFonts w:ascii="Calibri" w:hAnsi="Calibri"/>
          <w:color w:val="1E293B"/>
          <w:sz w:val="22"/>
        </w:rPr>
        <w:t>2,800.29</w:t>
      </w:r>
    </w:p>
    <w:p>
      <w:pPr>
        <w:spacing w:after="80" w:line="276" w:lineRule="auto"/>
      </w:pPr>
      <w:r>
        <w:rPr>
          <w:rFonts w:ascii="Calibri" w:hAnsi="Calibri"/>
          <w:color w:val="1E293B"/>
          <w:sz w:val="22"/>
        </w:rPr>
        <w:t>54.97%</w:t>
      </w:r>
    </w:p>
    <w:p>
      <w:pPr>
        <w:spacing w:after="80" w:line="276" w:lineRule="auto"/>
      </w:pPr>
      <w:r>
        <w:rPr>
          <w:rFonts w:ascii="Calibri" w:hAnsi="Calibri"/>
          <w:color w:val="1E293B"/>
          <w:sz w:val="22"/>
        </w:rPr>
        <w:t>10,671.66</w:t>
      </w:r>
    </w:p>
    <w:p>
      <w:pPr>
        <w:spacing w:after="80" w:line="276" w:lineRule="auto"/>
      </w:pPr>
      <w:r>
        <w:rPr>
          <w:rFonts w:ascii="Calibri" w:hAnsi="Calibri"/>
          <w:color w:val="1E293B"/>
          <w:sz w:val="22"/>
        </w:rPr>
        <w:t>61.27%</w:t>
      </w:r>
    </w:p>
    <w:p>
      <w:pPr>
        <w:spacing w:after="80" w:line="276" w:lineRule="auto"/>
      </w:pPr>
      <w:r>
        <w:rPr>
          <w:rFonts w:ascii="Calibri" w:hAnsi="Calibri"/>
          <w:color w:val="1E293B"/>
          <w:sz w:val="22"/>
        </w:rPr>
        <w:t>9,837.40</w:t>
      </w:r>
    </w:p>
    <w:p>
      <w:pPr>
        <w:spacing w:after="80" w:line="276" w:lineRule="auto"/>
      </w:pPr>
      <w:r>
        <w:rPr>
          <w:rFonts w:ascii="Calibri" w:hAnsi="Calibri"/>
          <w:color w:val="1E293B"/>
          <w:sz w:val="22"/>
        </w:rPr>
        <w:t>78.61%</w:t>
      </w:r>
    </w:p>
    <w:p>
      <w:pPr>
        <w:spacing w:after="80" w:line="276" w:lineRule="auto"/>
      </w:pPr>
      <w:r>
        <w:rPr>
          <w:rFonts w:ascii="Calibri" w:hAnsi="Calibri"/>
          <w:color w:val="1E293B"/>
          <w:sz w:val="22"/>
        </w:rPr>
        <w:t>6,472.40</w:t>
      </w:r>
    </w:p>
    <w:p>
      <w:pPr>
        <w:spacing w:after="80" w:line="276" w:lineRule="auto"/>
      </w:pPr>
      <w:r>
        <w:rPr>
          <w:rFonts w:ascii="Calibri" w:hAnsi="Calibri"/>
          <w:color w:val="1E293B"/>
          <w:sz w:val="22"/>
        </w:rPr>
        <w:t>68.49%</w:t>
      </w:r>
    </w:p>
    <w:p>
      <w:pPr>
        <w:spacing w:after="80" w:line="276" w:lineRule="auto"/>
      </w:pPr>
      <w:r>
        <w:rPr>
          <w:rFonts w:ascii="Calibri" w:hAnsi="Calibri"/>
          <w:color w:val="1E293B"/>
          <w:sz w:val="22"/>
        </w:rPr>
        <w:t>Suppliers from outside</w:t>
      </w:r>
    </w:p>
    <w:p>
      <w:pPr>
        <w:spacing w:after="80" w:line="276" w:lineRule="auto"/>
      </w:pPr>
      <w:r>
        <w:rPr>
          <w:rFonts w:ascii="Calibri" w:hAnsi="Calibri"/>
          <w:color w:val="1E293B"/>
          <w:sz w:val="22"/>
        </w:rPr>
        <w:t>India</w:t>
      </w:r>
    </w:p>
    <w:p>
      <w:pPr>
        <w:spacing w:after="80" w:line="276" w:lineRule="auto"/>
      </w:pPr>
      <w:r>
        <w:rPr>
          <w:rFonts w:ascii="Calibri" w:hAnsi="Calibri"/>
          <w:color w:val="1E293B"/>
          <w:sz w:val="22"/>
        </w:rPr>
        <w:t>2,294.06</w:t>
      </w:r>
    </w:p>
    <w:p>
      <w:pPr>
        <w:spacing w:after="80" w:line="276" w:lineRule="auto"/>
      </w:pPr>
      <w:r>
        <w:rPr>
          <w:rFonts w:ascii="Calibri" w:hAnsi="Calibri"/>
          <w:color w:val="1E293B"/>
          <w:sz w:val="22"/>
        </w:rPr>
        <w:t>45.03%</w:t>
      </w:r>
    </w:p>
    <w:p>
      <w:pPr>
        <w:spacing w:after="80" w:line="276" w:lineRule="auto"/>
      </w:pPr>
      <w:r>
        <w:rPr>
          <w:rFonts w:ascii="Calibri" w:hAnsi="Calibri"/>
          <w:color w:val="1E293B"/>
          <w:sz w:val="22"/>
        </w:rPr>
        <w:t>6,746.51</w:t>
      </w:r>
    </w:p>
    <w:p>
      <w:pPr>
        <w:spacing w:after="80" w:line="276" w:lineRule="auto"/>
      </w:pPr>
      <w:r>
        <w:rPr>
          <w:rFonts w:ascii="Calibri" w:hAnsi="Calibri"/>
          <w:color w:val="1E293B"/>
          <w:sz w:val="22"/>
        </w:rPr>
        <w:t>38.73%</w:t>
      </w:r>
    </w:p>
    <w:p>
      <w:pPr>
        <w:spacing w:after="80" w:line="276" w:lineRule="auto"/>
      </w:pPr>
      <w:r>
        <w:rPr>
          <w:rFonts w:ascii="Calibri" w:hAnsi="Calibri"/>
          <w:color w:val="1E293B"/>
          <w:sz w:val="22"/>
        </w:rPr>
        <w:t>2,676.70</w:t>
      </w:r>
    </w:p>
    <w:p>
      <w:pPr>
        <w:spacing w:after="80" w:line="276" w:lineRule="auto"/>
      </w:pPr>
      <w:r>
        <w:rPr>
          <w:rFonts w:ascii="Calibri" w:hAnsi="Calibri"/>
          <w:color w:val="1E293B"/>
          <w:sz w:val="22"/>
        </w:rPr>
        <w:t>21.39%</w:t>
      </w:r>
    </w:p>
    <w:p>
      <w:pPr>
        <w:spacing w:after="80" w:line="276" w:lineRule="auto"/>
      </w:pPr>
      <w:r>
        <w:rPr>
          <w:rFonts w:ascii="Calibri" w:hAnsi="Calibri"/>
          <w:color w:val="1E293B"/>
          <w:sz w:val="22"/>
        </w:rPr>
        <w:t>2,977.16</w:t>
      </w:r>
    </w:p>
    <w:p>
      <w:pPr>
        <w:spacing w:after="80" w:line="276" w:lineRule="auto"/>
      </w:pPr>
      <w:r>
        <w:rPr>
          <w:rFonts w:ascii="Calibri" w:hAnsi="Calibri"/>
          <w:color w:val="1E293B"/>
          <w:sz w:val="22"/>
        </w:rPr>
        <w:t>31.51%</w:t>
      </w:r>
    </w:p>
    <w:p>
      <w:pPr>
        <w:spacing w:after="80" w:line="276" w:lineRule="auto"/>
      </w:pPr>
      <w:r>
        <w:rPr>
          <w:rFonts w:ascii="Calibri" w:hAnsi="Calibri"/>
          <w:color w:val="1E293B"/>
          <w:sz w:val="22"/>
        </w:rPr>
        <w:t>Total</w:t>
      </w:r>
    </w:p>
    <w:p>
      <w:pPr>
        <w:spacing w:after="80" w:line="276" w:lineRule="auto"/>
      </w:pPr>
      <w:r>
        <w:rPr>
          <w:rFonts w:ascii="Calibri" w:hAnsi="Calibri"/>
          <w:color w:val="1E293B"/>
          <w:sz w:val="22"/>
        </w:rPr>
        <w:t>5,094.36</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17,418.18</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12,514.10</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9,449.56</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Set out below is the contribution of our suppliers from Gujarat and in UAE for the three-month period ended June 30, 2025, and Fiscals 2025, 2024, and 2023:</w:t>
      </w:r>
    </w:p>
    <w:p>
      <w:pPr>
        <w:spacing w:after="80" w:line="276" w:lineRule="auto"/>
      </w:pPr>
      <w:r>
        <w:rPr>
          <w:rFonts w:ascii="Calibri" w:hAnsi="Calibri"/>
          <w:color w:val="1E293B"/>
          <w:sz w:val="22"/>
        </w:rPr>
        <w:t>Particulars</w:t>
      </w:r>
    </w:p>
    <w:p>
      <w:pPr>
        <w:spacing w:after="80" w:line="276" w:lineRule="auto"/>
      </w:pPr>
      <w:r>
        <w:rPr>
          <w:rFonts w:ascii="Calibri" w:hAnsi="Calibri"/>
          <w:color w:val="1E293B"/>
          <w:sz w:val="22"/>
        </w:rPr>
        <w:t>Three-month period ended June 30, 2025</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Amount (₹ in million)</w:t>
      </w:r>
    </w:p>
    <w:p>
      <w:pPr>
        <w:spacing w:after="80" w:line="276" w:lineRule="auto"/>
      </w:pPr>
      <w:r>
        <w:rPr>
          <w:rFonts w:ascii="Calibri" w:hAnsi="Calibri"/>
          <w:color w:val="1E293B"/>
          <w:sz w:val="22"/>
        </w:rPr>
        <w:t>% of total cost of raw materials and components purchased</w:t>
      </w:r>
    </w:p>
    <w:p>
      <w:pPr>
        <w:spacing w:after="80" w:line="276" w:lineRule="auto"/>
      </w:pPr>
      <w:r>
        <w:rPr>
          <w:rFonts w:ascii="Calibri" w:hAnsi="Calibri"/>
          <w:color w:val="1E293B"/>
          <w:sz w:val="22"/>
        </w:rPr>
        <w:t>Amount (₹ in million)</w:t>
      </w:r>
    </w:p>
    <w:p>
      <w:pPr>
        <w:spacing w:after="80" w:line="276" w:lineRule="auto"/>
      </w:pPr>
      <w:r>
        <w:rPr>
          <w:rFonts w:ascii="Calibri" w:hAnsi="Calibri"/>
          <w:color w:val="1E293B"/>
          <w:sz w:val="22"/>
        </w:rPr>
        <w:t>% of total cost of raw materials and components purchased</w:t>
      </w:r>
    </w:p>
    <w:p>
      <w:pPr>
        <w:spacing w:after="80" w:line="276" w:lineRule="auto"/>
      </w:pPr>
      <w:r>
        <w:rPr>
          <w:rFonts w:ascii="Calibri" w:hAnsi="Calibri"/>
          <w:color w:val="1E293B"/>
          <w:sz w:val="22"/>
        </w:rPr>
        <w:t>Amount (₹ in million)</w:t>
      </w:r>
    </w:p>
    <w:p>
      <w:pPr>
        <w:spacing w:after="80" w:line="276" w:lineRule="auto"/>
      </w:pPr>
      <w:r>
        <w:rPr>
          <w:rFonts w:ascii="Calibri" w:hAnsi="Calibri"/>
          <w:color w:val="1E293B"/>
          <w:sz w:val="22"/>
        </w:rPr>
        <w:t>% of total cost of raw materials and components purchased</w:t>
      </w:r>
    </w:p>
    <w:p>
      <w:pPr>
        <w:spacing w:after="80" w:line="276" w:lineRule="auto"/>
      </w:pPr>
      <w:r>
        <w:rPr>
          <w:rFonts w:ascii="Calibri" w:hAnsi="Calibri"/>
          <w:color w:val="1E293B"/>
          <w:sz w:val="22"/>
        </w:rPr>
        <w:t>Amount (₹ in million)</w:t>
      </w:r>
    </w:p>
    <w:p>
      <w:pPr>
        <w:spacing w:after="80" w:line="276" w:lineRule="auto"/>
      </w:pPr>
      <w:r>
        <w:rPr>
          <w:rFonts w:ascii="Calibri" w:hAnsi="Calibri"/>
          <w:color w:val="1E293B"/>
          <w:sz w:val="22"/>
        </w:rPr>
        <w:t>% of total cost of raw materials and components</w:t>
      </w:r>
    </w:p>
    <w:p>
      <w:pPr>
        <w:spacing w:after="80" w:line="276" w:lineRule="auto"/>
      </w:pPr>
      <w:r>
        <w:rPr>
          <w:rFonts w:ascii="Calibri" w:hAnsi="Calibri"/>
          <w:color w:val="1E293B"/>
          <w:sz w:val="22"/>
        </w:rPr>
        <w:t>purchased</w:t>
      </w:r>
    </w:p>
    <w:p>
      <w:pPr>
        <w:spacing w:after="80" w:line="276" w:lineRule="auto"/>
      </w:pPr>
      <w:r>
        <w:rPr>
          <w:rFonts w:ascii="Calibri" w:hAnsi="Calibri"/>
          <w:color w:val="1E293B"/>
          <w:sz w:val="22"/>
        </w:rPr>
        <w:t>Gujarat</w:t>
      </w:r>
    </w:p>
    <w:p>
      <w:pPr>
        <w:spacing w:after="80" w:line="276" w:lineRule="auto"/>
      </w:pPr>
      <w:r>
        <w:rPr>
          <w:rFonts w:ascii="Calibri" w:hAnsi="Calibri"/>
          <w:color w:val="1E293B"/>
          <w:sz w:val="22"/>
        </w:rPr>
        <w:t>225.95</w:t>
      </w:r>
    </w:p>
    <w:p>
      <w:pPr>
        <w:spacing w:after="80" w:line="276" w:lineRule="auto"/>
      </w:pPr>
      <w:r>
        <w:rPr>
          <w:rFonts w:ascii="Calibri" w:hAnsi="Calibri"/>
          <w:color w:val="1E293B"/>
          <w:sz w:val="22"/>
        </w:rPr>
        <w:t>4.41%</w:t>
      </w:r>
    </w:p>
    <w:p>
      <w:pPr>
        <w:spacing w:after="80" w:line="276" w:lineRule="auto"/>
      </w:pPr>
      <w:r>
        <w:rPr>
          <w:rFonts w:ascii="Calibri" w:hAnsi="Calibri"/>
          <w:color w:val="1E293B"/>
          <w:sz w:val="22"/>
        </w:rPr>
        <w:t>8,698.99</w:t>
      </w:r>
    </w:p>
    <w:p>
      <w:pPr>
        <w:spacing w:after="80" w:line="276" w:lineRule="auto"/>
      </w:pPr>
      <w:r>
        <w:rPr>
          <w:rFonts w:ascii="Calibri" w:hAnsi="Calibri"/>
          <w:color w:val="1E293B"/>
          <w:sz w:val="22"/>
        </w:rPr>
        <w:t>48.88%</w:t>
      </w:r>
    </w:p>
    <w:p>
      <w:pPr>
        <w:spacing w:after="80" w:line="276" w:lineRule="auto"/>
      </w:pPr>
      <w:r>
        <w:rPr>
          <w:rFonts w:ascii="Calibri" w:hAnsi="Calibri"/>
          <w:color w:val="1E293B"/>
          <w:sz w:val="22"/>
        </w:rPr>
        <w:t>7,578.49</w:t>
      </w:r>
    </w:p>
    <w:p>
      <w:pPr>
        <w:spacing w:after="80" w:line="276" w:lineRule="auto"/>
      </w:pPr>
      <w:r>
        <w:rPr>
          <w:rFonts w:ascii="Calibri" w:hAnsi="Calibri"/>
          <w:color w:val="1E293B"/>
          <w:sz w:val="22"/>
        </w:rPr>
        <w:t>60.37%</w:t>
      </w:r>
    </w:p>
    <w:p>
      <w:pPr>
        <w:spacing w:after="80" w:line="276" w:lineRule="auto"/>
      </w:pPr>
      <w:r>
        <w:rPr>
          <w:rFonts w:ascii="Calibri" w:hAnsi="Calibri"/>
          <w:color w:val="1E293B"/>
          <w:sz w:val="22"/>
        </w:rPr>
        <w:t>2,977.48</w:t>
      </w:r>
    </w:p>
    <w:p>
      <w:pPr>
        <w:spacing w:after="80" w:line="276" w:lineRule="auto"/>
      </w:pPr>
      <w:r>
        <w:rPr>
          <w:rFonts w:ascii="Calibri" w:hAnsi="Calibri"/>
          <w:color w:val="1E293B"/>
          <w:sz w:val="22"/>
        </w:rPr>
        <w:t>31.51%</w:t>
      </w:r>
    </w:p>
    <w:p>
      <w:pPr>
        <w:spacing w:after="80" w:line="276" w:lineRule="auto"/>
      </w:pPr>
      <w:r>
        <w:rPr>
          <w:rFonts w:ascii="Calibri" w:hAnsi="Calibri"/>
          <w:color w:val="1E293B"/>
          <w:sz w:val="22"/>
        </w:rPr>
        <w:t>UAE</w:t>
      </w:r>
    </w:p>
    <w:p>
      <w:pPr>
        <w:spacing w:after="80" w:line="276" w:lineRule="auto"/>
      </w:pPr>
      <w:r>
        <w:rPr>
          <w:rFonts w:ascii="Calibri" w:hAnsi="Calibri"/>
          <w:color w:val="1E293B"/>
          <w:sz w:val="22"/>
        </w:rPr>
        <w:t>2,119.68</w:t>
      </w:r>
    </w:p>
    <w:p>
      <w:pPr>
        <w:spacing w:after="80" w:line="276" w:lineRule="auto"/>
      </w:pPr>
      <w:r>
        <w:rPr>
          <w:rFonts w:ascii="Calibri" w:hAnsi="Calibri"/>
          <w:color w:val="1E293B"/>
          <w:sz w:val="22"/>
        </w:rPr>
        <w:t>41.41%</w:t>
      </w:r>
    </w:p>
    <w:p>
      <w:pPr>
        <w:spacing w:after="80" w:line="276" w:lineRule="auto"/>
      </w:pPr>
      <w:r>
        <w:rPr>
          <w:rFonts w:ascii="Calibri" w:hAnsi="Calibri"/>
          <w:color w:val="1E293B"/>
          <w:sz w:val="22"/>
        </w:rPr>
        <w:t>6,856.58</w:t>
      </w:r>
    </w:p>
    <w:p>
      <w:pPr>
        <w:spacing w:after="80" w:line="276" w:lineRule="auto"/>
      </w:pPr>
      <w:r>
        <w:rPr>
          <w:rFonts w:ascii="Calibri" w:hAnsi="Calibri"/>
          <w:color w:val="1E293B"/>
          <w:sz w:val="22"/>
        </w:rPr>
        <w:t>38.52%</w:t>
      </w:r>
    </w:p>
    <w:p>
      <w:pPr>
        <w:spacing w:after="80" w:line="276" w:lineRule="auto"/>
      </w:pPr>
      <w:r>
        <w:rPr>
          <w:rFonts w:ascii="Calibri" w:hAnsi="Calibri"/>
          <w:color w:val="1E293B"/>
          <w:sz w:val="22"/>
        </w:rPr>
        <w:t>2,488.83</w:t>
      </w:r>
    </w:p>
    <w:p>
      <w:pPr>
        <w:spacing w:after="80" w:line="276" w:lineRule="auto"/>
      </w:pPr>
      <w:r>
        <w:rPr>
          <w:rFonts w:ascii="Calibri" w:hAnsi="Calibri"/>
          <w:color w:val="1E293B"/>
          <w:sz w:val="22"/>
        </w:rPr>
        <w:t>19.83%</w:t>
      </w:r>
    </w:p>
    <w:p>
      <w:pPr>
        <w:spacing w:after="80" w:line="276" w:lineRule="auto"/>
      </w:pPr>
      <w:r>
        <w:rPr>
          <w:rFonts w:ascii="Calibri" w:hAnsi="Calibri"/>
          <w:color w:val="1E293B"/>
          <w:sz w:val="22"/>
        </w:rPr>
        <w:t>2,970.67</w:t>
      </w:r>
    </w:p>
    <w:p>
      <w:pPr>
        <w:spacing w:after="80" w:line="276" w:lineRule="auto"/>
      </w:pPr>
      <w:r>
        <w:rPr>
          <w:rFonts w:ascii="Calibri" w:hAnsi="Calibri"/>
          <w:color w:val="1E293B"/>
          <w:sz w:val="22"/>
        </w:rPr>
        <w:t>31.44%</w:t>
      </w:r>
    </w:p>
    <w:p>
      <w:pPr>
        <w:spacing w:after="80" w:line="276" w:lineRule="auto"/>
      </w:pPr>
      <w:r>
        <w:rPr>
          <w:rFonts w:ascii="Calibri" w:hAnsi="Calibri"/>
          <w:color w:val="1E293B"/>
          <w:sz w:val="22"/>
        </w:rPr>
        <w:t>Total</w:t>
      </w:r>
    </w:p>
    <w:p>
      <w:pPr>
        <w:spacing w:after="80" w:line="276" w:lineRule="auto"/>
      </w:pPr>
      <w:r>
        <w:rPr>
          <w:rFonts w:ascii="Calibri" w:hAnsi="Calibri"/>
          <w:color w:val="1E293B"/>
          <w:sz w:val="22"/>
        </w:rPr>
        <w:t>2,345.63</w:t>
      </w:r>
    </w:p>
    <w:p>
      <w:pPr>
        <w:spacing w:after="80" w:line="276" w:lineRule="auto"/>
      </w:pPr>
      <w:r>
        <w:rPr>
          <w:rFonts w:ascii="Calibri" w:hAnsi="Calibri"/>
          <w:color w:val="1E293B"/>
          <w:sz w:val="22"/>
        </w:rPr>
        <w:t>45.82%</w:t>
      </w:r>
    </w:p>
    <w:p>
      <w:pPr>
        <w:spacing w:after="80" w:line="276" w:lineRule="auto"/>
      </w:pPr>
      <w:r>
        <w:rPr>
          <w:rFonts w:ascii="Calibri" w:hAnsi="Calibri"/>
          <w:color w:val="1E293B"/>
          <w:sz w:val="22"/>
        </w:rPr>
        <w:t>15,555.57</w:t>
      </w:r>
    </w:p>
    <w:p>
      <w:pPr>
        <w:spacing w:after="80" w:line="276" w:lineRule="auto"/>
      </w:pPr>
      <w:r>
        <w:rPr>
          <w:rFonts w:ascii="Calibri" w:hAnsi="Calibri"/>
          <w:color w:val="1E293B"/>
          <w:sz w:val="22"/>
        </w:rPr>
        <w:t>87.40%</w:t>
      </w:r>
    </w:p>
    <w:p>
      <w:pPr>
        <w:spacing w:after="80" w:line="276" w:lineRule="auto"/>
      </w:pPr>
      <w:r>
        <w:rPr>
          <w:rFonts w:ascii="Calibri" w:hAnsi="Calibri"/>
          <w:color w:val="1E293B"/>
          <w:sz w:val="22"/>
        </w:rPr>
        <w:t>10,067.32</w:t>
      </w:r>
    </w:p>
    <w:p>
      <w:pPr>
        <w:spacing w:after="80" w:line="276" w:lineRule="auto"/>
      </w:pPr>
      <w:r>
        <w:rPr>
          <w:rFonts w:ascii="Calibri" w:hAnsi="Calibri"/>
          <w:color w:val="1E293B"/>
          <w:sz w:val="22"/>
        </w:rPr>
        <w:t>80.20%</w:t>
      </w:r>
    </w:p>
    <w:p>
      <w:pPr>
        <w:spacing w:after="80" w:line="276" w:lineRule="auto"/>
      </w:pPr>
      <w:r>
        <w:rPr>
          <w:rFonts w:ascii="Calibri" w:hAnsi="Calibri"/>
          <w:color w:val="1E293B"/>
          <w:sz w:val="22"/>
        </w:rPr>
        <w:t>5,948.15</w:t>
      </w:r>
    </w:p>
    <w:p>
      <w:pPr>
        <w:spacing w:after="80" w:line="276" w:lineRule="auto"/>
      </w:pPr>
      <w:r>
        <w:rPr>
          <w:rFonts w:ascii="Calibri" w:hAnsi="Calibri"/>
          <w:color w:val="1E293B"/>
          <w:sz w:val="22"/>
        </w:rPr>
        <w:t>62.95%</w:t>
      </w:r>
    </w:p>
    <w:p>
      <w:pPr>
        <w:spacing w:after="80" w:line="276" w:lineRule="auto"/>
      </w:pPr>
      <w:r>
        <w:rPr>
          <w:rFonts w:ascii="Calibri" w:hAnsi="Calibri"/>
          <w:color w:val="1E293B"/>
          <w:sz w:val="22"/>
        </w:rPr>
        <w:t>During the last three Fiscals, the prices of copper and aluminium have experienced a compounded annual growth rate (CAGR) of 3.1% and 0.5%, respectively, leading to increased input costs (Source: CARE Report). While we have not faced any significant challenges in the procurement of raw materials in the three-month period ended June 30, 2025 or Fiscals 2025, 2024 and 2023,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w:t>
      </w:r>
    </w:p>
    <w:p>
      <w:pPr>
        <w:spacing w:after="80" w:line="276" w:lineRule="auto"/>
      </w:pPr>
      <w:r>
        <w:rPr>
          <w:rFonts w:ascii="Calibri" w:hAnsi="Calibri"/>
          <w:color w:val="1E293B"/>
          <w:sz w:val="22"/>
        </w:rPr>
        <w:t>A significant portion of our revenue from operations i.e. 71.73%, 74.79%,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 of operations and financial condition.</w:t>
      </w:r>
    </w:p>
    <w:p>
      <w:pPr>
        <w:spacing w:after="80" w:line="276" w:lineRule="auto"/>
      </w:pPr>
      <w:r>
        <w:rPr>
          <w:rFonts w:ascii="Calibri" w:hAnsi="Calibri"/>
          <w:color w:val="1E293B"/>
          <w:sz w:val="22"/>
        </w:rPr>
        <w:t>We are dependent on our customers from the Power Sector for a significant portion of our operating revenue. Set out below are details of our operating revenue generated from each of the industries that we cater to, for the period/ Fiscals indicated:</w:t>
      </w:r>
    </w:p>
    <w:p>
      <w:pPr>
        <w:spacing w:after="80" w:line="276" w:lineRule="auto"/>
      </w:pPr>
      <w:r>
        <w:rPr>
          <w:rFonts w:ascii="Calibri" w:hAnsi="Calibri"/>
          <w:color w:val="1E293B"/>
          <w:sz w:val="22"/>
        </w:rPr>
        <w:t>End-user industry</w:t>
      </w:r>
    </w:p>
    <w:p>
      <w:pPr>
        <w:spacing w:after="80" w:line="276" w:lineRule="auto"/>
      </w:pPr>
      <w:r>
        <w:rPr>
          <w:rFonts w:ascii="Calibri" w:hAnsi="Calibri"/>
          <w:color w:val="1E293B"/>
          <w:sz w:val="22"/>
        </w:rPr>
        <w:t>Three-month period ended June 30, 2025</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Amount (₹ in million)</w:t>
      </w:r>
    </w:p>
    <w:p>
      <w:pPr>
        <w:spacing w:after="80" w:line="276" w:lineRule="auto"/>
      </w:pPr>
      <w:r>
        <w:rPr>
          <w:rFonts w:ascii="Calibri" w:hAnsi="Calibri"/>
          <w:color w:val="1E293B"/>
          <w:sz w:val="22"/>
        </w:rPr>
        <w:t>% of operating</w:t>
      </w:r>
    </w:p>
    <w:p>
      <w:pPr>
        <w:spacing w:after="80" w:line="276" w:lineRule="auto"/>
      </w:pPr>
      <w:r>
        <w:rPr>
          <w:rFonts w:ascii="Calibri" w:hAnsi="Calibri"/>
          <w:color w:val="1E293B"/>
          <w:sz w:val="22"/>
        </w:rPr>
        <w:t>revenue</w:t>
      </w:r>
    </w:p>
    <w:p>
      <w:pPr>
        <w:spacing w:after="80" w:line="276" w:lineRule="auto"/>
      </w:pPr>
      <w:r>
        <w:rPr>
          <w:rFonts w:ascii="Calibri" w:hAnsi="Calibri"/>
          <w:color w:val="1E293B"/>
          <w:sz w:val="22"/>
        </w:rPr>
        <w:t>Amount (₹ in million)</w:t>
      </w:r>
    </w:p>
    <w:p>
      <w:pPr>
        <w:spacing w:after="80" w:line="276" w:lineRule="auto"/>
      </w:pPr>
      <w:r>
        <w:rPr>
          <w:rFonts w:ascii="Calibri" w:hAnsi="Calibri"/>
          <w:color w:val="1E293B"/>
          <w:sz w:val="22"/>
        </w:rPr>
        <w:t>% of operating</w:t>
      </w:r>
    </w:p>
    <w:p>
      <w:pPr>
        <w:spacing w:after="80" w:line="276" w:lineRule="auto"/>
      </w:pPr>
      <w:r>
        <w:rPr>
          <w:rFonts w:ascii="Calibri" w:hAnsi="Calibri"/>
          <w:color w:val="1E293B"/>
          <w:sz w:val="22"/>
        </w:rPr>
        <w:t>revenue</w:t>
      </w:r>
    </w:p>
    <w:p>
      <w:pPr>
        <w:spacing w:after="80" w:line="276" w:lineRule="auto"/>
      </w:pPr>
      <w:r>
        <w:rPr>
          <w:rFonts w:ascii="Calibri" w:hAnsi="Calibri"/>
          <w:color w:val="1E293B"/>
          <w:sz w:val="22"/>
        </w:rPr>
        <w:t>Amount (₹ in</w:t>
      </w:r>
    </w:p>
    <w:p>
      <w:pPr>
        <w:spacing w:after="80" w:line="276" w:lineRule="auto"/>
      </w:pPr>
      <w:r>
        <w:rPr>
          <w:rFonts w:ascii="Calibri" w:hAnsi="Calibri"/>
          <w:color w:val="1E293B"/>
          <w:sz w:val="22"/>
        </w:rPr>
        <w:t>million)</w:t>
      </w:r>
    </w:p>
    <w:p>
      <w:pPr>
        <w:spacing w:after="80" w:line="276" w:lineRule="auto"/>
      </w:pPr>
      <w:r>
        <w:rPr>
          <w:rFonts w:ascii="Calibri" w:hAnsi="Calibri"/>
          <w:color w:val="1E293B"/>
          <w:sz w:val="22"/>
        </w:rPr>
        <w:t>% of operating</w:t>
      </w:r>
    </w:p>
    <w:p>
      <w:pPr>
        <w:spacing w:after="80" w:line="276" w:lineRule="auto"/>
      </w:pPr>
      <w:r>
        <w:rPr>
          <w:rFonts w:ascii="Calibri" w:hAnsi="Calibri"/>
          <w:color w:val="1E293B"/>
          <w:sz w:val="22"/>
        </w:rPr>
        <w:t>revenue</w:t>
      </w:r>
    </w:p>
    <w:p>
      <w:pPr>
        <w:spacing w:after="80" w:line="276" w:lineRule="auto"/>
      </w:pPr>
      <w:r>
        <w:rPr>
          <w:rFonts w:ascii="Calibri" w:hAnsi="Calibri"/>
          <w:color w:val="1E293B"/>
          <w:sz w:val="22"/>
        </w:rPr>
        <w:t>Amount (₹ in million)</w:t>
      </w:r>
    </w:p>
    <w:p>
      <w:pPr>
        <w:spacing w:after="80" w:line="276" w:lineRule="auto"/>
      </w:pPr>
      <w:r>
        <w:rPr>
          <w:rFonts w:ascii="Calibri" w:hAnsi="Calibri"/>
          <w:color w:val="1E293B"/>
          <w:sz w:val="22"/>
        </w:rPr>
        <w:t>% of operating</w:t>
      </w:r>
    </w:p>
    <w:p>
      <w:pPr>
        <w:spacing w:after="80" w:line="276" w:lineRule="auto"/>
      </w:pPr>
      <w:r>
        <w:rPr>
          <w:rFonts w:ascii="Calibri" w:hAnsi="Calibri"/>
          <w:color w:val="1E293B"/>
          <w:sz w:val="22"/>
        </w:rPr>
        <w:t>revenue</w:t>
      </w:r>
    </w:p>
    <w:p>
      <w:pPr>
        <w:spacing w:after="80" w:line="276" w:lineRule="auto"/>
      </w:pPr>
      <w:r>
        <w:rPr>
          <w:rFonts w:ascii="Calibri" w:hAnsi="Calibri"/>
          <w:color w:val="1E293B"/>
          <w:sz w:val="22"/>
        </w:rPr>
        <w:t>Power Sector</w:t>
      </w:r>
    </w:p>
    <w:p>
      <w:pPr>
        <w:spacing w:after="80" w:line="276" w:lineRule="auto"/>
      </w:pPr>
      <w:r>
        <w:rPr>
          <w:rFonts w:ascii="Calibri" w:hAnsi="Calibri"/>
          <w:color w:val="1E293B"/>
          <w:sz w:val="22"/>
        </w:rPr>
        <w:t>3,798.10</w:t>
      </w:r>
    </w:p>
    <w:p>
      <w:pPr>
        <w:spacing w:after="80" w:line="276" w:lineRule="auto"/>
      </w:pPr>
      <w:r>
        <w:rPr>
          <w:rFonts w:ascii="Calibri" w:hAnsi="Calibri"/>
          <w:color w:val="1E293B"/>
          <w:sz w:val="22"/>
        </w:rPr>
        <w:t>71.73%</w:t>
      </w:r>
    </w:p>
    <w:p>
      <w:pPr>
        <w:spacing w:after="80" w:line="276" w:lineRule="auto"/>
      </w:pPr>
      <w:r>
        <w:rPr>
          <w:rFonts w:ascii="Calibri" w:hAnsi="Calibri"/>
          <w:color w:val="1E293B"/>
          <w:sz w:val="22"/>
        </w:rPr>
        <w:t>13,502.66</w:t>
      </w:r>
    </w:p>
    <w:p>
      <w:pPr>
        <w:spacing w:after="80" w:line="276" w:lineRule="auto"/>
      </w:pPr>
      <w:r>
        <w:rPr>
          <w:rFonts w:ascii="Calibri" w:hAnsi="Calibri"/>
          <w:color w:val="1E293B"/>
          <w:sz w:val="22"/>
        </w:rPr>
        <w:t>74.79%</w:t>
      </w:r>
    </w:p>
    <w:p>
      <w:pPr>
        <w:spacing w:after="80" w:line="276" w:lineRule="auto"/>
      </w:pPr>
      <w:r>
        <w:rPr>
          <w:rFonts w:ascii="Calibri" w:hAnsi="Calibri"/>
          <w:color w:val="1E293B"/>
          <w:sz w:val="22"/>
        </w:rPr>
        <w:t>9,642.92</w:t>
      </w:r>
    </w:p>
    <w:p>
      <w:pPr>
        <w:spacing w:after="80" w:line="276" w:lineRule="auto"/>
      </w:pPr>
      <w:r>
        <w:rPr>
          <w:rFonts w:ascii="Calibri" w:hAnsi="Calibri"/>
          <w:color w:val="1E293B"/>
          <w:sz w:val="22"/>
        </w:rPr>
        <w:t>75.17%</w:t>
      </w:r>
    </w:p>
    <w:p>
      <w:pPr>
        <w:spacing w:after="80" w:line="276" w:lineRule="auto"/>
      </w:pPr>
      <w:r>
        <w:rPr>
          <w:rFonts w:ascii="Calibri" w:hAnsi="Calibri"/>
          <w:color w:val="1E293B"/>
          <w:sz w:val="22"/>
        </w:rPr>
        <w:t>7,652.26</w:t>
      </w:r>
    </w:p>
    <w:p>
      <w:pPr>
        <w:spacing w:after="80" w:line="276" w:lineRule="auto"/>
      </w:pPr>
      <w:r>
        <w:rPr>
          <w:rFonts w:ascii="Calibri" w:hAnsi="Calibri"/>
          <w:color w:val="1E293B"/>
          <w:sz w:val="22"/>
        </w:rPr>
        <w:t>79.08%</w:t>
      </w:r>
    </w:p>
    <w:p>
      <w:pPr>
        <w:spacing w:after="80" w:line="276" w:lineRule="auto"/>
      </w:pPr>
      <w:r>
        <w:rPr>
          <w:rFonts w:ascii="Calibri" w:hAnsi="Calibri"/>
          <w:color w:val="1E293B"/>
          <w:sz w:val="22"/>
        </w:rPr>
        <w:t>Others*</w:t>
      </w:r>
    </w:p>
    <w:p>
      <w:pPr>
        <w:spacing w:after="80" w:line="276" w:lineRule="auto"/>
      </w:pPr>
      <w:r>
        <w:rPr>
          <w:rFonts w:ascii="Calibri" w:hAnsi="Calibri"/>
          <w:color w:val="1E293B"/>
          <w:sz w:val="22"/>
        </w:rPr>
        <w:t>1,496.93</w:t>
      </w:r>
    </w:p>
    <w:p>
      <w:pPr>
        <w:spacing w:after="80" w:line="276" w:lineRule="auto"/>
      </w:pPr>
      <w:r>
        <w:rPr>
          <w:rFonts w:ascii="Calibri" w:hAnsi="Calibri"/>
          <w:color w:val="1E293B"/>
          <w:sz w:val="22"/>
        </w:rPr>
        <w:t>28.27%</w:t>
      </w:r>
    </w:p>
    <w:p>
      <w:pPr>
        <w:spacing w:after="80" w:line="276" w:lineRule="auto"/>
      </w:pPr>
      <w:r>
        <w:rPr>
          <w:rFonts w:ascii="Calibri" w:hAnsi="Calibri"/>
          <w:color w:val="1E293B"/>
          <w:sz w:val="22"/>
        </w:rPr>
        <w:t>4,550.79</w:t>
      </w:r>
    </w:p>
    <w:p>
      <w:pPr>
        <w:spacing w:after="80" w:line="276" w:lineRule="auto"/>
      </w:pPr>
      <w:r>
        <w:rPr>
          <w:rFonts w:ascii="Calibri" w:hAnsi="Calibri"/>
          <w:color w:val="1E293B"/>
          <w:sz w:val="22"/>
        </w:rPr>
        <w:t>25.21%</w:t>
      </w:r>
    </w:p>
    <w:p>
      <w:pPr>
        <w:spacing w:after="80" w:line="276" w:lineRule="auto"/>
      </w:pPr>
      <w:r>
        <w:rPr>
          <w:rFonts w:ascii="Calibri" w:hAnsi="Calibri"/>
          <w:color w:val="1E293B"/>
          <w:sz w:val="22"/>
        </w:rPr>
        <w:t>3,185.92</w:t>
      </w:r>
    </w:p>
    <w:p>
      <w:pPr>
        <w:spacing w:after="80" w:line="276" w:lineRule="auto"/>
      </w:pPr>
      <w:r>
        <w:rPr>
          <w:rFonts w:ascii="Calibri" w:hAnsi="Calibri"/>
          <w:color w:val="1E293B"/>
          <w:sz w:val="22"/>
        </w:rPr>
        <w:t>24.83%</w:t>
      </w:r>
    </w:p>
    <w:p>
      <w:pPr>
        <w:spacing w:after="80" w:line="276" w:lineRule="auto"/>
      </w:pPr>
      <w:r>
        <w:rPr>
          <w:rFonts w:ascii="Calibri" w:hAnsi="Calibri"/>
          <w:color w:val="1E293B"/>
          <w:sz w:val="22"/>
        </w:rPr>
        <w:t>2,023.98</w:t>
      </w:r>
    </w:p>
    <w:p>
      <w:pPr>
        <w:spacing w:after="80" w:line="276" w:lineRule="auto"/>
      </w:pPr>
      <w:r>
        <w:rPr>
          <w:rFonts w:ascii="Calibri" w:hAnsi="Calibri"/>
          <w:color w:val="1E293B"/>
          <w:sz w:val="22"/>
        </w:rPr>
        <w:t>20.92%</w:t>
      </w:r>
    </w:p>
    <w:p>
      <w:pPr>
        <w:spacing w:after="80" w:line="276" w:lineRule="auto"/>
      </w:pPr>
      <w:r>
        <w:rPr>
          <w:rFonts w:ascii="Calibri" w:hAnsi="Calibri"/>
          <w:color w:val="1E293B"/>
          <w:sz w:val="22"/>
        </w:rPr>
        <w:t>End-user industry</w:t>
      </w:r>
    </w:p>
    <w:p>
      <w:pPr>
        <w:spacing w:after="80" w:line="276" w:lineRule="auto"/>
      </w:pPr>
      <w:r>
        <w:rPr>
          <w:rFonts w:ascii="Calibri" w:hAnsi="Calibri"/>
          <w:color w:val="1E293B"/>
          <w:sz w:val="22"/>
        </w:rPr>
        <w:t>Three-month period ended June 30, 2025</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Amount (₹ in million)</w:t>
      </w:r>
    </w:p>
    <w:p>
      <w:pPr>
        <w:spacing w:after="80" w:line="276" w:lineRule="auto"/>
      </w:pPr>
      <w:r>
        <w:rPr>
          <w:rFonts w:ascii="Calibri" w:hAnsi="Calibri"/>
          <w:color w:val="1E293B"/>
          <w:sz w:val="22"/>
        </w:rPr>
        <w:t>% of</w:t>
      </w:r>
    </w:p>
    <w:p>
      <w:pPr>
        <w:spacing w:after="80" w:line="276" w:lineRule="auto"/>
      </w:pPr>
      <w:r>
        <w:rPr>
          <w:rFonts w:ascii="Calibri" w:hAnsi="Calibri"/>
          <w:color w:val="1E293B"/>
          <w:sz w:val="22"/>
        </w:rPr>
        <w:t>operating revenue</w:t>
      </w:r>
    </w:p>
    <w:p>
      <w:pPr>
        <w:spacing w:after="80" w:line="276" w:lineRule="auto"/>
      </w:pPr>
      <w:r>
        <w:rPr>
          <w:rFonts w:ascii="Calibri" w:hAnsi="Calibri"/>
          <w:color w:val="1E293B"/>
          <w:sz w:val="22"/>
        </w:rPr>
        <w:t>Amount (₹ in million)</w:t>
      </w:r>
    </w:p>
    <w:p>
      <w:pPr>
        <w:spacing w:after="80" w:line="276" w:lineRule="auto"/>
      </w:pPr>
      <w:r>
        <w:rPr>
          <w:rFonts w:ascii="Calibri" w:hAnsi="Calibri"/>
          <w:color w:val="1E293B"/>
          <w:sz w:val="22"/>
        </w:rPr>
        <w:t>% of</w:t>
      </w:r>
    </w:p>
    <w:p>
      <w:pPr>
        <w:spacing w:after="80" w:line="276" w:lineRule="auto"/>
      </w:pPr>
      <w:r>
        <w:rPr>
          <w:rFonts w:ascii="Calibri" w:hAnsi="Calibri"/>
          <w:color w:val="1E293B"/>
          <w:sz w:val="22"/>
        </w:rPr>
        <w:t>operating revenue</w:t>
      </w:r>
    </w:p>
    <w:p>
      <w:pPr>
        <w:spacing w:after="80" w:line="276" w:lineRule="auto"/>
      </w:pPr>
      <w:r>
        <w:rPr>
          <w:rFonts w:ascii="Calibri" w:hAnsi="Calibri"/>
          <w:color w:val="1E293B"/>
          <w:sz w:val="22"/>
        </w:rPr>
        <w:t>Amount</w:t>
      </w:r>
    </w:p>
    <w:p>
      <w:pPr>
        <w:spacing w:after="80" w:line="276" w:lineRule="auto"/>
      </w:pPr>
      <w:r>
        <w:rPr>
          <w:rFonts w:ascii="Calibri" w:hAnsi="Calibri"/>
          <w:color w:val="1E293B"/>
          <w:sz w:val="22"/>
        </w:rPr>
        <w:t>(₹ in million)</w:t>
      </w:r>
    </w:p>
    <w:p>
      <w:pPr>
        <w:spacing w:after="80" w:line="276" w:lineRule="auto"/>
      </w:pPr>
      <w:r>
        <w:rPr>
          <w:rFonts w:ascii="Calibri" w:hAnsi="Calibri"/>
          <w:color w:val="1E293B"/>
          <w:sz w:val="22"/>
        </w:rPr>
        <w:t>% of</w:t>
      </w:r>
    </w:p>
    <w:p>
      <w:pPr>
        <w:spacing w:after="80" w:line="276" w:lineRule="auto"/>
      </w:pPr>
      <w:r>
        <w:rPr>
          <w:rFonts w:ascii="Calibri" w:hAnsi="Calibri"/>
          <w:color w:val="1E293B"/>
          <w:sz w:val="22"/>
        </w:rPr>
        <w:t>operating revenue</w:t>
      </w:r>
    </w:p>
    <w:p>
      <w:pPr>
        <w:spacing w:after="80" w:line="276" w:lineRule="auto"/>
      </w:pPr>
      <w:r>
        <w:rPr>
          <w:rFonts w:ascii="Calibri" w:hAnsi="Calibri"/>
          <w:color w:val="1E293B"/>
          <w:sz w:val="22"/>
        </w:rPr>
        <w:t>Amount (₹ in million)</w:t>
      </w:r>
    </w:p>
    <w:p>
      <w:pPr>
        <w:spacing w:after="80" w:line="276" w:lineRule="auto"/>
      </w:pPr>
      <w:r>
        <w:rPr>
          <w:rFonts w:ascii="Calibri" w:hAnsi="Calibri"/>
          <w:color w:val="1E293B"/>
          <w:sz w:val="22"/>
        </w:rPr>
        <w:t>% of</w:t>
      </w:r>
    </w:p>
    <w:p>
      <w:pPr>
        <w:spacing w:after="80" w:line="276" w:lineRule="auto"/>
      </w:pPr>
      <w:r>
        <w:rPr>
          <w:rFonts w:ascii="Calibri" w:hAnsi="Calibri"/>
          <w:color w:val="1E293B"/>
          <w:sz w:val="22"/>
        </w:rPr>
        <w:t>operating revenue</w:t>
      </w:r>
    </w:p>
    <w:p>
      <w:pPr>
        <w:spacing w:after="80" w:line="276" w:lineRule="auto"/>
      </w:pPr>
      <w:r>
        <w:rPr>
          <w:rFonts w:ascii="Calibri" w:hAnsi="Calibri"/>
          <w:color w:val="1E293B"/>
          <w:sz w:val="22"/>
        </w:rPr>
        <w:t>Total#</w:t>
      </w:r>
    </w:p>
    <w:p>
      <w:pPr>
        <w:spacing w:after="80" w:line="276" w:lineRule="auto"/>
      </w:pPr>
      <w:r>
        <w:rPr>
          <w:rFonts w:ascii="Calibri" w:hAnsi="Calibri"/>
          <w:color w:val="1E293B"/>
          <w:sz w:val="22"/>
        </w:rPr>
        <w:t>5,295.03</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18,053.45</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12,828.84</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9,676.24</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 Others include industrials, automotives (EV and ICE), home appliances, refrigeration and air conditioning.</w:t>
      </w:r>
    </w:p>
    <w:p>
      <w:pPr>
        <w:spacing w:after="80" w:line="276" w:lineRule="auto"/>
      </w:pPr>
      <w:r>
        <w:rPr>
          <w:rFonts w:ascii="Calibri" w:hAnsi="Calibri"/>
          <w:color w:val="1E293B"/>
          <w:sz w:val="22"/>
        </w:rPr>
        <w:t># Excludes other operating income including income from scrap and income from remission of duties and taxes on export products.</w:t>
      </w:r>
    </w:p>
    <w:p>
      <w:pPr>
        <w:spacing w:after="80" w:line="276" w:lineRule="auto"/>
      </w:pPr>
      <w:r>
        <w:rPr>
          <w:rFonts w:ascii="Calibri" w:hAnsi="Calibri"/>
          <w:color w:val="1E293B"/>
          <w:sz w:val="22"/>
        </w:rPr>
        <w:t>Any downturn or negative trends in the Power Sector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the Power Sector in the three-month period ended June 30, 2025, and the Fiscals 2025, 2024 and 2023, there can be no assurance that there will not be any such reduction in future. Further, there can be no assurance that any instance of economic cyclicality, significant reduction in demand or negative trends in Power Sector will not occur in the future, which may impact our sales and in turn adversely affect our business, financial condition, cash flows and results of operations.</w:t>
      </w:r>
    </w:p>
    <w:p>
      <w:pPr>
        <w:spacing w:after="80" w:line="276" w:lineRule="auto"/>
      </w:pPr>
      <w:r>
        <w:rPr>
          <w:rFonts w:ascii="Calibri" w:hAnsi="Calibri"/>
          <w:color w:val="1E293B"/>
          <w:sz w:val="22"/>
        </w:rPr>
        <w:t>We derive a substantial portion of our revenue (more than 70% in each of the three-month period ended June 30, 2025, and Fiscals 2025, 2024 and 2023) from the sale of specialized magnet winding wires. Any reduction in demand for our key products would have a material adverse effect on our business, financial condition, results of operations and cash flows.</w:t>
      </w:r>
    </w:p>
    <w:p>
      <w:pPr>
        <w:spacing w:after="80" w:line="276" w:lineRule="auto"/>
      </w:pPr>
      <w:r>
        <w:rPr>
          <w:rFonts w:ascii="Calibri" w:hAnsi="Calibri"/>
          <w:color w:val="1E293B"/>
          <w:sz w:val="22"/>
        </w:rPr>
        <w:t>We significantly rely on revenue generated from specialized magnet winding wires. The specialized magnet winding wires that we manufacture are primarily used in transformers, generators, and power (generation, transmission and distribution). The table below sets out the revenues generated from sales of our key product segments i.e., specialised and standard magnet winding wires as a percentage of our operating revenue:</w:t>
      </w:r>
    </w:p>
    <w:p>
      <w:pPr>
        <w:spacing w:after="80" w:line="276" w:lineRule="auto"/>
      </w:pPr>
      <w:r>
        <w:rPr>
          <w:rFonts w:ascii="Calibri" w:hAnsi="Calibri"/>
          <w:color w:val="1E293B"/>
          <w:sz w:val="22"/>
        </w:rPr>
        <w:t>Products</w:t>
      </w:r>
    </w:p>
    <w:p>
      <w:pPr>
        <w:spacing w:after="80" w:line="276" w:lineRule="auto"/>
      </w:pPr>
      <w:r>
        <w:rPr>
          <w:rFonts w:ascii="Calibri" w:hAnsi="Calibri"/>
          <w:color w:val="1E293B"/>
          <w:sz w:val="22"/>
        </w:rPr>
        <w:t>Three-month period ended June 30, 2025</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Amount (₹</w:t>
      </w:r>
    </w:p>
    <w:p>
      <w:pPr>
        <w:spacing w:after="80" w:line="276" w:lineRule="auto"/>
      </w:pPr>
      <w:r>
        <w:rPr>
          <w:rFonts w:ascii="Calibri" w:hAnsi="Calibri"/>
          <w:color w:val="1E293B"/>
          <w:sz w:val="22"/>
        </w:rPr>
        <w:t>in million)</w:t>
      </w:r>
    </w:p>
    <w:p>
      <w:pPr>
        <w:spacing w:after="80" w:line="276" w:lineRule="auto"/>
      </w:pPr>
      <w:r>
        <w:rPr>
          <w:rFonts w:ascii="Calibri" w:hAnsi="Calibri"/>
          <w:color w:val="1E293B"/>
          <w:sz w:val="22"/>
        </w:rPr>
        <w:t>% of</w:t>
      </w:r>
    </w:p>
    <w:p>
      <w:pPr>
        <w:spacing w:after="80" w:line="276" w:lineRule="auto"/>
      </w:pPr>
      <w:r>
        <w:rPr>
          <w:rFonts w:ascii="Calibri" w:hAnsi="Calibri"/>
          <w:color w:val="1E293B"/>
          <w:sz w:val="22"/>
        </w:rPr>
        <w:t>operating revenue</w:t>
      </w:r>
    </w:p>
    <w:p>
      <w:pPr>
        <w:spacing w:after="80" w:line="276" w:lineRule="auto"/>
      </w:pPr>
      <w:r>
        <w:rPr>
          <w:rFonts w:ascii="Calibri" w:hAnsi="Calibri"/>
          <w:color w:val="1E293B"/>
          <w:sz w:val="22"/>
        </w:rPr>
        <w:t>Amount (₹</w:t>
      </w:r>
    </w:p>
    <w:p>
      <w:pPr>
        <w:spacing w:after="80" w:line="276" w:lineRule="auto"/>
      </w:pPr>
      <w:r>
        <w:rPr>
          <w:rFonts w:ascii="Calibri" w:hAnsi="Calibri"/>
          <w:color w:val="1E293B"/>
          <w:sz w:val="22"/>
        </w:rPr>
        <w:t>in million)</w:t>
      </w:r>
    </w:p>
    <w:p>
      <w:pPr>
        <w:spacing w:after="80" w:line="276" w:lineRule="auto"/>
      </w:pPr>
      <w:r>
        <w:rPr>
          <w:rFonts w:ascii="Calibri" w:hAnsi="Calibri"/>
          <w:color w:val="1E293B"/>
          <w:sz w:val="22"/>
        </w:rPr>
        <w:t>% of</w:t>
      </w:r>
    </w:p>
    <w:p>
      <w:pPr>
        <w:spacing w:after="80" w:line="276" w:lineRule="auto"/>
      </w:pPr>
      <w:r>
        <w:rPr>
          <w:rFonts w:ascii="Calibri" w:hAnsi="Calibri"/>
          <w:color w:val="1E293B"/>
          <w:sz w:val="22"/>
        </w:rPr>
        <w:t>operating revenue</w:t>
      </w:r>
    </w:p>
    <w:p>
      <w:pPr>
        <w:spacing w:after="80" w:line="276" w:lineRule="auto"/>
      </w:pPr>
      <w:r>
        <w:rPr>
          <w:rFonts w:ascii="Calibri" w:hAnsi="Calibri"/>
          <w:color w:val="1E293B"/>
          <w:sz w:val="22"/>
        </w:rPr>
        <w:t>Amount (₹</w:t>
      </w:r>
    </w:p>
    <w:p>
      <w:pPr>
        <w:spacing w:after="80" w:line="276" w:lineRule="auto"/>
      </w:pPr>
      <w:r>
        <w:rPr>
          <w:rFonts w:ascii="Calibri" w:hAnsi="Calibri"/>
          <w:color w:val="1E293B"/>
          <w:sz w:val="22"/>
        </w:rPr>
        <w:t>in million)</w:t>
      </w:r>
    </w:p>
    <w:p>
      <w:pPr>
        <w:spacing w:after="80" w:line="276" w:lineRule="auto"/>
      </w:pPr>
      <w:r>
        <w:rPr>
          <w:rFonts w:ascii="Calibri" w:hAnsi="Calibri"/>
          <w:color w:val="1E293B"/>
          <w:sz w:val="22"/>
        </w:rPr>
        <w:t>% of</w:t>
      </w:r>
    </w:p>
    <w:p>
      <w:pPr>
        <w:spacing w:after="80" w:line="276" w:lineRule="auto"/>
      </w:pPr>
      <w:r>
        <w:rPr>
          <w:rFonts w:ascii="Calibri" w:hAnsi="Calibri"/>
          <w:color w:val="1E293B"/>
          <w:sz w:val="22"/>
        </w:rPr>
        <w:t>operating revenue</w:t>
      </w:r>
    </w:p>
    <w:p>
      <w:pPr>
        <w:spacing w:after="80" w:line="276" w:lineRule="auto"/>
      </w:pPr>
      <w:r>
        <w:rPr>
          <w:rFonts w:ascii="Calibri" w:hAnsi="Calibri"/>
          <w:color w:val="1E293B"/>
          <w:sz w:val="22"/>
        </w:rPr>
        <w:t>Amount (₹</w:t>
      </w:r>
    </w:p>
    <w:p>
      <w:pPr>
        <w:spacing w:after="80" w:line="276" w:lineRule="auto"/>
      </w:pPr>
      <w:r>
        <w:rPr>
          <w:rFonts w:ascii="Calibri" w:hAnsi="Calibri"/>
          <w:color w:val="1E293B"/>
          <w:sz w:val="22"/>
        </w:rPr>
        <w:t>in million)</w:t>
      </w:r>
    </w:p>
    <w:p>
      <w:pPr>
        <w:spacing w:after="80" w:line="276" w:lineRule="auto"/>
      </w:pPr>
      <w:r>
        <w:rPr>
          <w:rFonts w:ascii="Calibri" w:hAnsi="Calibri"/>
          <w:color w:val="1E293B"/>
          <w:sz w:val="22"/>
        </w:rPr>
        <w:t>% of</w:t>
      </w:r>
    </w:p>
    <w:p>
      <w:pPr>
        <w:spacing w:after="80" w:line="276" w:lineRule="auto"/>
      </w:pPr>
      <w:r>
        <w:rPr>
          <w:rFonts w:ascii="Calibri" w:hAnsi="Calibri"/>
          <w:color w:val="1E293B"/>
          <w:sz w:val="22"/>
        </w:rPr>
        <w:t>operating revenue</w:t>
      </w:r>
    </w:p>
    <w:p>
      <w:pPr>
        <w:spacing w:after="80" w:line="276" w:lineRule="auto"/>
      </w:pPr>
      <w:r>
        <w:rPr>
          <w:rFonts w:ascii="Calibri" w:hAnsi="Calibri"/>
          <w:color w:val="1E293B"/>
          <w:sz w:val="22"/>
        </w:rPr>
        <w:t>Specialized magnet winding wires</w:t>
      </w:r>
    </w:p>
    <w:p>
      <w:pPr>
        <w:spacing w:after="80" w:line="276" w:lineRule="auto"/>
      </w:pPr>
      <w:r>
        <w:rPr>
          <w:rFonts w:ascii="Calibri" w:hAnsi="Calibri"/>
          <w:color w:val="1E293B"/>
          <w:sz w:val="22"/>
        </w:rPr>
        <w:t>3,798.10</w:t>
      </w:r>
    </w:p>
    <w:p>
      <w:pPr>
        <w:spacing w:after="80" w:line="276" w:lineRule="auto"/>
      </w:pPr>
      <w:r>
        <w:rPr>
          <w:rFonts w:ascii="Calibri" w:hAnsi="Calibri"/>
          <w:color w:val="1E293B"/>
          <w:sz w:val="22"/>
        </w:rPr>
        <w:t>71.73%</w:t>
      </w:r>
    </w:p>
    <w:p>
      <w:pPr>
        <w:spacing w:after="80" w:line="276" w:lineRule="auto"/>
      </w:pPr>
      <w:r>
        <w:rPr>
          <w:rFonts w:ascii="Calibri" w:hAnsi="Calibri"/>
          <w:color w:val="1E293B"/>
          <w:sz w:val="22"/>
        </w:rPr>
        <w:t>13,502.66</w:t>
      </w:r>
    </w:p>
    <w:p>
      <w:pPr>
        <w:spacing w:after="80" w:line="276" w:lineRule="auto"/>
      </w:pPr>
      <w:r>
        <w:rPr>
          <w:rFonts w:ascii="Calibri" w:hAnsi="Calibri"/>
          <w:color w:val="1E293B"/>
          <w:sz w:val="22"/>
        </w:rPr>
        <w:t>74.79%</w:t>
      </w:r>
    </w:p>
    <w:p>
      <w:pPr>
        <w:spacing w:after="80" w:line="276" w:lineRule="auto"/>
      </w:pPr>
      <w:r>
        <w:rPr>
          <w:rFonts w:ascii="Calibri" w:hAnsi="Calibri"/>
          <w:color w:val="1E293B"/>
          <w:sz w:val="22"/>
        </w:rPr>
        <w:t>9,642.92</w:t>
      </w:r>
    </w:p>
    <w:p>
      <w:pPr>
        <w:spacing w:after="80" w:line="276" w:lineRule="auto"/>
      </w:pPr>
      <w:r>
        <w:rPr>
          <w:rFonts w:ascii="Calibri" w:hAnsi="Calibri"/>
          <w:color w:val="1E293B"/>
          <w:sz w:val="22"/>
        </w:rPr>
        <w:t>75.17%</w:t>
      </w:r>
    </w:p>
    <w:p>
      <w:pPr>
        <w:spacing w:after="80" w:line="276" w:lineRule="auto"/>
      </w:pPr>
      <w:r>
        <w:rPr>
          <w:rFonts w:ascii="Calibri" w:hAnsi="Calibri"/>
          <w:color w:val="1E293B"/>
          <w:sz w:val="22"/>
        </w:rPr>
        <w:t>7,652.26</w:t>
      </w:r>
    </w:p>
    <w:p>
      <w:pPr>
        <w:spacing w:after="80" w:line="276" w:lineRule="auto"/>
      </w:pPr>
      <w:r>
        <w:rPr>
          <w:rFonts w:ascii="Calibri" w:hAnsi="Calibri"/>
          <w:color w:val="1E293B"/>
          <w:sz w:val="22"/>
        </w:rPr>
        <w:t>79.08%</w:t>
      </w:r>
    </w:p>
    <w:p>
      <w:pPr>
        <w:spacing w:after="80" w:line="276" w:lineRule="auto"/>
      </w:pPr>
      <w:r>
        <w:rPr>
          <w:rFonts w:ascii="Calibri" w:hAnsi="Calibri"/>
          <w:color w:val="1E293B"/>
          <w:sz w:val="22"/>
        </w:rPr>
        <w:t>Standardmagnet winding wires</w:t>
      </w:r>
    </w:p>
    <w:p>
      <w:pPr>
        <w:spacing w:after="80" w:line="276" w:lineRule="auto"/>
      </w:pPr>
      <w:r>
        <w:rPr>
          <w:rFonts w:ascii="Calibri" w:hAnsi="Calibri"/>
          <w:color w:val="1E293B"/>
          <w:sz w:val="22"/>
        </w:rPr>
        <w:t>1,496.93</w:t>
      </w:r>
    </w:p>
    <w:p>
      <w:pPr>
        <w:spacing w:after="80" w:line="276" w:lineRule="auto"/>
      </w:pPr>
      <w:r>
        <w:rPr>
          <w:rFonts w:ascii="Calibri" w:hAnsi="Calibri"/>
          <w:color w:val="1E293B"/>
          <w:sz w:val="22"/>
        </w:rPr>
        <w:t>28.27%</w:t>
      </w:r>
    </w:p>
    <w:p>
      <w:pPr>
        <w:spacing w:after="80" w:line="276" w:lineRule="auto"/>
      </w:pPr>
      <w:r>
        <w:rPr>
          <w:rFonts w:ascii="Calibri" w:hAnsi="Calibri"/>
          <w:color w:val="1E293B"/>
          <w:sz w:val="22"/>
        </w:rPr>
        <w:t>4,550.79</w:t>
      </w:r>
    </w:p>
    <w:p>
      <w:pPr>
        <w:spacing w:after="80" w:line="276" w:lineRule="auto"/>
      </w:pPr>
      <w:r>
        <w:rPr>
          <w:rFonts w:ascii="Calibri" w:hAnsi="Calibri"/>
          <w:color w:val="1E293B"/>
          <w:sz w:val="22"/>
        </w:rPr>
        <w:t>25.21%</w:t>
      </w:r>
    </w:p>
    <w:p>
      <w:pPr>
        <w:spacing w:after="80" w:line="276" w:lineRule="auto"/>
      </w:pPr>
      <w:r>
        <w:rPr>
          <w:rFonts w:ascii="Calibri" w:hAnsi="Calibri"/>
          <w:color w:val="1E293B"/>
          <w:sz w:val="22"/>
        </w:rPr>
        <w:t>3,185.92</w:t>
      </w:r>
    </w:p>
    <w:p>
      <w:pPr>
        <w:spacing w:after="80" w:line="276" w:lineRule="auto"/>
      </w:pPr>
      <w:r>
        <w:rPr>
          <w:rFonts w:ascii="Calibri" w:hAnsi="Calibri"/>
          <w:color w:val="1E293B"/>
          <w:sz w:val="22"/>
        </w:rPr>
        <w:t>24.82%</w:t>
      </w:r>
    </w:p>
    <w:p>
      <w:pPr>
        <w:spacing w:after="80" w:line="276" w:lineRule="auto"/>
      </w:pPr>
      <w:r>
        <w:rPr>
          <w:rFonts w:ascii="Calibri" w:hAnsi="Calibri"/>
          <w:color w:val="1E293B"/>
          <w:sz w:val="22"/>
        </w:rPr>
        <w:t>2,023.98</w:t>
      </w:r>
    </w:p>
    <w:p>
      <w:pPr>
        <w:spacing w:after="80" w:line="276" w:lineRule="auto"/>
      </w:pPr>
      <w:r>
        <w:rPr>
          <w:rFonts w:ascii="Calibri" w:hAnsi="Calibri"/>
          <w:color w:val="1E293B"/>
          <w:sz w:val="22"/>
        </w:rPr>
        <w:t>20.92%</w:t>
      </w:r>
    </w:p>
    <w:p>
      <w:pPr>
        <w:spacing w:after="80" w:line="276" w:lineRule="auto"/>
      </w:pPr>
      <w:r>
        <w:rPr>
          <w:rFonts w:ascii="Calibri" w:hAnsi="Calibri"/>
          <w:color w:val="1E293B"/>
          <w:sz w:val="22"/>
        </w:rPr>
        <w:t>Total</w:t>
      </w:r>
    </w:p>
    <w:p>
      <w:pPr>
        <w:spacing w:after="80" w:line="276" w:lineRule="auto"/>
      </w:pPr>
      <w:r>
        <w:rPr>
          <w:rFonts w:ascii="Calibri" w:hAnsi="Calibri"/>
          <w:color w:val="1E293B"/>
          <w:sz w:val="22"/>
        </w:rPr>
        <w:t>5,295.03</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18,053.45</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12,828.84</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9,676.24</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While we have not experienced any material sustained decline in the sale of our key products in the three-month period ended June 30, 2025, and the Fiscals 2025, 2024, and 2023, there is no assurance that we will not face any decline in the future. Any failure to successfully manufacture and market specialized magnet winding wires, whether on account of regulatory changes or changes in technologies, including creation of alternate technologies, or otherwise could adversely affect our business, financial condition, cash flows and results of operations.</w:t>
      </w:r>
    </w:p>
    <w:p>
      <w:pPr>
        <w:spacing w:after="80" w:line="276" w:lineRule="auto"/>
      </w:pPr>
      <w:r>
        <w:rPr>
          <w:rFonts w:ascii="Calibri" w:hAnsi="Calibri"/>
          <w:color w:val="1E293B"/>
          <w:sz w:val="22"/>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spacing w:after="80" w:line="276" w:lineRule="auto"/>
      </w:pPr>
      <w:r>
        <w:rPr>
          <w:rFonts w:ascii="Calibri" w:hAnsi="Calibri"/>
          <w:color w:val="1E293B"/>
          <w:sz w:val="22"/>
        </w:rPr>
        <w:t>We intend to utilize portions of the Net Proceeds for funding capital expenditure requirements for (i) funding Acme Private Limited towards purchasing and setting up of new machinery for expansion at our Supa Facility; (ii) funding Acme Private Limited towards purchasing and setting up of a rooftop solar power plant for power generation at our Supa Facility; and (iii) funding Acme Private Limited towards purchasing and setting up of new machinery at Unit 2 in Chakan, Pune in Maharashtra (collectively, “Proposed Capital Expenditure”). While we have procured quotations from various vendors in relation to the capital expenditure to be incurred for the Proposed Capital Expenditure, we have not placed any firm orders for certain of them. For details in respect of the foregoing, see “Objects of the Offer”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the Net Proceeds.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the Proposed Capital Expenditure, for</w:t>
      </w:r>
    </w:p>
    <w:p>
      <w:pPr>
        <w:spacing w:after="80" w:line="276" w:lineRule="auto"/>
      </w:pPr>
      <w:r>
        <w:rPr>
          <w:rFonts w:ascii="Calibri" w:hAnsi="Calibri"/>
          <w:color w:val="1E293B"/>
          <w:sz w:val="22"/>
        </w:rPr>
        <w:t>Acme Private Limited has already placed purchase orders, may not be delivered within the expected time, or at all, and may impact the time and cost estimates of our Proposed Capital Expenditure.</w:t>
      </w:r>
    </w:p>
    <w:p>
      <w:pPr>
        <w:spacing w:after="80" w:line="276" w:lineRule="auto"/>
      </w:pPr>
      <w:r>
        <w:rPr>
          <w:rFonts w:ascii="Calibri" w:hAnsi="Calibri"/>
          <w:color w:val="1E293B"/>
          <w:sz w:val="22"/>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 Proposed Capital Expenditure and ancillary items or avail services from the vendors from whom we have 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 and deployment of the Net Proceeds, thereby resulting in an adverse effect on our business operations, financial condition, cash flows and results of operations.</w:t>
      </w:r>
    </w:p>
    <w:p>
      <w:pPr>
        <w:spacing w:after="80" w:line="276" w:lineRule="auto"/>
      </w:pPr>
      <w:r>
        <w:rPr>
          <w:rFonts w:ascii="Calibri" w:hAnsi="Calibri"/>
          <w:color w:val="1E293B"/>
          <w:sz w:val="22"/>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spacing w:after="80" w:line="276" w:lineRule="auto"/>
      </w:pPr>
      <w:r>
        <w:rPr>
          <w:rFonts w:ascii="Calibri" w:hAnsi="Calibri"/>
          <w:color w:val="1E293B"/>
          <w:sz w:val="22"/>
        </w:rPr>
        <w:t>Our business is dependent upon our ability to efficiently manage our manufacturing facilities, and the operational risks associated with it, including those beyond our control. As of the date of this Red Herring Prospectus, we have three operational manufacturing facilities in India. For details in relation to our manufacturing facilities, and their capacity utilization, see “Our Business – Manufacturing Facilities” and “Our Business – Capacity and Capacity Utilization”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John Doe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Northstar Technologies Ltd during the three-month period ended June 30, 2025, or Fiscals 2025, 2024, and 2023, we cannot assure that there will not be any breakdowns in future.</w:t>
      </w:r>
    </w:p>
    <w:p>
      <w:pPr>
        <w:spacing w:after="80" w:line="276" w:lineRule="auto"/>
      </w:pPr>
      <w:r>
        <w:rPr>
          <w:rFonts w:ascii="Calibri" w:hAnsi="Calibri"/>
          <w:color w:val="1E293B"/>
          <w:sz w:val="22"/>
        </w:rPr>
        <w:t>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the KSH International Chakan Internal Kamgar Sangathna, see “Our Business – Human Resources”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p>
    <w:p>
      <w:pPr>
        <w:spacing w:after="80" w:line="276" w:lineRule="auto"/>
      </w:pPr>
      <w:r>
        <w:rPr>
          <w:rFonts w:ascii="Calibri" w:hAnsi="Calibri"/>
          <w:color w:val="1E293B"/>
          <w:sz w:val="22"/>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spacing w:after="80" w:line="276" w:lineRule="auto"/>
      </w:pPr>
      <w:r>
        <w:rPr>
          <w:rFonts w:ascii="Calibri" w:hAnsi="Calibri"/>
          <w:color w:val="1E293B"/>
          <w:sz w:val="22"/>
        </w:rPr>
        <w:t>Our manufacturing unit at Supa, Ahilyanagar (formerly Ahmednagar) in Maharashtra was originally anticipated to commence operations by March 31, 2025, however, we have experienced delays in setting up our Supa Facility and operations have commenced in September 2025. Further, the enhancement in the annual installed capacity from 8,800 MT to 12,000 MT at our manufacturing unit at Supa, Ahilyanagar,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Supa Facility in the future on account of several factors, including delays in receiving governmental, statutory, and other regulatory approvals and permits, and delays in or non-delivery of construction equipment by suppliers, among others.</w:t>
      </w:r>
    </w:p>
    <w:p>
      <w:pPr>
        <w:spacing w:after="80" w:line="276" w:lineRule="auto"/>
      </w:pPr>
      <w:r>
        <w:rPr>
          <w:rFonts w:ascii="Calibri" w:hAnsi="Calibri"/>
          <w:color w:val="1E293B"/>
          <w:sz w:val="22"/>
        </w:rPr>
        <w:t>Additionally, an amount of ₹ 783.77 million from the Net Proceeds is intended to be utilised towards the Phase II Expansion at our Supa Facility. For further details, see “Objects of the Offer – Funding Acme Private Limited towards: (i) purchasing and setting up of new machinery for expansion at our Supa Facility (“Phase II Expansion at our Supa Facility”); and (ii) purchasing and setting up of new machinery at Unit 2 in Chakan, Pune in Maharashtra” on page 114. Any failure to complete the Phase II Expansion of this facility in a timely manner, and within budget, or at all, and any failure of receipt of the required approvals required for operation of the Supa Facility, could have an adverse impact on our business, results of operations, financial condition, and cash flows.</w:t>
      </w:r>
    </w:p>
    <w:p>
      <w:pPr>
        <w:spacing w:after="80" w:line="276" w:lineRule="auto"/>
      </w:pPr>
      <w:r>
        <w:rPr>
          <w:rFonts w:ascii="Calibri" w:hAnsi="Calibri"/>
          <w:color w:val="1E293B"/>
          <w:sz w:val="22"/>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spacing w:after="80" w:line="276" w:lineRule="auto"/>
      </w:pPr>
      <w:r>
        <w:rPr>
          <w:rFonts w:ascii="Calibri" w:hAnsi="Calibri"/>
          <w:color w:val="1E293B"/>
          <w:sz w:val="22"/>
        </w:rPr>
        <w:t>We face an inherent business risk of exposure to product defects and subsequent liability claims if the use of any of our products results in personal injury or property damage. We and our component suppliers may not be able to meet regulatory quality standards in India or abroad, or the quality standards imposed by our customers and applicable to our manufacturing processes, 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 checks, accreditation requirements, and periodic inspections from various regulatory agencies that have issued us product and system certifications. If any of our products do not meet regulatory standards or are defective, we may be, inter alia, (i) responsible for damages relating to any defective products, (ii) required to replace, recall or redesign such products, (iii) incur significant costs to defend any such claims or (iv) restricted to produce or market such products to our customers.</w:t>
      </w:r>
    </w:p>
    <w:p>
      <w:pPr>
        <w:spacing w:after="80" w:line="276" w:lineRule="auto"/>
      </w:pPr>
      <w:r>
        <w:rPr>
          <w:rFonts w:ascii="Calibri" w:hAnsi="Calibri"/>
          <w:color w:val="1E293B"/>
          <w:sz w:val="22"/>
        </w:rPr>
        <w:t>While there have not been any material product liability claims made against our products or any cancellation of existing or future orders, during the three-month period ended June 30, 2025, or Fiscals 2025, 2024 and 2023, resulting in a material adverse impact on our business, financial condition, results of operations and cash flows, there can be no assurance that we will not face any product liability claims or cancellation of existing or future orders in the future. The quality of raw materials and the goods we trade in will have an impact on the quality of the finished products and in turn affect our brand image, business and revenue. There is no assurance that our products will always meet the satisfaction of our customers’ quality standards. Certain customers may also conduct pre-qualification evaluations before placing their first orders. Our or our supplier’s failure to comply with applicable regulations could cause adverse consequences to be imposed on us, including warning letters, fines, injunctions, civil penalties, the refusal of 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 standards of our customers. Further, there can be no assurance that if we need to engage new suppliers to satisfy our business requirement, we will be able locate new suppliers in compliance with regulatory requirements in a timely manner, or at all. Failure to do so could lead to the cancellation of existing and future orders and have a material adverse effect on our business and revenue.</w:t>
      </w:r>
    </w:p>
    <w:p>
      <w:pPr>
        <w:spacing w:after="80" w:line="276" w:lineRule="auto"/>
      </w:pPr>
      <w:r>
        <w:rPr>
          <w:rFonts w:ascii="Calibri" w:hAnsi="Calibri"/>
          <w:color w:val="1E293B"/>
          <w:sz w:val="22"/>
        </w:rPr>
        <w:t>We are an approved supplier of empaneled PICC and CTC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“Our Business – Overview” on page</w:t>
      </w:r>
    </w:p>
    <w:p>
      <w:pPr>
        <w:spacing w:after="80" w:line="276" w:lineRule="auto"/>
      </w:pPr>
      <w:r>
        <w:rPr>
          <w:rFonts w:ascii="Calibri" w:hAnsi="Calibri"/>
          <w:color w:val="1E293B"/>
          <w:sz w:val="22"/>
        </w:rPr>
        <w:t>211. While there has not been any non-compliance with the quality standards of our customers during the three-month period ended June 30, 2025, or Fiscals 2025, 2024 and 2023, we cannot assure you that any future non-compliance</w:t>
      </w:r>
    </w:p>
    <w:p>
      <w:pPr>
        <w:spacing w:after="80" w:line="276" w:lineRule="auto"/>
      </w:pPr>
      <w:r>
        <w:rPr>
          <w:rFonts w:ascii="Calibri" w:hAnsi="Calibri"/>
          <w:color w:val="1E293B"/>
          <w:sz w:val="22"/>
        </w:rPr>
        <w:t>with quality standards will not result in a material adverse effect on our business, financial condition, results of operations, cash flows and prospects.</w:t>
      </w:r>
    </w:p>
    <w:p>
      <w:pPr>
        <w:spacing w:after="80" w:line="276" w:lineRule="auto"/>
      </w:pPr>
      <w:r>
        <w:rPr>
          <w:rFonts w:ascii="Calibri" w:hAnsi="Calibri"/>
          <w:color w:val="1E293B"/>
          <w:sz w:val="22"/>
        </w:rPr>
        <w:t>For details of our certifications and accreditations, see “Our Business - Description of our Business - Quality Control, Services, Packaging and Certifications”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 can be no assurance that these instances will not occur in the future. If we lose one or more of our accreditations or certifications, our reputation, business, cash flows and results of operations may be adversely affected.</w:t>
      </w:r>
    </w:p>
    <w:p>
      <w:pPr>
        <w:spacing w:after="80" w:line="276" w:lineRule="auto"/>
      </w:pPr>
      <w:r>
        <w:rPr>
          <w:rFonts w:ascii="Calibri" w:hAnsi="Calibri"/>
          <w:color w:val="1E293B"/>
          <w:sz w:val="22"/>
        </w:rPr>
        <w:t>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p>
    <w:p>
      <w:pPr>
        <w:spacing w:after="80" w:line="276" w:lineRule="auto"/>
      </w:pPr>
      <w:r>
        <w:rPr>
          <w:rFonts w:ascii="Calibri" w:hAnsi="Calibri"/>
          <w:color w:val="1E293B"/>
          <w:sz w:val="22"/>
        </w:rPr>
        <w:t>We have supplied our products to customers across 24 countries outside India, as of June 30, 2025. The table below sets forth details of the customers served outside India and revenue generated from such customers in the years/ periods indicated:</w:t>
      </w:r>
    </w:p>
    <w:p>
      <w:pPr>
        <w:spacing w:after="80" w:line="276" w:lineRule="auto"/>
      </w:pPr>
      <w:r>
        <w:rPr>
          <w:rFonts w:ascii="Calibri" w:hAnsi="Calibri"/>
          <w:color w:val="1E293B"/>
          <w:sz w:val="22"/>
        </w:rPr>
        <w:t>Particulars</w:t>
      </w:r>
    </w:p>
    <w:p>
      <w:pPr>
        <w:spacing w:after="80" w:line="276" w:lineRule="auto"/>
      </w:pPr>
      <w:r>
        <w:rPr>
          <w:rFonts w:ascii="Calibri" w:hAnsi="Calibri"/>
          <w:color w:val="1E293B"/>
          <w:sz w:val="22"/>
        </w:rPr>
        <w:t>Three-month period ended June 30, 2025</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Amount</w:t>
      </w:r>
    </w:p>
    <w:p>
      <w:pPr>
        <w:spacing w:after="80" w:line="276" w:lineRule="auto"/>
      </w:pPr>
      <w:r>
        <w:rPr>
          <w:rFonts w:ascii="Calibri" w:hAnsi="Calibri"/>
          <w:color w:val="1E293B"/>
          <w:sz w:val="22"/>
        </w:rPr>
        <w:t>(₹ in</w:t>
      </w:r>
    </w:p>
    <w:p>
      <w:pPr>
        <w:spacing w:after="80" w:line="276" w:lineRule="auto"/>
      </w:pPr>
      <w:r>
        <w:rPr>
          <w:rFonts w:ascii="Calibri" w:hAnsi="Calibri"/>
          <w:color w:val="1E293B"/>
          <w:sz w:val="22"/>
        </w:rPr>
        <w:t>million)</w:t>
      </w:r>
    </w:p>
    <w:p>
      <w:pPr>
        <w:spacing w:after="80" w:line="276" w:lineRule="auto"/>
      </w:pPr>
      <w:r>
        <w:rPr>
          <w:rFonts w:ascii="Calibri" w:hAnsi="Calibri"/>
          <w:color w:val="1E293B"/>
          <w:sz w:val="22"/>
        </w:rPr>
        <w:t>% of sale of products</w:t>
      </w:r>
    </w:p>
    <w:p>
      <w:pPr>
        <w:spacing w:after="80" w:line="276" w:lineRule="auto"/>
      </w:pPr>
      <w:r>
        <w:rPr>
          <w:rFonts w:ascii="Calibri" w:hAnsi="Calibri"/>
          <w:color w:val="1E293B"/>
          <w:sz w:val="22"/>
        </w:rPr>
        <w:t>Amount</w:t>
      </w:r>
    </w:p>
    <w:p>
      <w:pPr>
        <w:spacing w:after="80" w:line="276" w:lineRule="auto"/>
      </w:pPr>
      <w:r>
        <w:rPr>
          <w:rFonts w:ascii="Calibri" w:hAnsi="Calibri"/>
          <w:color w:val="1E293B"/>
          <w:sz w:val="22"/>
        </w:rPr>
        <w:t>(₹ in</w:t>
      </w:r>
    </w:p>
    <w:p>
      <w:pPr>
        <w:spacing w:after="80" w:line="276" w:lineRule="auto"/>
      </w:pPr>
      <w:r>
        <w:rPr>
          <w:rFonts w:ascii="Calibri" w:hAnsi="Calibri"/>
          <w:color w:val="1E293B"/>
          <w:sz w:val="22"/>
        </w:rPr>
        <w:t>million)</w:t>
      </w:r>
    </w:p>
    <w:p>
      <w:pPr>
        <w:spacing w:after="80" w:line="276" w:lineRule="auto"/>
      </w:pPr>
      <w:r>
        <w:rPr>
          <w:rFonts w:ascii="Calibri" w:hAnsi="Calibri"/>
          <w:color w:val="1E293B"/>
          <w:sz w:val="22"/>
        </w:rPr>
        <w:t>% of sale of products</w:t>
      </w:r>
    </w:p>
    <w:p>
      <w:pPr>
        <w:spacing w:after="80" w:line="276" w:lineRule="auto"/>
      </w:pPr>
      <w:r>
        <w:rPr>
          <w:rFonts w:ascii="Calibri" w:hAnsi="Calibri"/>
          <w:color w:val="1E293B"/>
          <w:sz w:val="22"/>
        </w:rPr>
        <w:t>Amount</w:t>
      </w:r>
    </w:p>
    <w:p>
      <w:pPr>
        <w:spacing w:after="80" w:line="276" w:lineRule="auto"/>
      </w:pPr>
      <w:r>
        <w:rPr>
          <w:rFonts w:ascii="Calibri" w:hAnsi="Calibri"/>
          <w:color w:val="1E293B"/>
          <w:sz w:val="22"/>
        </w:rPr>
        <w:t>(₹ in</w:t>
      </w:r>
    </w:p>
    <w:p>
      <w:pPr>
        <w:spacing w:after="80" w:line="276" w:lineRule="auto"/>
      </w:pPr>
      <w:r>
        <w:rPr>
          <w:rFonts w:ascii="Calibri" w:hAnsi="Calibri"/>
          <w:color w:val="1E293B"/>
          <w:sz w:val="22"/>
        </w:rPr>
        <w:t>million)</w:t>
      </w:r>
    </w:p>
    <w:p>
      <w:pPr>
        <w:spacing w:after="80" w:line="276" w:lineRule="auto"/>
      </w:pPr>
      <w:r>
        <w:rPr>
          <w:rFonts w:ascii="Calibri" w:hAnsi="Calibri"/>
          <w:color w:val="1E293B"/>
          <w:sz w:val="22"/>
        </w:rPr>
        <w:t>% of sale of products</w:t>
      </w:r>
    </w:p>
    <w:p>
      <w:pPr>
        <w:spacing w:after="80" w:line="276" w:lineRule="auto"/>
      </w:pPr>
      <w:r>
        <w:rPr>
          <w:rFonts w:ascii="Calibri" w:hAnsi="Calibri"/>
          <w:color w:val="1E293B"/>
          <w:sz w:val="22"/>
        </w:rPr>
        <w:t>Amount</w:t>
      </w:r>
    </w:p>
    <w:p>
      <w:pPr>
        <w:spacing w:after="80" w:line="276" w:lineRule="auto"/>
      </w:pPr>
      <w:r>
        <w:rPr>
          <w:rFonts w:ascii="Calibri" w:hAnsi="Calibri"/>
          <w:color w:val="1E293B"/>
          <w:sz w:val="22"/>
        </w:rPr>
        <w:t>(₹ in</w:t>
      </w:r>
    </w:p>
    <w:p>
      <w:pPr>
        <w:spacing w:after="80" w:line="276" w:lineRule="auto"/>
      </w:pPr>
      <w:r>
        <w:rPr>
          <w:rFonts w:ascii="Calibri" w:hAnsi="Calibri"/>
          <w:color w:val="1E293B"/>
          <w:sz w:val="22"/>
        </w:rPr>
        <w:t>million)</w:t>
      </w:r>
    </w:p>
    <w:p>
      <w:pPr>
        <w:spacing w:after="80" w:line="276" w:lineRule="auto"/>
      </w:pPr>
      <w:r>
        <w:rPr>
          <w:rFonts w:ascii="Calibri" w:hAnsi="Calibri"/>
          <w:color w:val="1E293B"/>
          <w:sz w:val="22"/>
        </w:rPr>
        <w:t>% of sale of products</w:t>
      </w:r>
    </w:p>
    <w:p>
      <w:pPr>
        <w:spacing w:after="80" w:line="276" w:lineRule="auto"/>
      </w:pPr>
      <w:r>
        <w:rPr>
          <w:rFonts w:ascii="Calibri" w:hAnsi="Calibri"/>
          <w:color w:val="1E293B"/>
          <w:sz w:val="22"/>
        </w:rPr>
        <w:t>Domestic customers</w:t>
      </w:r>
    </w:p>
    <w:p>
      <w:pPr>
        <w:spacing w:after="80" w:line="276" w:lineRule="auto"/>
      </w:pPr>
      <w:r>
        <w:rPr>
          <w:rFonts w:ascii="Calibri" w:hAnsi="Calibri"/>
          <w:color w:val="1E293B"/>
          <w:sz w:val="22"/>
        </w:rPr>
        <w:t>3,637.09</w:t>
      </w:r>
    </w:p>
    <w:p>
      <w:pPr>
        <w:spacing w:after="80" w:line="276" w:lineRule="auto"/>
      </w:pPr>
      <w:r>
        <w:rPr>
          <w:rFonts w:ascii="Calibri" w:hAnsi="Calibri"/>
          <w:color w:val="1E293B"/>
          <w:sz w:val="22"/>
        </w:rPr>
        <w:t>69.25%</w:t>
      </w:r>
    </w:p>
    <w:p>
      <w:pPr>
        <w:spacing w:after="80" w:line="276" w:lineRule="auto"/>
      </w:pPr>
      <w:r>
        <w:rPr>
          <w:rFonts w:ascii="Calibri" w:hAnsi="Calibri"/>
          <w:color w:val="1E293B"/>
          <w:sz w:val="22"/>
        </w:rPr>
        <w:t>11,879.83</w:t>
      </w:r>
    </w:p>
    <w:p>
      <w:pPr>
        <w:spacing w:after="80" w:line="276" w:lineRule="auto"/>
      </w:pPr>
      <w:r>
        <w:rPr>
          <w:rFonts w:ascii="Calibri" w:hAnsi="Calibri"/>
          <w:color w:val="1E293B"/>
          <w:sz w:val="22"/>
        </w:rPr>
        <w:t>66.80%</w:t>
      </w:r>
    </w:p>
    <w:p>
      <w:pPr>
        <w:spacing w:after="80" w:line="276" w:lineRule="auto"/>
      </w:pPr>
      <w:r>
        <w:rPr>
          <w:rFonts w:ascii="Calibri" w:hAnsi="Calibri"/>
          <w:color w:val="1E293B"/>
          <w:sz w:val="22"/>
        </w:rPr>
        <w:t>7,559.52</w:t>
      </w:r>
    </w:p>
    <w:p>
      <w:pPr>
        <w:spacing w:after="80" w:line="276" w:lineRule="auto"/>
      </w:pPr>
      <w:r>
        <w:rPr>
          <w:rFonts w:ascii="Calibri" w:hAnsi="Calibri"/>
          <w:color w:val="1E293B"/>
          <w:sz w:val="22"/>
        </w:rPr>
        <w:t>60.85%</w:t>
      </w:r>
    </w:p>
    <w:p>
      <w:pPr>
        <w:spacing w:after="80" w:line="276" w:lineRule="auto"/>
      </w:pPr>
      <w:r>
        <w:rPr>
          <w:rFonts w:ascii="Calibri" w:hAnsi="Calibri"/>
          <w:color w:val="1E293B"/>
          <w:sz w:val="22"/>
        </w:rPr>
        <w:t>5,245.79</w:t>
      </w:r>
    </w:p>
    <w:p>
      <w:pPr>
        <w:spacing w:after="80" w:line="276" w:lineRule="auto"/>
      </w:pPr>
      <w:r>
        <w:rPr>
          <w:rFonts w:ascii="Calibri" w:hAnsi="Calibri"/>
          <w:color w:val="1E293B"/>
          <w:sz w:val="22"/>
        </w:rPr>
        <w:t>56.07%</w:t>
      </w:r>
    </w:p>
    <w:p>
      <w:pPr>
        <w:spacing w:after="80" w:line="276" w:lineRule="auto"/>
      </w:pPr>
      <w:r>
        <w:rPr>
          <w:rFonts w:ascii="Calibri" w:hAnsi="Calibri"/>
          <w:color w:val="1E293B"/>
          <w:sz w:val="22"/>
        </w:rPr>
        <w:t>Customers outside India</w:t>
      </w:r>
    </w:p>
    <w:p>
      <w:pPr>
        <w:spacing w:after="80" w:line="276" w:lineRule="auto"/>
      </w:pPr>
      <w:r>
        <w:rPr>
          <w:rFonts w:ascii="Calibri" w:hAnsi="Calibri"/>
          <w:color w:val="1E293B"/>
          <w:sz w:val="22"/>
        </w:rPr>
        <w:t>1,615.13</w:t>
      </w:r>
    </w:p>
    <w:p>
      <w:pPr>
        <w:spacing w:after="80" w:line="276" w:lineRule="auto"/>
      </w:pPr>
      <w:r>
        <w:rPr>
          <w:rFonts w:ascii="Calibri" w:hAnsi="Calibri"/>
          <w:color w:val="1E293B"/>
          <w:sz w:val="22"/>
        </w:rPr>
        <w:t>30.75%</w:t>
      </w:r>
    </w:p>
    <w:p>
      <w:pPr>
        <w:spacing w:after="80" w:line="276" w:lineRule="auto"/>
      </w:pPr>
      <w:r>
        <w:rPr>
          <w:rFonts w:ascii="Calibri" w:hAnsi="Calibri"/>
          <w:color w:val="1E293B"/>
          <w:sz w:val="22"/>
        </w:rPr>
        <w:t>5,903.64</w:t>
      </w:r>
    </w:p>
    <w:p>
      <w:pPr>
        <w:spacing w:after="80" w:line="276" w:lineRule="auto"/>
      </w:pPr>
      <w:r>
        <w:rPr>
          <w:rFonts w:ascii="Calibri" w:hAnsi="Calibri"/>
          <w:color w:val="1E293B"/>
          <w:sz w:val="22"/>
        </w:rPr>
        <w:t>33.20%</w:t>
      </w:r>
    </w:p>
    <w:p>
      <w:pPr>
        <w:spacing w:after="80" w:line="276" w:lineRule="auto"/>
      </w:pPr>
      <w:r>
        <w:rPr>
          <w:rFonts w:ascii="Calibri" w:hAnsi="Calibri"/>
          <w:color w:val="1E293B"/>
          <w:sz w:val="22"/>
        </w:rPr>
        <w:t>4,863.35</w:t>
      </w:r>
    </w:p>
    <w:p>
      <w:pPr>
        <w:spacing w:after="80" w:line="276" w:lineRule="auto"/>
      </w:pPr>
      <w:r>
        <w:rPr>
          <w:rFonts w:ascii="Calibri" w:hAnsi="Calibri"/>
          <w:color w:val="1E293B"/>
          <w:sz w:val="22"/>
        </w:rPr>
        <w:t>39.15%</w:t>
      </w:r>
    </w:p>
    <w:p>
      <w:pPr>
        <w:spacing w:after="80" w:line="276" w:lineRule="auto"/>
      </w:pPr>
      <w:r>
        <w:rPr>
          <w:rFonts w:ascii="Calibri" w:hAnsi="Calibri"/>
          <w:color w:val="1E293B"/>
          <w:sz w:val="22"/>
        </w:rPr>
        <w:t>4,110.36</w:t>
      </w:r>
    </w:p>
    <w:p>
      <w:pPr>
        <w:spacing w:after="80" w:line="276" w:lineRule="auto"/>
      </w:pPr>
      <w:r>
        <w:rPr>
          <w:rFonts w:ascii="Calibri" w:hAnsi="Calibri"/>
          <w:color w:val="1E293B"/>
          <w:sz w:val="22"/>
        </w:rPr>
        <w:t>43.93%</w:t>
      </w:r>
    </w:p>
    <w:p>
      <w:pPr>
        <w:spacing w:after="80" w:line="276" w:lineRule="auto"/>
      </w:pPr>
      <w:r>
        <w:rPr>
          <w:rFonts w:ascii="Calibri" w:hAnsi="Calibri"/>
          <w:color w:val="1E293B"/>
          <w:sz w:val="22"/>
        </w:rPr>
        <w:t>Total*</w:t>
      </w:r>
    </w:p>
    <w:p>
      <w:pPr>
        <w:spacing w:after="80" w:line="276" w:lineRule="auto"/>
      </w:pPr>
      <w:r>
        <w:rPr>
          <w:rFonts w:ascii="Calibri" w:hAnsi="Calibri"/>
          <w:color w:val="1E293B"/>
          <w:sz w:val="22"/>
        </w:rPr>
        <w:t>5,252.21</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17,783.47</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12,422.87</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9,356.15</w:t>
      </w:r>
    </w:p>
    <w:p>
      <w:pPr>
        <w:spacing w:after="80" w:line="276" w:lineRule="auto"/>
      </w:pPr>
      <w:r>
        <w:rPr>
          <w:rFonts w:ascii="Calibri" w:hAnsi="Calibri"/>
          <w:color w:val="1E293B"/>
          <w:sz w:val="22"/>
        </w:rPr>
        <w:t>100.00%</w:t>
      </w:r>
    </w:p>
    <w:p>
      <w:pPr>
        <w:spacing w:after="80" w:line="276" w:lineRule="auto"/>
      </w:pPr>
      <w:r>
        <w:rPr>
          <w:rFonts w:ascii="Calibri" w:hAnsi="Calibri"/>
          <w:color w:val="1E293B"/>
          <w:sz w:val="22"/>
        </w:rPr>
        <w:t>* This does not include processing charges and other operating revenue.</w:t>
      </w:r>
    </w:p>
    <w:p>
      <w:pPr>
        <w:spacing w:after="80" w:line="276" w:lineRule="auto"/>
      </w:pPr>
      <w:r>
        <w:rPr>
          <w:rFonts w:ascii="Calibri" w:hAnsi="Calibri"/>
          <w:color w:val="1E293B"/>
          <w:sz w:val="22"/>
        </w:rPr>
        <w:t>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Peter Parker, Ministry of Commerce and Industry, Government 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spacing w:after="80" w:line="276" w:lineRule="auto"/>
      </w:pPr>
      <w:r>
        <w:rPr>
          <w:rFonts w:ascii="Calibri" w:hAnsi="Calibri"/>
          <w:color w:val="1E293B"/>
          <w:sz w:val="22"/>
        </w:rPr>
        <w:t>Further, the United States have recently introduced tariff hikes on its imports from India. Electrical components, classified under the Indian customs heading (“CTS”) 8544, corresponding to the harmonised tariff schedule (“HTS”) 8544 of the United States, are subject to a reciprocal tariff of 25% and an additional tariff of 25%, totalling a combined tariff rate of 50% when imported to the United States. However, if a product is specifically covered under Section 232 of the Trade Expansion Act, 1962 (“Section 232 Tariffs”) then the tariff rates of 25% or 50%, as applicable, is applicable and such product would not be applicable to reciprocal and additional tariffs. The Section 232 Tariffs vary basis the nature of the end use of Bluebird Capital LLP in most cases would be classified under HTS 8544,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p>
    <w:p>
      <w:pPr>
        <w:spacing w:after="80" w:line="276" w:lineRule="auto"/>
      </w:pPr>
      <w:r>
        <w:rPr>
          <w:rFonts w:ascii="Calibri" w:hAnsi="Calibri"/>
          <w:color w:val="1E293B"/>
          <w:sz w:val="22"/>
        </w:rPr>
        <w:t>We have experienced negative cash flows from operating activities in the past. Any negative cash flows in the future would adversely affect our cash flow requirements, which may adversely affect our ability to operate our business and implement our growth plans, thereby affecting our financial condition.</w:t>
      </w:r>
    </w:p>
    <w:p>
      <w:pPr>
        <w:spacing w:after="80" w:line="276" w:lineRule="auto"/>
      </w:pPr>
      <w:r>
        <w:rPr>
          <w:rFonts w:ascii="Calibri" w:hAnsi="Calibri"/>
          <w:color w:val="1E293B"/>
          <w:sz w:val="22"/>
        </w:rPr>
        <w:t>The table below sets forth certain information relating to our cash flows from operating activities for the periods/ years indicated:</w:t>
      </w:r>
    </w:p>
    <w:p>
      <w:pPr>
        <w:spacing w:after="80" w:line="276" w:lineRule="auto"/>
      </w:pPr>
      <w:r>
        <w:rPr>
          <w:rFonts w:ascii="Calibri" w:hAnsi="Calibri"/>
          <w:color w:val="1E293B"/>
          <w:sz w:val="22"/>
        </w:rPr>
        <w:t>Particulars</w:t>
      </w:r>
    </w:p>
    <w:p>
      <w:pPr>
        <w:spacing w:after="80" w:line="276" w:lineRule="auto"/>
      </w:pPr>
      <w:r>
        <w:rPr>
          <w:rFonts w:ascii="Calibri" w:hAnsi="Calibri"/>
          <w:color w:val="1E293B"/>
          <w:sz w:val="22"/>
        </w:rPr>
        <w:t>Three-month period ended June 30, 2025</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Net cash flows from / (used in) operating activities</w:t>
      </w:r>
    </w:p>
    <w:p>
      <w:pPr>
        <w:spacing w:after="80" w:line="276" w:lineRule="auto"/>
      </w:pPr>
      <w:r>
        <w:rPr>
          <w:rFonts w:ascii="Calibri" w:hAnsi="Calibri"/>
          <w:color w:val="1E293B"/>
          <w:sz w:val="22"/>
        </w:rPr>
        <w:t>139.82</w:t>
      </w:r>
    </w:p>
    <w:p>
      <w:pPr>
        <w:spacing w:after="80" w:line="276" w:lineRule="auto"/>
      </w:pPr>
      <w:r>
        <w:rPr>
          <w:rFonts w:ascii="Calibri" w:hAnsi="Calibri"/>
          <w:color w:val="1E293B"/>
          <w:sz w:val="22"/>
        </w:rPr>
        <w:t>(97.74)</w:t>
      </w:r>
    </w:p>
    <w:p>
      <w:pPr>
        <w:spacing w:after="80" w:line="276" w:lineRule="auto"/>
      </w:pPr>
      <w:r>
        <w:rPr>
          <w:rFonts w:ascii="Calibri" w:hAnsi="Calibri"/>
          <w:color w:val="1E293B"/>
          <w:sz w:val="22"/>
        </w:rPr>
        <w:t>(172.32)</w:t>
      </w:r>
    </w:p>
    <w:p>
      <w:pPr>
        <w:spacing w:after="80" w:line="276" w:lineRule="auto"/>
      </w:pPr>
      <w:r>
        <w:rPr>
          <w:rFonts w:ascii="Calibri" w:hAnsi="Calibri"/>
          <w:color w:val="1E293B"/>
          <w:sz w:val="22"/>
        </w:rPr>
        <w:t>620.89</w:t>
      </w:r>
    </w:p>
    <w:p>
      <w:pPr>
        <w:spacing w:after="80" w:line="276" w:lineRule="auto"/>
      </w:pPr>
      <w:r>
        <w:rPr>
          <w:rFonts w:ascii="Calibri" w:hAnsi="Calibri"/>
          <w:color w:val="1E293B"/>
          <w:sz w:val="22"/>
        </w:rPr>
        <w:t>We experienced negative cash flows in the Fiscal 2025, and the Fiscal 2024, due to increase in inventories and increase in trade receivables. Negative cash flows over extended periods, or significant negative cash flows in the short term, could materially impact our ability to operate our business and implement our growth plans. We may face a shortfall of capital in future as a result of negative cash flows and there can be no assurance that we will be able to raise adequate capital in future. As a result, our cash flows, business, future financial performance and results of operations could be materially and adversely affected. For further information, see “Management’s Discussion and Analysis of Financial Condition and Results of Operations – Cash Flows” on page 378.</w:t>
      </w:r>
    </w:p>
    <w:p>
      <w:pPr>
        <w:spacing w:after="80" w:line="276" w:lineRule="auto"/>
      </w:pPr>
      <w:r>
        <w:rPr>
          <w:rFonts w:ascii="Calibri" w:hAnsi="Calibri"/>
          <w:color w:val="1E293B"/>
          <w:sz w:val="22"/>
        </w:rPr>
        <w:t>If we fail to comply with the applicable regulations and rules prescribed by the Government of India and the relevant statutory or regulatory bodies or fail to obtain, maintain or renew our statutory and regulatory licenses, permits and approvals required for our business, our results of operations and cash flows may be adversely affected.</w:t>
      </w:r>
    </w:p>
    <w:p>
      <w:pPr>
        <w:spacing w:after="80" w:line="276" w:lineRule="auto"/>
      </w:pPr>
      <w:r>
        <w:rPr>
          <w:rFonts w:ascii="Calibri" w:hAnsi="Calibri"/>
          <w:color w:val="1E293B"/>
          <w:sz w:val="22"/>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 storage, handling, use and transportation of waste materials, the emission and discharge of hazardous waste materials into soil, air or water, and the health and safety of employees) and mandatory certification requirements for our facilities and products. For further information on the nature of the material approvals and licenses required for our business and for information on the material approvals applied for, see “Government and Other Approvals” on page 393. In addition, we will need to apply for renewal of certain approvals, licenses registrations and permits, which expire or seek new approvals, licenses, registrations and permits from time to time, as and when required in the 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spacing w:after="80" w:line="276" w:lineRule="auto"/>
      </w:pPr>
      <w:r>
        <w:rPr>
          <w:rFonts w:ascii="Calibri" w:hAnsi="Calibri"/>
          <w:color w:val="1E293B"/>
          <w:sz w:val="22"/>
        </w:rPr>
        <w:t>Our business and operations are subject to a number of approvals, licenses, registrations and permissions for construction and operation of our manufacturing facilities, warehouses, branch offices and regional offices, in addition to extensive government regulations for the protection of the environment and occupational health and safety. We have either made or are in the process of making an application or renewal for obtaining necessary approvals that are not in place or have expired. Further, we may also need to apply for additional approvals including the renewal of approvals which may expire from time to time, in the ordinary course of business. For instance, we have made applications for</w:t>
      </w:r>
    </w:p>
    <w:p>
      <w:pPr>
        <w:spacing w:after="80" w:line="276" w:lineRule="auto"/>
      </w:pPr>
      <w:r>
        <w:rPr>
          <w:rFonts w:ascii="Calibri" w:hAnsi="Calibri"/>
          <w:color w:val="1E293B"/>
          <w:sz w:val="22"/>
        </w:rPr>
        <w:t>(i) certificate of enrolment issued by Maharashtra Sales Tax Department under the Maharashtra State Tax on Professions, Trades, Callings and Employment Act, 1975 and (ii) Acme Private Limited in certain regulatory approvals and licenses issued under our old name “Acme Private Limited”. Additionally, we are yet to make an application for obtaining the building completion certificate issued in relation to Unit 2 by the Pune Metropolitan Region Development Authority. For details, see “Government and Other Approvals – C. Northstar Technologies Ltd – IV. Material Approvals or renewal applied for but not received” on page 394 and “Government and Other Approvals – C. Northstar Technologies Ltd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p>
    <w:p>
      <w:pPr>
        <w:spacing w:after="80" w:line="276" w:lineRule="auto"/>
      </w:pPr>
      <w:r>
        <w:rPr>
          <w:rFonts w:ascii="Calibri" w:hAnsi="Calibri"/>
          <w:color w:val="1E293B"/>
          <w:sz w:val="22"/>
        </w:rPr>
        <w:t>Further, our government approvals and licenses are subject to certain conditions, some of which are onerous and require us to make substantial compliance-related expenditure. If we fail to comply or a regulator claim that we have</w:t>
      </w:r>
    </w:p>
    <w:p>
      <w:pPr>
        <w:spacing w:after="80" w:line="276" w:lineRule="auto"/>
      </w:pPr>
      <w:r>
        <w:rPr>
          <w:rFonts w:ascii="Calibri" w:hAnsi="Calibri"/>
          <w:color w:val="1E293B"/>
          <w:sz w:val="22"/>
        </w:rPr>
        <w:t>not complied with such conditions, our business, prospects, financial condition, results of operations and cash flows may be adversely affected.</w:t>
      </w:r>
    </w:p>
    <w:p>
      <w:pPr>
        <w:spacing w:after="80" w:line="276" w:lineRule="auto"/>
      </w:pPr>
      <w:r>
        <w:rPr>
          <w:rFonts w:ascii="Calibri" w:hAnsi="Calibri"/>
          <w:color w:val="1E293B"/>
          <w:sz w:val="22"/>
        </w:rPr>
        <w:t>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“Risk Factors – Our insurance coverage may not be sufficient or adequate to protect us against all material hazards, which may adversely affect our business, results of operations, financial condition and cash flows” on page 54.</w:t>
      </w:r>
    </w:p>
    <w:p>
      <w:pPr>
        <w:spacing w:after="80" w:line="276" w:lineRule="auto"/>
      </w:pPr>
      <w:r>
        <w:rPr>
          <w:rFonts w:ascii="Calibri" w:hAnsi="Calibri"/>
          <w:color w:val="1E293B"/>
          <w:sz w:val="22"/>
        </w:rPr>
        <w:t>Further, we propose to utilise a portion of our Net Proceeds towards funding Acme Private Limited towards purchasing and setting up of new machinery for expansion at our Supa Facility which will require us to obtain necessary licenses and approvals. For details, see “Objects of the Offer –Funding Acme Private Limited towards: (i) purchasing and setting up of new machinery for expansion at our Supa Facility (“Phase II Expansion at our Supa Facility”); and (ii) purchasing and setting up of new machinery at Unit 2 in Chakan, Pune in Maharashtra” on page 114. We may have to revise our funding requirements and deployment of the Net Proceeds in case we are unable to obtain necessary licenses and approvals or due to other external factors, which may not be within the control of our management.</w:t>
      </w:r>
    </w:p>
    <w:p>
      <w:pPr>
        <w:spacing w:after="80" w:line="276" w:lineRule="auto"/>
      </w:pPr>
      <w:r>
        <w:rPr>
          <w:rFonts w:ascii="Calibri" w:hAnsi="Calibri"/>
          <w:color w:val="1E293B"/>
          <w:sz w:val="22"/>
        </w:rPr>
        <w:t>Our inability to control the costs involved in complying with these and other relevant laws and regulations could have an adverse effect on our business, financial condition, results of operations and cash flows.</w:t>
      </w:r>
    </w:p>
    <w:p>
      <w:pPr>
        <w:spacing w:after="80" w:line="276" w:lineRule="auto"/>
      </w:pPr>
      <w:r>
        <w:rPr>
          <w:rFonts w:ascii="Calibri" w:hAnsi="Calibri"/>
          <w:color w:val="1E293B"/>
          <w:sz w:val="22"/>
        </w:rPr>
        <w:t>We are unable to trace some of our historical corporate records including in relation Bluebird Capital LLP. Further, certain corporate records have errors, and certain corporate filings have been made with delays. We cannot assure you that no legal proceedings or regulatory Acme Private Limited in the future in relation to these matters, which may impact our financial condition and reputation.</w:t>
      </w:r>
    </w:p>
    <w:p>
      <w:pPr>
        <w:spacing w:after="80" w:line="276" w:lineRule="auto"/>
      </w:pPr>
      <w:r>
        <w:rPr>
          <w:rFonts w:ascii="Calibri" w:hAnsi="Calibri"/>
          <w:color w:val="1E293B"/>
          <w:sz w:val="22"/>
        </w:rPr>
        <w:t>Northstar Technologies Ltd’s corporate records are not traceable as the relevant information was not available Bluebird Capital LLP or on the online portal of the Ministry of Corporate Affairs (“MCA Portal”) or in the physical records available at the Registrar of Companies. For instance, we are unable to trace the following:</w:t>
      </w:r>
    </w:p>
    <w:p>
      <w:pPr>
        <w:spacing w:after="80" w:line="276" w:lineRule="auto"/>
      </w:pPr>
      <w:r>
        <w:rPr>
          <w:rFonts w:ascii="Calibri" w:hAnsi="Calibri"/>
          <w:color w:val="1E293B"/>
          <w:sz w:val="22"/>
        </w:rPr>
        <w:t>Acme Private Limited beginning from the Fiscal 1980 until the Fiscal 2003, except for the Fiscals ended March 31, 1983, and March 31, 1988;</w:t>
      </w:r>
    </w:p>
    <w:p>
      <w:pPr>
        <w:spacing w:after="80" w:line="276" w:lineRule="auto"/>
      </w:pPr>
      <w:r>
        <w:rPr>
          <w:rFonts w:ascii="Calibri" w:hAnsi="Calibri"/>
          <w:color w:val="1E293B"/>
          <w:sz w:val="22"/>
        </w:rPr>
        <w:t>Financial statements, (a) between the Fiscal 1980 until March 31, 1985, (b) between the Fiscal 1986 until March 31, 2005, and (c) between the Fiscals 2011 and 2014;</w:t>
      </w:r>
    </w:p>
    <w:p>
      <w:pPr>
        <w:spacing w:after="80" w:line="276" w:lineRule="auto"/>
      </w:pPr>
      <w:r>
        <w:rPr>
          <w:rFonts w:ascii="Calibri" w:hAnsi="Calibri"/>
          <w:color w:val="1E293B"/>
          <w:sz w:val="22"/>
        </w:rPr>
        <w:t>Form 1, Form 1A and Form 18 along with corresponding Northstar Technologies Ltd dated July 30, 1979, application for reservation of name, and intimation of registered office respectively;</w:t>
      </w:r>
    </w:p>
    <w:p>
      <w:pPr>
        <w:spacing w:after="80" w:line="276" w:lineRule="auto"/>
      </w:pPr>
      <w:r>
        <w:rPr>
          <w:rFonts w:ascii="Calibri" w:hAnsi="Calibri"/>
          <w:color w:val="1E293B"/>
          <w:sz w:val="22"/>
        </w:rPr>
        <w:t>Form 23, Forms 1A and 1B along with corresponding RoC challans Bluebird Capital LLP from “Northstar Technologies Ltd” to “Acme Private Limited” dated July 4, 1996;</w:t>
      </w:r>
    </w:p>
    <w:p>
      <w:pPr>
        <w:spacing w:after="80" w:line="276" w:lineRule="auto"/>
      </w:pPr>
      <w:r>
        <w:rPr>
          <w:rFonts w:ascii="Calibri" w:hAnsi="Calibri"/>
          <w:color w:val="1E293B"/>
          <w:sz w:val="22"/>
        </w:rPr>
        <w:t>Form 32 along with corresponding challan for regularization as director Ananya Sharma Kushal Hegde dated September 26, 1996;</w:t>
      </w:r>
    </w:p>
    <w:p>
      <w:pPr>
        <w:spacing w:after="80" w:line="276" w:lineRule="auto"/>
      </w:pPr>
      <w:r>
        <w:rPr>
          <w:rFonts w:ascii="Calibri" w:hAnsi="Calibri"/>
          <w:color w:val="1E293B"/>
          <w:sz w:val="22"/>
        </w:rPr>
        <w:t>Form 32 along with corresponding RoC challan for appointment as additional director Maya Rao Kushal Hegde dated November 1, 2000;</w:t>
      </w:r>
    </w:p>
    <w:p>
      <w:pPr>
        <w:spacing w:after="80" w:line="276" w:lineRule="auto"/>
      </w:pPr>
      <w:r>
        <w:rPr>
          <w:rFonts w:ascii="Calibri" w:hAnsi="Calibri"/>
          <w:color w:val="1E293B"/>
          <w:sz w:val="22"/>
        </w:rPr>
        <w:t>Form 32 along with the corresponding RoC challan for regularisation as director Maya Rao Kushal Hegde dated September 21, 2000;</w:t>
      </w:r>
    </w:p>
    <w:p>
      <w:pPr>
        <w:spacing w:after="80" w:line="276" w:lineRule="auto"/>
      </w:pPr>
      <w:r>
        <w:rPr>
          <w:rFonts w:ascii="Calibri" w:hAnsi="Calibri"/>
          <w:color w:val="1E293B"/>
          <w:sz w:val="22"/>
        </w:rPr>
        <w:t>Copies or counter folios of share certificates issued to the shareholders; and</w:t>
      </w:r>
    </w:p>
    <w:p>
      <w:pPr>
        <w:spacing w:after="80" w:line="276" w:lineRule="auto"/>
      </w:pPr>
      <w:r>
        <w:rPr>
          <w:rFonts w:ascii="Calibri" w:hAnsi="Calibri"/>
          <w:color w:val="1E293B"/>
          <w:sz w:val="22"/>
        </w:rPr>
        <w:t>Share transfer forms for all secondary transactions of equity shares, including the following transfers involving the Promoter Selling Shareholders:</w:t>
      </w:r>
    </w:p>
    <w:p>
      <w:pPr>
        <w:spacing w:after="80" w:line="276" w:lineRule="auto"/>
      </w:pPr>
      <w:r>
        <w:rPr>
          <w:rFonts w:ascii="Calibri" w:hAnsi="Calibri"/>
          <w:color w:val="1E293B"/>
          <w:sz w:val="22"/>
        </w:rPr>
        <w:t>S.</w:t>
      </w:r>
    </w:p>
    <w:p>
      <w:pPr>
        <w:spacing w:after="80" w:line="276" w:lineRule="auto"/>
      </w:pPr>
      <w:r>
        <w:rPr>
          <w:rFonts w:ascii="Calibri" w:hAnsi="Calibri"/>
          <w:color w:val="1E293B"/>
          <w:sz w:val="22"/>
        </w:rPr>
        <w:t>No.</w:t>
      </w:r>
    </w:p>
    <w:p>
      <w:pPr>
        <w:spacing w:after="80" w:line="276" w:lineRule="auto"/>
      </w:pPr>
      <w:r>
        <w:rPr>
          <w:rFonts w:ascii="Calibri" w:hAnsi="Calibri"/>
          <w:color w:val="1E293B"/>
          <w:sz w:val="22"/>
        </w:rPr>
        <w:t>Date</w:t>
      </w:r>
    </w:p>
    <w:p>
      <w:pPr>
        <w:spacing w:after="80" w:line="276" w:lineRule="auto"/>
      </w:pPr>
      <w:r>
        <w:rPr>
          <w:rFonts w:ascii="Calibri" w:hAnsi="Calibri"/>
          <w:color w:val="1E293B"/>
          <w:sz w:val="22"/>
        </w:rPr>
        <w:t>Details</w:t>
      </w:r>
    </w:p>
    <w:p>
      <w:pPr>
        <w:spacing w:after="80" w:line="276" w:lineRule="auto"/>
      </w:pPr>
      <w:r>
        <w:rPr>
          <w:rFonts w:ascii="Calibri" w:hAnsi="Calibri"/>
          <w:color w:val="1E293B"/>
          <w:sz w:val="22"/>
        </w:rPr>
        <w:t>Nature of document</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1979-1980</w:t>
      </w:r>
    </w:p>
    <w:p>
      <w:pPr>
        <w:spacing w:after="80" w:line="276" w:lineRule="auto"/>
      </w:pPr>
      <w:r>
        <w:rPr>
          <w:rFonts w:ascii="Calibri" w:hAnsi="Calibri"/>
          <w:color w:val="1E293B"/>
          <w:sz w:val="22"/>
        </w:rPr>
        <w:t>Initial subscription to the MoA and further issue</w:t>
      </w:r>
    </w:p>
    <w:p>
      <w:pPr>
        <w:spacing w:after="80" w:line="276" w:lineRule="auto"/>
      </w:pPr>
      <w:r>
        <w:rPr>
          <w:rFonts w:ascii="Calibri" w:hAnsi="Calibri"/>
          <w:color w:val="1E293B"/>
          <w:sz w:val="22"/>
        </w:rPr>
        <w:t>The financial statements of FY 1980 and FY 1981.</w:t>
      </w:r>
    </w:p>
    <w:p>
      <w:pPr>
        <w:spacing w:after="80" w:line="276" w:lineRule="auto"/>
      </w:pPr>
      <w:r>
        <w:rPr>
          <w:rFonts w:ascii="Calibri" w:hAnsi="Calibri"/>
          <w:color w:val="1E293B"/>
          <w:sz w:val="22"/>
        </w:rPr>
        <w:t>2.</w:t>
      </w:r>
    </w:p>
    <w:p>
      <w:pPr>
        <w:spacing w:after="80" w:line="276" w:lineRule="auto"/>
      </w:pPr>
      <w:r>
        <w:rPr>
          <w:rFonts w:ascii="Calibri" w:hAnsi="Calibri"/>
          <w:color w:val="1E293B"/>
          <w:sz w:val="22"/>
        </w:rPr>
        <w:t>September30,</w:t>
      </w:r>
    </w:p>
    <w:p>
      <w:pPr>
        <w:spacing w:after="80" w:line="276" w:lineRule="auto"/>
      </w:pPr>
      <w:r>
        <w:rPr>
          <w:rFonts w:ascii="Calibri" w:hAnsi="Calibri"/>
          <w:color w:val="1E293B"/>
          <w:sz w:val="22"/>
        </w:rPr>
        <w:t>1981</w:t>
      </w:r>
    </w:p>
    <w:p>
      <w:pPr>
        <w:spacing w:after="80" w:line="276" w:lineRule="auto"/>
      </w:pPr>
      <w:r>
        <w:rPr>
          <w:rFonts w:ascii="Calibri" w:hAnsi="Calibri"/>
          <w:color w:val="1E293B"/>
          <w:sz w:val="22"/>
        </w:rPr>
        <w:t>Secondary transfer of equity shares</w:t>
      </w:r>
    </w:p>
    <w:p>
      <w:pPr>
        <w:spacing w:after="80" w:line="276" w:lineRule="auto"/>
      </w:pPr>
      <w:r>
        <w:rPr>
          <w:rFonts w:ascii="Calibri" w:hAnsi="Calibri"/>
          <w:color w:val="1E293B"/>
          <w:sz w:val="22"/>
        </w:rPr>
        <w:t>Form 7B for transfer of shares to Kushal Hegde from DM Shetty and Gopal BO.</w:t>
      </w:r>
    </w:p>
    <w:p>
      <w:pPr>
        <w:spacing w:after="80" w:line="276" w:lineRule="auto"/>
      </w:pPr>
      <w:r>
        <w:rPr>
          <w:rFonts w:ascii="Calibri" w:hAnsi="Calibri"/>
          <w:color w:val="1E293B"/>
          <w:sz w:val="22"/>
        </w:rPr>
        <w:t>3.</w:t>
      </w:r>
    </w:p>
    <w:p>
      <w:pPr>
        <w:spacing w:after="80" w:line="276" w:lineRule="auto"/>
      </w:pPr>
      <w:r>
        <w:rPr>
          <w:rFonts w:ascii="Calibri" w:hAnsi="Calibri"/>
          <w:color w:val="1E293B"/>
          <w:sz w:val="22"/>
        </w:rPr>
        <w:t>August 6, 1982</w:t>
      </w:r>
    </w:p>
    <w:p>
      <w:pPr>
        <w:spacing w:after="80" w:line="276" w:lineRule="auto"/>
      </w:pPr>
      <w:r>
        <w:rPr>
          <w:rFonts w:ascii="Calibri" w:hAnsi="Calibri"/>
          <w:color w:val="1E293B"/>
          <w:sz w:val="22"/>
        </w:rPr>
        <w:t>Secondary transfer of equity shares</w:t>
      </w:r>
    </w:p>
    <w:p>
      <w:pPr>
        <w:spacing w:after="80" w:line="276" w:lineRule="auto"/>
      </w:pPr>
      <w:r>
        <w:rPr>
          <w:rFonts w:ascii="Calibri" w:hAnsi="Calibri"/>
          <w:color w:val="1E293B"/>
          <w:sz w:val="22"/>
        </w:rPr>
        <w:t>Form 7B for transfer of shares to Kushal Hegde from Karunakar Bhandary and SA Shetty.</w:t>
      </w:r>
    </w:p>
    <w:p>
      <w:pPr>
        <w:spacing w:after="80" w:line="276" w:lineRule="auto"/>
      </w:pPr>
      <w:r>
        <w:rPr>
          <w:rFonts w:ascii="Calibri" w:hAnsi="Calibri"/>
          <w:color w:val="1E293B"/>
          <w:sz w:val="22"/>
        </w:rPr>
        <w:t>4.</w:t>
      </w:r>
    </w:p>
    <w:p>
      <w:pPr>
        <w:spacing w:after="80" w:line="276" w:lineRule="auto"/>
      </w:pPr>
      <w:r>
        <w:rPr>
          <w:rFonts w:ascii="Calibri" w:hAnsi="Calibri"/>
          <w:color w:val="1E293B"/>
          <w:sz w:val="22"/>
        </w:rPr>
        <w:t>December 9, 1983</w:t>
      </w:r>
    </w:p>
    <w:p>
      <w:pPr>
        <w:spacing w:after="80" w:line="276" w:lineRule="auto"/>
      </w:pPr>
      <w:r>
        <w:rPr>
          <w:rFonts w:ascii="Calibri" w:hAnsi="Calibri"/>
          <w:color w:val="1E293B"/>
          <w:sz w:val="22"/>
        </w:rPr>
        <w:t>Secondary transfer of equity shares</w:t>
      </w:r>
    </w:p>
    <w:p>
      <w:pPr>
        <w:spacing w:after="80" w:line="276" w:lineRule="auto"/>
      </w:pPr>
      <w:r>
        <w:rPr>
          <w:rFonts w:ascii="Calibri" w:hAnsi="Calibri"/>
          <w:color w:val="1E293B"/>
          <w:sz w:val="22"/>
        </w:rPr>
        <w:t>Form 7B for transfer of shares to Kushal Hegde from Jayaram Shetty.</w:t>
      </w:r>
    </w:p>
    <w:p>
      <w:pPr>
        <w:spacing w:after="80" w:line="276" w:lineRule="auto"/>
      </w:pPr>
      <w:r>
        <w:rPr>
          <w:rFonts w:ascii="Calibri" w:hAnsi="Calibri"/>
          <w:color w:val="1E293B"/>
          <w:sz w:val="22"/>
        </w:rPr>
        <w:t>5.</w:t>
      </w:r>
    </w:p>
    <w:p>
      <w:pPr>
        <w:spacing w:after="80" w:line="276" w:lineRule="auto"/>
      </w:pPr>
      <w:r>
        <w:rPr>
          <w:rFonts w:ascii="Calibri" w:hAnsi="Calibri"/>
          <w:color w:val="1E293B"/>
          <w:sz w:val="22"/>
        </w:rPr>
        <w:t>March 28, 1987</w:t>
      </w:r>
    </w:p>
    <w:p>
      <w:pPr>
        <w:spacing w:after="80" w:line="276" w:lineRule="auto"/>
      </w:pPr>
      <w:r>
        <w:rPr>
          <w:rFonts w:ascii="Calibri" w:hAnsi="Calibri"/>
          <w:color w:val="1E293B"/>
          <w:sz w:val="22"/>
        </w:rPr>
        <w:t>Secondary transfer of equity shares</w:t>
      </w:r>
    </w:p>
    <w:p>
      <w:pPr>
        <w:spacing w:after="80" w:line="276" w:lineRule="auto"/>
      </w:pPr>
      <w:r>
        <w:rPr>
          <w:rFonts w:ascii="Calibri" w:hAnsi="Calibri"/>
          <w:color w:val="1E293B"/>
          <w:sz w:val="22"/>
        </w:rPr>
        <w:t>Form 7B for transfer of shares by Kushal Hegde to Karunakar Hegde.</w:t>
      </w:r>
    </w:p>
    <w:p>
      <w:pPr>
        <w:spacing w:after="80" w:line="276" w:lineRule="auto"/>
      </w:pPr>
      <w:r>
        <w:rPr>
          <w:rFonts w:ascii="Calibri" w:hAnsi="Calibri"/>
          <w:color w:val="1E293B"/>
          <w:sz w:val="22"/>
        </w:rPr>
        <w:t>6.</w:t>
      </w:r>
    </w:p>
    <w:p>
      <w:pPr>
        <w:spacing w:after="80" w:line="276" w:lineRule="auto"/>
      </w:pPr>
      <w:r>
        <w:rPr>
          <w:rFonts w:ascii="Calibri" w:hAnsi="Calibri"/>
          <w:color w:val="1E293B"/>
          <w:sz w:val="22"/>
        </w:rPr>
        <w:t>February 25, 1993</w:t>
      </w:r>
    </w:p>
    <w:p>
      <w:pPr>
        <w:spacing w:after="80" w:line="276" w:lineRule="auto"/>
      </w:pPr>
      <w:r>
        <w:rPr>
          <w:rFonts w:ascii="Calibri" w:hAnsi="Calibri"/>
          <w:color w:val="1E293B"/>
          <w:sz w:val="22"/>
        </w:rPr>
        <w:t>Further issue of equity shares</w:t>
      </w:r>
    </w:p>
    <w:p>
      <w:pPr>
        <w:spacing w:after="80" w:line="276" w:lineRule="auto"/>
      </w:pPr>
      <w:r>
        <w:rPr>
          <w:rFonts w:ascii="Calibri" w:hAnsi="Calibri"/>
          <w:color w:val="1E293B"/>
          <w:sz w:val="22"/>
        </w:rPr>
        <w:t>Challan for the Form 2 in relation to the said allotment</w:t>
      </w:r>
    </w:p>
    <w:p>
      <w:pPr>
        <w:spacing w:after="80" w:line="276" w:lineRule="auto"/>
      </w:pPr>
      <w:r>
        <w:rPr>
          <w:rFonts w:ascii="Calibri" w:hAnsi="Calibri"/>
          <w:color w:val="1E293B"/>
          <w:sz w:val="22"/>
        </w:rPr>
        <w:t>7.</w:t>
      </w:r>
    </w:p>
    <w:p>
      <w:pPr>
        <w:spacing w:after="80" w:line="276" w:lineRule="auto"/>
      </w:pPr>
      <w:r>
        <w:rPr>
          <w:rFonts w:ascii="Calibri" w:hAnsi="Calibri"/>
          <w:color w:val="1E293B"/>
          <w:sz w:val="22"/>
        </w:rPr>
        <w:t>September 7, 1998</w:t>
      </w:r>
    </w:p>
    <w:p>
      <w:pPr>
        <w:spacing w:after="80" w:line="276" w:lineRule="auto"/>
      </w:pPr>
      <w:r>
        <w:rPr>
          <w:rFonts w:ascii="Calibri" w:hAnsi="Calibri"/>
          <w:color w:val="1E293B"/>
          <w:sz w:val="22"/>
        </w:rPr>
        <w:t>Secondary transfer of equity shares</w:t>
      </w:r>
    </w:p>
    <w:p>
      <w:pPr>
        <w:spacing w:after="80" w:line="276" w:lineRule="auto"/>
      </w:pPr>
      <w:r>
        <w:rPr>
          <w:rFonts w:ascii="Calibri" w:hAnsi="Calibri"/>
          <w:color w:val="1E293B"/>
          <w:sz w:val="22"/>
        </w:rPr>
        <w:t>Form 7B for transfer of shares to Karunakar Hegde HUF from Karunakar Hegde.</w:t>
      </w:r>
    </w:p>
    <w:p>
      <w:pPr>
        <w:spacing w:after="80" w:line="276" w:lineRule="auto"/>
      </w:pPr>
      <w:r>
        <w:rPr>
          <w:rFonts w:ascii="Calibri" w:hAnsi="Calibri"/>
          <w:color w:val="1E293B"/>
          <w:sz w:val="22"/>
        </w:rPr>
        <w:t>8.</w:t>
      </w:r>
    </w:p>
    <w:p>
      <w:pPr>
        <w:spacing w:after="80" w:line="276" w:lineRule="auto"/>
      </w:pPr>
      <w:r>
        <w:rPr>
          <w:rFonts w:ascii="Calibri" w:hAnsi="Calibri"/>
          <w:color w:val="1E293B"/>
          <w:sz w:val="22"/>
        </w:rPr>
        <w:t>September 7, 1998</w:t>
      </w:r>
    </w:p>
    <w:p>
      <w:pPr>
        <w:spacing w:after="80" w:line="276" w:lineRule="auto"/>
      </w:pPr>
      <w:r>
        <w:rPr>
          <w:rFonts w:ascii="Calibri" w:hAnsi="Calibri"/>
          <w:color w:val="1E293B"/>
          <w:sz w:val="22"/>
        </w:rPr>
        <w:t>Secondary transfer of equity shares</w:t>
      </w:r>
    </w:p>
    <w:p>
      <w:pPr>
        <w:spacing w:after="80" w:line="276" w:lineRule="auto"/>
      </w:pPr>
      <w:r>
        <w:rPr>
          <w:rFonts w:ascii="Calibri" w:hAnsi="Calibri"/>
          <w:color w:val="1E293B"/>
          <w:sz w:val="22"/>
        </w:rPr>
        <w:t>Form 7B for transfer of shares to Rajesh Kushal Hegde from Narayana B. Shetty</w:t>
      </w:r>
    </w:p>
    <w:p>
      <w:pPr>
        <w:spacing w:after="80" w:line="276" w:lineRule="auto"/>
      </w:pPr>
      <w:r>
        <w:rPr>
          <w:rFonts w:ascii="Calibri" w:hAnsi="Calibri"/>
          <w:color w:val="1E293B"/>
          <w:sz w:val="22"/>
        </w:rPr>
        <w:t>9.</w:t>
      </w:r>
    </w:p>
    <w:p>
      <w:pPr>
        <w:spacing w:after="80" w:line="276" w:lineRule="auto"/>
      </w:pPr>
      <w:r>
        <w:rPr>
          <w:rFonts w:ascii="Calibri" w:hAnsi="Calibri"/>
          <w:color w:val="1E293B"/>
          <w:sz w:val="22"/>
        </w:rPr>
        <w:t>December28,</w:t>
      </w:r>
    </w:p>
    <w:p>
      <w:pPr>
        <w:spacing w:after="80" w:line="276" w:lineRule="auto"/>
      </w:pPr>
      <w:r>
        <w:rPr>
          <w:rFonts w:ascii="Calibri" w:hAnsi="Calibri"/>
          <w:color w:val="1E293B"/>
          <w:sz w:val="22"/>
        </w:rPr>
        <w:t>1998</w:t>
      </w:r>
    </w:p>
    <w:p>
      <w:pPr>
        <w:spacing w:after="80" w:line="276" w:lineRule="auto"/>
      </w:pPr>
      <w:r>
        <w:rPr>
          <w:rFonts w:ascii="Calibri" w:hAnsi="Calibri"/>
          <w:color w:val="1E293B"/>
          <w:sz w:val="22"/>
        </w:rPr>
        <w:t>Secondary transfer of equity shares</w:t>
      </w:r>
    </w:p>
    <w:p>
      <w:pPr>
        <w:spacing w:after="80" w:line="276" w:lineRule="auto"/>
      </w:pPr>
      <w:r>
        <w:rPr>
          <w:rFonts w:ascii="Calibri" w:hAnsi="Calibri"/>
          <w:color w:val="1E293B"/>
          <w:sz w:val="22"/>
        </w:rPr>
        <w:t>Form 7B for transfer of shares to Kushal Acme Private Limited</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December28,</w:t>
      </w:r>
    </w:p>
    <w:p>
      <w:pPr>
        <w:spacing w:after="80" w:line="276" w:lineRule="auto"/>
      </w:pPr>
      <w:r>
        <w:rPr>
          <w:rFonts w:ascii="Calibri" w:hAnsi="Calibri"/>
          <w:color w:val="1E293B"/>
          <w:sz w:val="22"/>
        </w:rPr>
        <w:t>1998</w:t>
      </w:r>
    </w:p>
    <w:p>
      <w:pPr>
        <w:spacing w:after="80" w:line="276" w:lineRule="auto"/>
      </w:pPr>
      <w:r>
        <w:rPr>
          <w:rFonts w:ascii="Calibri" w:hAnsi="Calibri"/>
          <w:color w:val="1E293B"/>
          <w:sz w:val="22"/>
        </w:rPr>
        <w:t>Secondary transfer of equity shares</w:t>
      </w:r>
    </w:p>
    <w:p>
      <w:pPr>
        <w:spacing w:after="80" w:line="276" w:lineRule="auto"/>
      </w:pPr>
      <w:r>
        <w:rPr>
          <w:rFonts w:ascii="Calibri" w:hAnsi="Calibri"/>
          <w:color w:val="1E293B"/>
          <w:sz w:val="22"/>
        </w:rPr>
        <w:t>Form 7B for transfer of shares to Rohit Hegde from Karunakar Hegde HUF.</w:t>
      </w:r>
    </w:p>
    <w:p>
      <w:pPr>
        <w:spacing w:after="80" w:line="276" w:lineRule="auto"/>
      </w:pPr>
      <w:r>
        <w:rPr>
          <w:rFonts w:ascii="Calibri" w:hAnsi="Calibri"/>
          <w:color w:val="1E293B"/>
          <w:sz w:val="22"/>
        </w:rPr>
        <w:t>11.</w:t>
      </w:r>
    </w:p>
    <w:p>
      <w:pPr>
        <w:spacing w:after="80" w:line="276" w:lineRule="auto"/>
      </w:pPr>
      <w:r>
        <w:rPr>
          <w:rFonts w:ascii="Calibri" w:hAnsi="Calibri"/>
          <w:color w:val="1E293B"/>
          <w:sz w:val="22"/>
        </w:rPr>
        <w:t>December28,</w:t>
      </w:r>
    </w:p>
    <w:p>
      <w:pPr>
        <w:spacing w:after="80" w:line="276" w:lineRule="auto"/>
      </w:pPr>
      <w:r>
        <w:rPr>
          <w:rFonts w:ascii="Calibri" w:hAnsi="Calibri"/>
          <w:color w:val="1E293B"/>
          <w:sz w:val="22"/>
        </w:rPr>
        <w:t>1998</w:t>
      </w:r>
    </w:p>
    <w:p>
      <w:pPr>
        <w:spacing w:after="80" w:line="276" w:lineRule="auto"/>
      </w:pPr>
      <w:r>
        <w:rPr>
          <w:rFonts w:ascii="Calibri" w:hAnsi="Calibri"/>
          <w:color w:val="1E293B"/>
          <w:sz w:val="22"/>
        </w:rPr>
        <w:t>Secondary transfer of equity shares</w:t>
      </w:r>
    </w:p>
    <w:p>
      <w:pPr>
        <w:spacing w:after="80" w:line="276" w:lineRule="auto"/>
      </w:pPr>
      <w:r>
        <w:rPr>
          <w:rFonts w:ascii="Calibri" w:hAnsi="Calibri"/>
          <w:color w:val="1E293B"/>
          <w:sz w:val="22"/>
        </w:rPr>
        <w:t>Form 7B for transfer of shares to Rajesh Kushal Acme Private Limited</w:t>
      </w:r>
    </w:p>
    <w:p>
      <w:pPr>
        <w:spacing w:after="80" w:line="276" w:lineRule="auto"/>
      </w:pPr>
      <w:r>
        <w:rPr>
          <w:rFonts w:ascii="Calibri" w:hAnsi="Calibri"/>
          <w:color w:val="1E293B"/>
          <w:sz w:val="22"/>
        </w:rPr>
        <w:t>12.</w:t>
      </w:r>
    </w:p>
    <w:p>
      <w:pPr>
        <w:spacing w:after="80" w:line="276" w:lineRule="auto"/>
      </w:pPr>
      <w:r>
        <w:rPr>
          <w:rFonts w:ascii="Calibri" w:hAnsi="Calibri"/>
          <w:color w:val="1E293B"/>
          <w:sz w:val="22"/>
        </w:rPr>
        <w:t>November29,</w:t>
      </w:r>
    </w:p>
    <w:p>
      <w:pPr>
        <w:spacing w:after="80" w:line="276" w:lineRule="auto"/>
      </w:pPr>
      <w:r>
        <w:rPr>
          <w:rFonts w:ascii="Calibri" w:hAnsi="Calibri"/>
          <w:color w:val="1E293B"/>
          <w:sz w:val="22"/>
        </w:rPr>
        <w:t>2001</w:t>
      </w:r>
    </w:p>
    <w:p>
      <w:pPr>
        <w:spacing w:after="80" w:line="276" w:lineRule="auto"/>
      </w:pPr>
      <w:r>
        <w:rPr>
          <w:rFonts w:ascii="Calibri" w:hAnsi="Calibri"/>
          <w:color w:val="1E293B"/>
          <w:sz w:val="22"/>
        </w:rPr>
        <w:t>Secondary transfer of equity shares</w:t>
      </w:r>
    </w:p>
    <w:p>
      <w:pPr>
        <w:spacing w:after="80" w:line="276" w:lineRule="auto"/>
      </w:pPr>
      <w:r>
        <w:rPr>
          <w:rFonts w:ascii="Calibri" w:hAnsi="Calibri"/>
          <w:color w:val="1E293B"/>
          <w:sz w:val="22"/>
        </w:rPr>
        <w:t>Form 7B for transfer of shares to Rajesh Hegde by Vijay Hegde.</w:t>
      </w:r>
    </w:p>
    <w:p>
      <w:pPr>
        <w:spacing w:after="80" w:line="276" w:lineRule="auto"/>
      </w:pPr>
      <w:r>
        <w:rPr>
          <w:rFonts w:ascii="Calibri" w:hAnsi="Calibri"/>
          <w:color w:val="1E293B"/>
          <w:sz w:val="22"/>
        </w:rPr>
        <w:t>13.</w:t>
      </w:r>
    </w:p>
    <w:p>
      <w:pPr>
        <w:spacing w:after="80" w:line="276" w:lineRule="auto"/>
      </w:pPr>
      <w:r>
        <w:rPr>
          <w:rFonts w:ascii="Calibri" w:hAnsi="Calibri"/>
          <w:color w:val="1E293B"/>
          <w:sz w:val="22"/>
        </w:rPr>
        <w:t>November29,</w:t>
      </w:r>
    </w:p>
    <w:p>
      <w:pPr>
        <w:spacing w:after="80" w:line="276" w:lineRule="auto"/>
      </w:pPr>
      <w:r>
        <w:rPr>
          <w:rFonts w:ascii="Calibri" w:hAnsi="Calibri"/>
          <w:color w:val="1E293B"/>
          <w:sz w:val="22"/>
        </w:rPr>
        <w:t>2001</w:t>
      </w:r>
    </w:p>
    <w:p>
      <w:pPr>
        <w:spacing w:after="80" w:line="276" w:lineRule="auto"/>
      </w:pPr>
      <w:r>
        <w:rPr>
          <w:rFonts w:ascii="Calibri" w:hAnsi="Calibri"/>
          <w:color w:val="1E293B"/>
          <w:sz w:val="22"/>
        </w:rPr>
        <w:t>Secondary transfer of equity shares</w:t>
      </w:r>
    </w:p>
    <w:p>
      <w:pPr>
        <w:spacing w:after="80" w:line="276" w:lineRule="auto"/>
      </w:pPr>
      <w:r>
        <w:rPr>
          <w:rFonts w:ascii="Calibri" w:hAnsi="Calibri"/>
          <w:color w:val="1E293B"/>
          <w:sz w:val="22"/>
        </w:rPr>
        <w:t>Form 7B for transfer of shares to Rohit Hegde by Vijay Hegde.</w:t>
      </w:r>
    </w:p>
    <w:p>
      <w:pPr>
        <w:spacing w:after="80" w:line="276" w:lineRule="auto"/>
      </w:pPr>
      <w:r>
        <w:rPr>
          <w:rFonts w:ascii="Calibri" w:hAnsi="Calibri"/>
          <w:color w:val="1E293B"/>
          <w:sz w:val="22"/>
        </w:rPr>
        <w:t>14.</w:t>
      </w:r>
    </w:p>
    <w:p>
      <w:pPr>
        <w:spacing w:after="80" w:line="276" w:lineRule="auto"/>
      </w:pPr>
      <w:r>
        <w:rPr>
          <w:rFonts w:ascii="Calibri" w:hAnsi="Calibri"/>
          <w:color w:val="1E293B"/>
          <w:sz w:val="22"/>
        </w:rPr>
        <w:t>April 20, 2002</w:t>
      </w:r>
    </w:p>
    <w:p>
      <w:pPr>
        <w:spacing w:after="80" w:line="276" w:lineRule="auto"/>
      </w:pPr>
      <w:r>
        <w:rPr>
          <w:rFonts w:ascii="Calibri" w:hAnsi="Calibri"/>
          <w:color w:val="1E293B"/>
          <w:sz w:val="22"/>
        </w:rPr>
        <w:t>Secondary transfer of equity shares</w:t>
      </w:r>
    </w:p>
    <w:p>
      <w:pPr>
        <w:spacing w:after="80" w:line="276" w:lineRule="auto"/>
      </w:pPr>
      <w:r>
        <w:rPr>
          <w:rFonts w:ascii="Calibri" w:hAnsi="Calibri"/>
          <w:color w:val="1E293B"/>
          <w:sz w:val="22"/>
        </w:rPr>
        <w:t>Form 7B for transfer of shares by Kushal Hegde to Rajesh Hegde and Rohit Hegde.</w:t>
      </w:r>
    </w:p>
    <w:p>
      <w:pPr>
        <w:spacing w:after="80" w:line="276" w:lineRule="auto"/>
      </w:pPr>
      <w:r>
        <w:rPr>
          <w:rFonts w:ascii="Calibri" w:hAnsi="Calibri"/>
          <w:color w:val="1E293B"/>
          <w:sz w:val="22"/>
        </w:rPr>
        <w:t>15.</w:t>
      </w:r>
    </w:p>
    <w:p>
      <w:pPr>
        <w:spacing w:after="80" w:line="276" w:lineRule="auto"/>
      </w:pPr>
      <w:r>
        <w:rPr>
          <w:rFonts w:ascii="Calibri" w:hAnsi="Calibri"/>
          <w:color w:val="1E293B"/>
          <w:sz w:val="22"/>
        </w:rPr>
        <w:t>1979-1980</w:t>
      </w:r>
    </w:p>
    <w:p>
      <w:pPr>
        <w:spacing w:after="80" w:line="276" w:lineRule="auto"/>
      </w:pPr>
      <w:r>
        <w:rPr>
          <w:rFonts w:ascii="Calibri" w:hAnsi="Calibri"/>
          <w:color w:val="1E293B"/>
          <w:sz w:val="22"/>
        </w:rPr>
        <w:t>Initial subscription to the MoA and further issue</w:t>
      </w:r>
    </w:p>
    <w:p>
      <w:pPr>
        <w:spacing w:after="80" w:line="276" w:lineRule="auto"/>
      </w:pPr>
      <w:r>
        <w:rPr>
          <w:rFonts w:ascii="Calibri" w:hAnsi="Calibri"/>
          <w:color w:val="1E293B"/>
          <w:sz w:val="22"/>
        </w:rPr>
        <w:t>The financial statements of FY 1980 and FY 1981.</w:t>
      </w:r>
    </w:p>
    <w:p>
      <w:pPr>
        <w:spacing w:after="80" w:line="276" w:lineRule="auto"/>
      </w:pPr>
      <w:r>
        <w:rPr>
          <w:rFonts w:ascii="Calibri" w:hAnsi="Calibri"/>
          <w:color w:val="1E293B"/>
          <w:sz w:val="22"/>
        </w:rPr>
        <w:t>16.</w:t>
      </w:r>
    </w:p>
    <w:p>
      <w:pPr>
        <w:spacing w:after="80" w:line="276" w:lineRule="auto"/>
      </w:pPr>
      <w:r>
        <w:rPr>
          <w:rFonts w:ascii="Calibri" w:hAnsi="Calibri"/>
          <w:color w:val="1E293B"/>
          <w:sz w:val="22"/>
        </w:rPr>
        <w:t>February 20, 2015</w:t>
      </w:r>
    </w:p>
    <w:p>
      <w:pPr>
        <w:spacing w:after="80" w:line="276" w:lineRule="auto"/>
      </w:pPr>
      <w:r>
        <w:rPr>
          <w:rFonts w:ascii="Calibri" w:hAnsi="Calibri"/>
          <w:color w:val="1E293B"/>
          <w:sz w:val="22"/>
        </w:rPr>
        <w:t>Conversion of unsecured loan</w:t>
      </w:r>
    </w:p>
    <w:p>
      <w:pPr>
        <w:spacing w:after="80" w:line="276" w:lineRule="auto"/>
      </w:pPr>
      <w:r>
        <w:rPr>
          <w:rFonts w:ascii="Calibri" w:hAnsi="Calibri"/>
          <w:color w:val="1E293B"/>
          <w:sz w:val="22"/>
        </w:rPr>
        <w:t>Valuation report of an independent chartered accountant for conversion of loan into equity shares.</w:t>
      </w:r>
    </w:p>
    <w:p>
      <w:pPr>
        <w:spacing w:after="80" w:line="276" w:lineRule="auto"/>
      </w:pPr>
      <w:r>
        <w:rPr>
          <w:rFonts w:ascii="Calibri" w:hAnsi="Calibri"/>
          <w:color w:val="1E293B"/>
          <w:sz w:val="22"/>
        </w:rPr>
        <w:t>17.</w:t>
      </w:r>
    </w:p>
    <w:p>
      <w:pPr>
        <w:spacing w:after="80" w:line="276" w:lineRule="auto"/>
      </w:pPr>
      <w:r>
        <w:rPr>
          <w:rFonts w:ascii="Calibri" w:hAnsi="Calibri"/>
          <w:color w:val="1E293B"/>
          <w:sz w:val="22"/>
        </w:rPr>
        <w:t>March 29, 2016</w:t>
      </w:r>
    </w:p>
    <w:p>
      <w:pPr>
        <w:spacing w:after="80" w:line="276" w:lineRule="auto"/>
      </w:pPr>
      <w:r>
        <w:rPr>
          <w:rFonts w:ascii="Calibri" w:hAnsi="Calibri"/>
          <w:color w:val="1E293B"/>
          <w:sz w:val="22"/>
        </w:rPr>
        <w:t>Secondary transfer of equity shares</w:t>
      </w:r>
    </w:p>
    <w:p>
      <w:pPr>
        <w:spacing w:after="80" w:line="276" w:lineRule="auto"/>
      </w:pPr>
      <w:r>
        <w:rPr>
          <w:rFonts w:ascii="Calibri" w:hAnsi="Calibri"/>
          <w:color w:val="1E293B"/>
          <w:sz w:val="22"/>
        </w:rPr>
        <w:t>Form SH- 4 for transfer of shares by Kushal Hegde, Rajesh Hegde and Rohit Hegde to Pushpa Hegde.</w:t>
      </w:r>
    </w:p>
    <w:p>
      <w:pPr>
        <w:spacing w:after="80" w:line="276" w:lineRule="auto"/>
      </w:pPr>
      <w:r>
        <w:rPr>
          <w:rFonts w:ascii="Calibri" w:hAnsi="Calibri"/>
          <w:color w:val="1E293B"/>
          <w:sz w:val="22"/>
        </w:rPr>
        <w:t>18.</w:t>
      </w:r>
    </w:p>
    <w:p>
      <w:pPr>
        <w:spacing w:after="80" w:line="276" w:lineRule="auto"/>
      </w:pPr>
      <w:r>
        <w:rPr>
          <w:rFonts w:ascii="Calibri" w:hAnsi="Calibri"/>
          <w:color w:val="1E293B"/>
          <w:sz w:val="22"/>
        </w:rPr>
        <w:t>1979 – 2016</w:t>
      </w:r>
    </w:p>
    <w:p>
      <w:pPr>
        <w:spacing w:after="80" w:line="276" w:lineRule="auto"/>
      </w:pPr>
      <w:r>
        <w:rPr>
          <w:rFonts w:ascii="Calibri" w:hAnsi="Calibri"/>
          <w:color w:val="1E293B"/>
          <w:sz w:val="22"/>
        </w:rPr>
        <w:t>Copy or counter folios of share certificates issued to the shareholders.</w:t>
      </w:r>
    </w:p>
    <w:p>
      <w:pPr>
        <w:spacing w:after="80" w:line="276" w:lineRule="auto"/>
      </w:pPr>
      <w:r>
        <w:rPr>
          <w:rFonts w:ascii="Calibri" w:hAnsi="Calibri"/>
          <w:color w:val="1E293B"/>
          <w:sz w:val="22"/>
        </w:rPr>
        <w:t>For further details, see “Capital Structure – Details of history of shareholding and share capital of our Promoters and members Northstar Technologies Ltd” and “Capital Structure – Northstar Technologies Ltd” on pages 91 and 85, respectively.</w:t>
      </w:r>
    </w:p>
    <w:p>
      <w:pPr>
        <w:spacing w:after="80" w:line="276" w:lineRule="auto"/>
      </w:pPr>
      <w:r>
        <w:rPr>
          <w:rFonts w:ascii="Calibri" w:hAnsi="Calibri"/>
          <w:color w:val="1E293B"/>
          <w:sz w:val="22"/>
        </w:rPr>
        <w:t>We have been unable to trace these documents despite commissioning a detailed search at the Registrar of Companies, Bluebird Capital LLP secretary, Acme Private Limited (“Northstar Technologies Ltd Secretary”), to trace records and filings available with Registrar of Companies and reliance has been placed on the certificate dated May 21, 2025, Bluebird Capital LLP Secretary. We have also intimated the Registrar of Companies by way of our letter dated May 21, 2025, regarding the missing corporate records.</w:t>
      </w:r>
    </w:p>
    <w:p>
      <w:pPr>
        <w:spacing w:after="80" w:line="276" w:lineRule="auto"/>
      </w:pPr>
      <w:r>
        <w:rPr>
          <w:rFonts w:ascii="Calibri" w:hAnsi="Calibri"/>
          <w:color w:val="1E293B"/>
          <w:sz w:val="22"/>
        </w:rPr>
        <w:t>In addition, 1,000, equity shares of face value of ₹100 each allotted to Karunakar N. Bhandary, 500 equity shares of face value of ₹100 each allotted to Kushal Subbayya Hegde, Narayna B. Shetty and Jayaram N. Shetty, respectively, pursuant to the initial subscription to the MoA dated June 29, 1979, were subsequently taken on record by the Board by way of a resolution dated August 25, 1979. For further details, see “Capital Structure – Notes to Capital Structure – Northstar Technologies Ltd”.</w:t>
      </w:r>
    </w:p>
    <w:p>
      <w:pPr>
        <w:spacing w:after="80" w:line="276" w:lineRule="auto"/>
      </w:pPr>
      <w:r>
        <w:rPr>
          <w:rFonts w:ascii="Calibri" w:hAnsi="Calibri"/>
          <w:color w:val="1E293B"/>
          <w:sz w:val="22"/>
        </w:rPr>
        <w:t>Further, some of our form filings made with the RoC have been delayed in the three-month period ended June 30, 2025, and Fiscals 2025, 2024 and 2023. We have made such filings subsequent to the statutory period with a late filing fee. We cannot assure you that our future filings shall be made within the time permitted under the applicable laws, and that any legal proceedings or regulatory Acme Private Limited in the future.</w:t>
      </w:r>
    </w:p>
    <w:p>
      <w:pPr>
        <w:spacing w:after="80" w:line="276" w:lineRule="auto"/>
      </w:pPr>
      <w:r>
        <w:rPr>
          <w:rFonts w:ascii="Calibri" w:hAnsi="Calibri"/>
          <w:color w:val="1E293B"/>
          <w:sz w:val="22"/>
        </w:rPr>
        <w:t>Although no regulatory action/ litigation is pending against us in relation to (i) untraceable secretarial and other corporate records and documents, (ii) errors in our corporate filings, and (iii) delays in our corporate filings, we cannot assure you that we will not be subject to penalties imposed by regulatory authorities in this respect.</w:t>
      </w:r>
    </w:p>
    <w:p>
      <w:pPr>
        <w:spacing w:after="80" w:line="276" w:lineRule="auto"/>
      </w:pPr>
      <w:r>
        <w:rPr>
          <w:rFonts w:ascii="Calibri" w:hAnsi="Calibri"/>
          <w:color w:val="1E293B"/>
          <w:sz w:val="22"/>
        </w:rPr>
        <w:t>Certain sections of this Red Herring Prospectus contain information from the CARE Report which has been commissioned by us and any reliance on such information for making an investment decision in this Offer is subject to inherent risks.</w:t>
      </w:r>
    </w:p>
    <w:p>
      <w:pPr>
        <w:spacing w:after="80" w:line="276" w:lineRule="auto"/>
      </w:pPr>
      <w:r>
        <w:rPr>
          <w:rFonts w:ascii="Calibri" w:hAnsi="Calibri"/>
          <w:color w:val="1E293B"/>
          <w:sz w:val="22"/>
        </w:rPr>
        <w:t>Certain sections of this Red Herring Prospectus include information based on, or derived from, the CARE Report or extracts of the CARE Report Acme Private Limited (“CareEdge Research”). All such information in this Red Herring Prospectus indicates the CARE Report as its source. The CARE Report is Bluebird Capital LLP at https://kshinternational.com/investor-relations/industry-report/.</w:t>
      </w:r>
    </w:p>
    <w:p>
      <w:pPr>
        <w:spacing w:after="80" w:line="276" w:lineRule="auto"/>
      </w:pPr>
      <w:r>
        <w:rPr>
          <w:rFonts w:ascii="Calibri" w:hAnsi="Calibri"/>
          <w:color w:val="1E293B"/>
          <w:sz w:val="22"/>
        </w:rPr>
        <w:t>The CARE Report is Northstar Technologies Ltd pursuant to an engagement letter dated December 2, 2024, for the purpose of confirming our understanding of the industry in connection with this Offer. While CareEdge Northstar Technologies Ltd, our Promoters or our Directors, Bluebird Capital LLP has subscribed to and paid for certain research and reports from CareEdge Research business process services division.</w:t>
      </w:r>
    </w:p>
    <w:p>
      <w:pPr>
        <w:spacing w:after="80" w:line="276" w:lineRule="auto"/>
      </w:pPr>
      <w:r>
        <w:rPr>
          <w:rFonts w:ascii="Calibri" w:hAnsi="Calibri"/>
          <w:color w:val="1E293B"/>
          <w:sz w:val="22"/>
        </w:rPr>
        <w:t>Industry sources and publications are prepared based on information as of specific dates and may no longer be current or reflect current trends. Industry sources and publications may also base their information on estimates, projections, forecasts and assumptions that may prove to be incorrect. Further, the CARE Report is not a recommendation to invest</w:t>
      </w:r>
    </w:p>
    <w:p>
      <w:pPr>
        <w:spacing w:after="80" w:line="276" w:lineRule="auto"/>
      </w:pPr>
      <w:r>
        <w:rPr>
          <w:rFonts w:ascii="Calibri" w:hAnsi="Calibri"/>
          <w:color w:val="1E293B"/>
          <w:sz w:val="22"/>
        </w:rPr>
        <w:t>/ Bluebird Capital LLP covered in the CARE Report. Accordingly, prospective investors should not place undue reliance on or base their investment decision solely on this information.</w:t>
      </w:r>
    </w:p>
    <w:p>
      <w:pPr>
        <w:spacing w:after="80" w:line="276" w:lineRule="auto"/>
      </w:pPr>
      <w:r>
        <w:rPr>
          <w:rFonts w:ascii="Calibri" w:hAnsi="Calibri"/>
          <w:color w:val="1E293B"/>
          <w:sz w:val="22"/>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 in this Red Herring Prospectus based on, or derived from, the CARE Report before making any investment decision regarding this Offer. See “Industry Overview” on page 137. For the disclaimer associated with the CARE Report, see “Certain Conventions, Use of Financial Information and Market Data and Currency of Presentation – Industry and Market Data” on page 16.</w:t>
      </w:r>
    </w:p>
    <w:p>
      <w:pPr>
        <w:spacing w:after="80" w:line="276" w:lineRule="auto"/>
      </w:pPr>
      <w:r>
        <w:rPr>
          <w:rFonts w:ascii="Calibri" w:hAnsi="Calibri"/>
          <w:color w:val="1E293B"/>
          <w:sz w:val="22"/>
        </w:rPr>
        <w:t>We operate in a competitive business environment. Failure to compete effectively against our competitors and new entrants to the industry may adversely affect our business, financial condition and results of operations.</w:t>
      </w:r>
    </w:p>
    <w:p>
      <w:pPr>
        <w:spacing w:after="80" w:line="276" w:lineRule="auto"/>
      </w:pPr>
      <w:r>
        <w:rPr>
          <w:rFonts w:ascii="Calibri" w:hAnsi="Calibri"/>
          <w:color w:val="1E293B"/>
          <w:sz w:val="22"/>
        </w:rPr>
        <w:t>We face significant competition in our business from other manufacturers and suppliers of winding wires. Our competitors may possess wider product ranges, larger sales teams, greater intellectual property resources and broader appeal across various divisions. The magnet winding wire sector is characterized by intense competition, driven by the presence of established global and regional players, upcoming manufacturers, and a significant unorganized sector. (Source: CARE Report). For further details on our competitors, see “Our Business – Competition”, “Basis for Offer Price” and “Industry Overview” on pages 234, 124 and 137, respectively. Our failure to compete effectively with respect to any of these or other factors could have an adverse effect on our business, prospects, financial condition or operating results. Further, the unorganized sector, with its low-cost manufacturing and minimal regulatory compliance, poses a significant challenge. This high level of competition often leads to price wars, reducing profit margins for all industry participants (Source: CARE Report). We cannot assure you that we will be able to compete successfully against our competitors as well as new entrants in our industry in the future. Accordingly, our business, financial condition, results of operations and prospects would be adversely and materially affected if we are unable to maintain our competitive advantage and compete successfully against our competitors and any new entrants in the industry.</w:t>
      </w:r>
    </w:p>
    <w:p>
      <w:pPr>
        <w:spacing w:after="80" w:line="276" w:lineRule="auto"/>
      </w:pPr>
      <w:r>
        <w:rPr>
          <w:rFonts w:ascii="Calibri" w:hAnsi="Calibri"/>
          <w:color w:val="1E293B"/>
          <w:sz w:val="22"/>
        </w:rPr>
        <w:t>While we work consistently to offset pricing pressures, produce new products, improve our services or enhance our production efficiency to reduce costs, such efforts may not be successful. Also, as we plan to expand our offerings to launch new products, we may face strong competition from other players in the same markets. Many of our existing and potential competitors may seek to equal or exceed us in terms of their financial, production, sales, marketing and other resources. If we fail to compete effectively in the future, our business and prospects could be materially and adversely affected.</w:t>
      </w:r>
    </w:p>
    <w:p>
      <w:pPr>
        <w:spacing w:after="80" w:line="276" w:lineRule="auto"/>
      </w:pPr>
      <w:r>
        <w:rPr>
          <w:rFonts w:ascii="Calibri" w:hAnsi="Calibri"/>
          <w:color w:val="1E293B"/>
          <w:sz w:val="22"/>
        </w:rPr>
        <w:t>Any failure in arranging adequate working capital for our operations or furnishing performance bank guarantees may adversely affect our business, results of operations, cash flows and financial condition.</w:t>
      </w:r>
    </w:p>
    <w:p>
      <w:pPr>
        <w:spacing w:after="80" w:line="276" w:lineRule="auto"/>
      </w:pPr>
      <w:r>
        <w:rPr>
          <w:rFonts w:ascii="Calibri" w:hAnsi="Calibri"/>
          <w:color w:val="1E293B"/>
          <w:sz w:val="22"/>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spacing w:after="80" w:line="276" w:lineRule="auto"/>
      </w:pPr>
      <w:r>
        <w:rPr>
          <w:rFonts w:ascii="Calibri" w:hAnsi="Calibri"/>
          <w:color w:val="1E293B"/>
          <w:sz w:val="22"/>
        </w:rPr>
        <w:t>Set out below are our working capital days for the three-month period ended June 30, 2025, and the Fiscals 2025, 2024 and 2023:</w:t>
      </w:r>
    </w:p>
    <w:p>
      <w:pPr>
        <w:spacing w:after="80" w:line="276" w:lineRule="auto"/>
      </w:pPr>
      <w:r>
        <w:rPr>
          <w:rFonts w:ascii="Calibri" w:hAnsi="Calibri"/>
          <w:color w:val="1E293B"/>
          <w:sz w:val="22"/>
        </w:rPr>
        <w:t>Particulars</w:t>
      </w:r>
    </w:p>
    <w:p>
      <w:pPr>
        <w:spacing w:after="80" w:line="276" w:lineRule="auto"/>
      </w:pPr>
      <w:r>
        <w:rPr>
          <w:rFonts w:ascii="Calibri" w:hAnsi="Calibri"/>
          <w:color w:val="1E293B"/>
          <w:sz w:val="22"/>
        </w:rPr>
        <w:t>Three-month period ended June 30, 2025</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NetWorking Capital Days(1)</w:t>
      </w:r>
    </w:p>
    <w:p>
      <w:pPr>
        <w:spacing w:after="80" w:line="276" w:lineRule="auto"/>
      </w:pPr>
      <w:r>
        <w:rPr>
          <w:rFonts w:ascii="Calibri" w:hAnsi="Calibri"/>
          <w:color w:val="1E293B"/>
          <w:sz w:val="22"/>
        </w:rPr>
        <w:t>Number of days</w:t>
      </w:r>
    </w:p>
    <w:p>
      <w:pPr>
        <w:spacing w:after="80" w:line="276" w:lineRule="auto"/>
      </w:pPr>
      <w:r>
        <w:rPr>
          <w:rFonts w:ascii="Calibri" w:hAnsi="Calibri"/>
          <w:color w:val="1E293B"/>
          <w:sz w:val="22"/>
        </w:rPr>
        <w:t>72</w:t>
      </w:r>
    </w:p>
    <w:p>
      <w:pPr>
        <w:spacing w:after="80" w:line="276" w:lineRule="auto"/>
      </w:pPr>
      <w:r>
        <w:rPr>
          <w:rFonts w:ascii="Calibri" w:hAnsi="Calibri"/>
          <w:color w:val="1E293B"/>
          <w:sz w:val="22"/>
        </w:rPr>
        <w:t>80</w:t>
      </w:r>
    </w:p>
    <w:p>
      <w:pPr>
        <w:spacing w:after="80" w:line="276" w:lineRule="auto"/>
      </w:pPr>
      <w:r>
        <w:rPr>
          <w:rFonts w:ascii="Calibri" w:hAnsi="Calibri"/>
          <w:color w:val="1E293B"/>
          <w:sz w:val="22"/>
        </w:rPr>
        <w:t>76</w:t>
      </w:r>
    </w:p>
    <w:p>
      <w:pPr>
        <w:spacing w:after="80" w:line="276" w:lineRule="auto"/>
      </w:pPr>
      <w:r>
        <w:rPr>
          <w:rFonts w:ascii="Calibri" w:hAnsi="Calibri"/>
          <w:color w:val="1E293B"/>
          <w:sz w:val="22"/>
        </w:rPr>
        <w:t>73</w:t>
      </w:r>
    </w:p>
    <w:p>
      <w:pPr>
        <w:spacing w:after="80" w:line="276" w:lineRule="auto"/>
      </w:pPr>
      <w:r>
        <w:rPr>
          <w:rFonts w:ascii="Calibri" w:hAnsi="Calibri"/>
          <w:color w:val="1E293B"/>
          <w:sz w:val="22"/>
        </w:rPr>
        <w:t>(1) Working capital days is computed as Inventory days plus Trade receivable days minus Trade payable days. Inventory days is calculated as Inventory divided by Cost of goods sold (COGS) from operations multiplied by 365 or 91days. Trade receivables days is calculated as Trade</w:t>
      </w:r>
    </w:p>
    <w:p>
      <w:pPr>
        <w:spacing w:after="80" w:line="276" w:lineRule="auto"/>
      </w:pPr>
      <w:r>
        <w:rPr>
          <w:rFonts w:ascii="Calibri" w:hAnsi="Calibri"/>
          <w:color w:val="1E293B"/>
          <w:sz w:val="22"/>
        </w:rPr>
        <w:t>receivables divided by revenue from operations multiplied by 365 or 91 days. Trade payable days is calculated as Trade payable divided by COGS multiplied by 365 or 91 days.</w:t>
      </w:r>
    </w:p>
    <w:p>
      <w:pPr>
        <w:spacing w:after="80" w:line="276" w:lineRule="auto"/>
      </w:pPr>
      <w:r>
        <w:rPr>
          <w:rFonts w:ascii="Calibri" w:hAnsi="Calibri"/>
          <w:color w:val="1E293B"/>
          <w:sz w:val="22"/>
        </w:rPr>
        <w:t>Any delays in our billing and settlement process, or delays or defaults in our trade receivables or an increase in inventory and work in progress and/Acme Private Limited advance payments on 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 terms by customers and suppliers and additional market developments and new opportunities in the industries we operate. Further, our future success depends on our ability to continue to secure and successfully manage sufficient amounts of working capital. Our inability to obtain adequate amount of working capital at such terms which are favourable to us and in a timely manner or at all may also have an adverse effect on our results of operations, cash flows and financial condition. Continued increases in our working capital requirements may have an adverse effect on our results of operations, cash flows and financial condition. While there have Northstar Technologies Ltd had failed to arrange adequate working capital for our operations or had failed to furnish performance bank guarantees which had adversely affected the business, results of operations, cash Bluebird Capital LLP, there can be no assurance that such instances will not occur in future.</w:t>
      </w:r>
    </w:p>
    <w:p>
      <w:pPr>
        <w:spacing w:after="80" w:line="276" w:lineRule="auto"/>
      </w:pPr>
      <w:r>
        <w:rPr>
          <w:rFonts w:ascii="Calibri" w:hAnsi="Calibri"/>
          <w:color w:val="1E293B"/>
          <w:sz w:val="22"/>
        </w:rPr>
        <w:t>Northstar Technologies Ltd is involved in certain outstanding legal and regulatory proceedings. Any adverse decision in such proceedings may have an adverse effect on our business, financial condition, cash flows and results of operations.</w:t>
      </w:r>
    </w:p>
    <w:p>
      <w:pPr>
        <w:spacing w:after="80" w:line="276" w:lineRule="auto"/>
      </w:pPr>
      <w:r>
        <w:rPr>
          <w:rFonts w:ascii="Calibri" w:hAnsi="Calibri"/>
          <w:color w:val="1E293B"/>
          <w:sz w:val="22"/>
        </w:rPr>
        <w:t>There are outstanding Acme Private Limited which are pending at different levels of adjudication before various courts, tribunals and other authorities. Such proceedings could divert the management’s time and attention and consume financial resources in their defence or prosecution. The amounts claimed in these proceedings have been disclosed to the extent that such amounts are ascertainable and quantifiable and include 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spacing w:after="80" w:line="276" w:lineRule="auto"/>
      </w:pPr>
      <w:r>
        <w:rPr>
          <w:rFonts w:ascii="Calibri" w:hAnsi="Calibri"/>
          <w:color w:val="1E293B"/>
          <w:sz w:val="22"/>
        </w:rPr>
        <w:t>Name Peter Parker</w:t>
      </w:r>
    </w:p>
    <w:p>
      <w:pPr>
        <w:spacing w:after="80" w:line="276" w:lineRule="auto"/>
      </w:pPr>
      <w:r>
        <w:rPr>
          <w:rFonts w:ascii="Calibri" w:hAnsi="Calibri"/>
          <w:color w:val="1E293B"/>
          <w:sz w:val="22"/>
        </w:rPr>
        <w:t>Criminal proceedings</w:t>
      </w:r>
    </w:p>
    <w:p>
      <w:pPr>
        <w:spacing w:after="80" w:line="276" w:lineRule="auto"/>
      </w:pPr>
      <w:r>
        <w:rPr>
          <w:rFonts w:ascii="Calibri" w:hAnsi="Calibri"/>
          <w:color w:val="1E293B"/>
          <w:sz w:val="22"/>
        </w:rPr>
        <w:t>Tax proceedings</w:t>
      </w:r>
    </w:p>
    <w:p>
      <w:pPr>
        <w:spacing w:after="80" w:line="276" w:lineRule="auto"/>
      </w:pPr>
      <w:r>
        <w:rPr>
          <w:rFonts w:ascii="Calibri" w:hAnsi="Calibri"/>
          <w:color w:val="1E293B"/>
          <w:sz w:val="22"/>
        </w:rPr>
        <w:t>Statutory or regulatory proceedings</w:t>
      </w:r>
    </w:p>
    <w:p>
      <w:pPr>
        <w:spacing w:after="80" w:line="276" w:lineRule="auto"/>
      </w:pPr>
      <w:r>
        <w:rPr>
          <w:rFonts w:ascii="Calibri" w:hAnsi="Calibri"/>
          <w:color w:val="1E293B"/>
          <w:sz w:val="22"/>
        </w:rPr>
        <w:t>Disciplinary actions by the SEBI or Stock Exchanges</w:t>
      </w:r>
    </w:p>
    <w:p>
      <w:pPr>
        <w:spacing w:after="80" w:line="276" w:lineRule="auto"/>
      </w:pPr>
      <w:r>
        <w:rPr>
          <w:rFonts w:ascii="Calibri" w:hAnsi="Calibri"/>
          <w:color w:val="1E293B"/>
          <w:sz w:val="22"/>
        </w:rPr>
        <w:t>against our Promoters</w:t>
      </w:r>
    </w:p>
    <w:p>
      <w:pPr>
        <w:spacing w:after="80" w:line="276" w:lineRule="auto"/>
      </w:pPr>
      <w:r>
        <w:rPr>
          <w:rFonts w:ascii="Calibri" w:hAnsi="Calibri"/>
          <w:color w:val="1E293B"/>
          <w:sz w:val="22"/>
        </w:rPr>
        <w:t>Material civil litigations#</w:t>
      </w:r>
    </w:p>
    <w:p>
      <w:pPr>
        <w:spacing w:after="80" w:line="276" w:lineRule="auto"/>
      </w:pPr>
      <w:r>
        <w:rPr>
          <w:rFonts w:ascii="Calibri" w:hAnsi="Calibri"/>
          <w:color w:val="1E293B"/>
          <w:sz w:val="22"/>
        </w:rPr>
        <w:t>Aggregate amount involved* (₹ in million)</w:t>
      </w:r>
    </w:p>
    <w:p>
      <w:pPr>
        <w:spacing w:after="80" w:line="276" w:lineRule="auto"/>
      </w:pPr>
      <w:r>
        <w:rPr>
          <w:rFonts w:ascii="Calibri" w:hAnsi="Calibri"/>
          <w:color w:val="1E293B"/>
          <w:sz w:val="22"/>
        </w:rPr>
        <w:t>Company</w:t>
      </w:r>
    </w:p>
    <w:p>
      <w:pPr>
        <w:spacing w:after="80" w:line="276" w:lineRule="auto"/>
      </w:pPr>
      <w:r>
        <w:rPr>
          <w:rFonts w:ascii="Calibri" w:hAnsi="Calibri"/>
          <w:color w:val="1E293B"/>
          <w:sz w:val="22"/>
        </w:rPr>
        <w:t>Northstar Technologies Ltd</w:t>
      </w:r>
    </w:p>
    <w:p>
      <w:pPr>
        <w:spacing w:after="80" w:line="276" w:lineRule="auto"/>
      </w:pPr>
      <w:r>
        <w:rPr>
          <w:rFonts w:ascii="Calibri" w:hAnsi="Calibri"/>
          <w:color w:val="1E293B"/>
          <w:sz w:val="22"/>
        </w:rPr>
        <w:t>2</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11.54</w:t>
      </w:r>
    </w:p>
    <w:p>
      <w:pPr>
        <w:spacing w:after="80" w:line="276" w:lineRule="auto"/>
      </w:pPr>
      <w:r>
        <w:rPr>
          <w:rFonts w:ascii="Calibri" w:hAnsi="Calibri"/>
          <w:color w:val="1E293B"/>
          <w:sz w:val="22"/>
        </w:rPr>
        <w:t>Bluebird Capital LLP</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Directors (excluding our Promoters)</w:t>
      </w:r>
    </w:p>
    <w:p>
      <w:pPr>
        <w:spacing w:after="80" w:line="276" w:lineRule="auto"/>
      </w:pPr>
      <w:r>
        <w:rPr>
          <w:rFonts w:ascii="Calibri" w:hAnsi="Calibri"/>
          <w:color w:val="1E293B"/>
          <w:sz w:val="22"/>
        </w:rPr>
        <w:t>By our Directors</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2</w:t>
      </w:r>
    </w:p>
    <w:p>
      <w:pPr>
        <w:spacing w:after="80" w:line="276" w:lineRule="auto"/>
      </w:pPr>
      <w:r>
        <w:rPr>
          <w:rFonts w:ascii="Calibri" w:hAnsi="Calibri"/>
          <w:color w:val="1E293B"/>
          <w:sz w:val="22"/>
        </w:rPr>
        <w:t>1,360.00</w:t>
      </w:r>
    </w:p>
    <w:p>
      <w:pPr>
        <w:spacing w:after="80" w:line="276" w:lineRule="auto"/>
      </w:pPr>
      <w:r>
        <w:rPr>
          <w:rFonts w:ascii="Calibri" w:hAnsi="Calibri"/>
          <w:color w:val="1E293B"/>
          <w:sz w:val="22"/>
        </w:rPr>
        <w:t>Against our Directors</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0.73</w:t>
      </w:r>
    </w:p>
    <w:p>
      <w:pPr>
        <w:spacing w:after="80" w:line="276" w:lineRule="auto"/>
      </w:pPr>
      <w:r>
        <w:rPr>
          <w:rFonts w:ascii="Calibri" w:hAnsi="Calibri"/>
          <w:color w:val="1E293B"/>
          <w:sz w:val="22"/>
        </w:rPr>
        <w:t>Promoters (including the Executive Directors who are also our Promoters)</w:t>
      </w:r>
    </w:p>
    <w:p>
      <w:pPr>
        <w:spacing w:after="80" w:line="276" w:lineRule="auto"/>
      </w:pPr>
      <w:r>
        <w:rPr>
          <w:rFonts w:ascii="Calibri" w:hAnsi="Calibri"/>
          <w:color w:val="1E293B"/>
          <w:sz w:val="22"/>
        </w:rPr>
        <w:t>By our Promoters</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50.00</w:t>
      </w:r>
    </w:p>
    <w:p>
      <w:pPr>
        <w:spacing w:after="80" w:line="276" w:lineRule="auto"/>
      </w:pPr>
      <w:r>
        <w:rPr>
          <w:rFonts w:ascii="Calibri" w:hAnsi="Calibri"/>
          <w:color w:val="1E293B"/>
          <w:sz w:val="22"/>
        </w:rPr>
        <w:t>Against our Promoters</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2</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2.78</w:t>
      </w:r>
    </w:p>
    <w:p>
      <w:pPr>
        <w:spacing w:after="80" w:line="276" w:lineRule="auto"/>
      </w:pPr>
      <w:r>
        <w:rPr>
          <w:rFonts w:ascii="Calibri" w:hAnsi="Calibri"/>
          <w:color w:val="1E293B"/>
          <w:sz w:val="22"/>
        </w:rPr>
        <w:t>Key Managerial Personnel (“KMPs”) (excluding our Executive Directors) (1)</w:t>
      </w:r>
    </w:p>
    <w:p>
      <w:pPr>
        <w:spacing w:after="80" w:line="276" w:lineRule="auto"/>
      </w:pPr>
      <w:r>
        <w:rPr>
          <w:rFonts w:ascii="Calibri" w:hAnsi="Calibri"/>
          <w:color w:val="1E293B"/>
          <w:sz w:val="22"/>
        </w:rPr>
        <w:t>By our KMPs</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Against our KMPs</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Senior Management (“SM”) (excluding our KMPs)(2)</w:t>
      </w:r>
    </w:p>
    <w:p>
      <w:pPr>
        <w:spacing w:after="80" w:line="276" w:lineRule="auto"/>
      </w:pPr>
      <w:r>
        <w:rPr>
          <w:rFonts w:ascii="Calibri" w:hAnsi="Calibri"/>
          <w:color w:val="1E293B"/>
          <w:sz w:val="22"/>
        </w:rPr>
        <w:t>By our SMs</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Against our SMs</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   To the extent quantifiable.</w:t>
      </w:r>
    </w:p>
    <w:p>
      <w:pPr>
        <w:spacing w:after="80" w:line="276" w:lineRule="auto"/>
      </w:pPr>
      <w:r>
        <w:rPr>
          <w:rFonts w:ascii="Calibri" w:hAnsi="Calibri"/>
          <w:color w:val="1E293B"/>
          <w:sz w:val="22"/>
        </w:rPr>
        <w:t># Determined in accordance with the Materiality Policy. Notes:</w:t>
      </w:r>
    </w:p>
    <w:p>
      <w:pPr>
        <w:spacing w:after="80" w:line="276" w:lineRule="auto"/>
      </w:pPr>
      <w:r>
        <w:rPr>
          <w:rFonts w:ascii="Calibri" w:hAnsi="Calibri"/>
          <w:color w:val="1E293B"/>
          <w:sz w:val="22"/>
        </w:rPr>
        <w:t>Certain of our KMPs including, Kushal Subbayya Hegde, Rajesh Kushal Hegde, Rohit Kushal Hegde and Rakhi Girija Shetty are also our Executive Directors. Hence, litigation against our Executive Directors have not been included under the heading of KMPs to avoid repetition.</w:t>
      </w:r>
    </w:p>
    <w:p>
      <w:pPr>
        <w:spacing w:after="80" w:line="276" w:lineRule="auto"/>
      </w:pPr>
      <w:r>
        <w:rPr>
          <w:rFonts w:ascii="Calibri" w:hAnsi="Calibri"/>
          <w:color w:val="1E293B"/>
          <w:sz w:val="22"/>
        </w:rPr>
        <w:t>Certain of our SMs including, Sandesh Bhagwat, CEO, Amod Joshi, CFO, Sarthak Malvadkar, CS and Compliance Officer, and Ganesh Prasad, Technical Director, are also our KMPs. Hence, litigation against our KMPs have not been included under the heading of SMs to avoid repetition.</w:t>
      </w:r>
    </w:p>
    <w:p>
      <w:pPr>
        <w:spacing w:after="80" w:line="276" w:lineRule="auto"/>
      </w:pPr>
      <w:r>
        <w:rPr>
          <w:rFonts w:ascii="Calibri" w:hAnsi="Calibri"/>
          <w:color w:val="1E293B"/>
          <w:sz w:val="22"/>
        </w:rPr>
        <w:t>Further, as on the date of this Red Herring Prospectus, there are no pending litigation proceedings involving any of our Group Companies which will Acme Private Limited.</w:t>
      </w:r>
    </w:p>
    <w:p>
      <w:pPr>
        <w:spacing w:after="80" w:line="276" w:lineRule="auto"/>
      </w:pPr>
      <w:r>
        <w:rPr>
          <w:rFonts w:ascii="Calibri" w:hAnsi="Calibri"/>
          <w:color w:val="1E293B"/>
          <w:sz w:val="22"/>
        </w:rPr>
        <w:t>Such proceedings could divert management’s time, attention, and consume financial resources in their defence or prosecution. We cannot assure you that any of these matters will Northstar Technologies Ltd or that no additional liability will arise out of these proceedings. Further, we cannot assure you that there will be no new legal</w:t>
      </w:r>
    </w:p>
    <w:p>
      <w:pPr>
        <w:spacing w:after="80" w:line="276" w:lineRule="auto"/>
      </w:pPr>
      <w:r>
        <w:rPr>
          <w:rFonts w:ascii="Calibri" w:hAnsi="Calibri"/>
          <w:color w:val="1E293B"/>
          <w:sz w:val="22"/>
        </w:rPr>
        <w:t>Bluebird Capital LLP, Promoters or Directors in the future. An adverse outcome in any of these proceedings may have an adverse effect on our business, financial position, prospects, cash flows, results of operations and our reputation. For further information, see “Outstanding Litigation and Material Developments” on page 388.</w:t>
      </w:r>
    </w:p>
    <w:p>
      <w:pPr>
        <w:spacing w:after="80" w:line="276" w:lineRule="auto"/>
      </w:pPr>
      <w:r>
        <w:rPr>
          <w:rFonts w:ascii="Calibri" w:hAnsi="Calibri"/>
          <w:color w:val="1E293B"/>
          <w:sz w:val="22"/>
        </w:rPr>
        <w:t>Under-utilization of our manufacturing capacities and an inability to effectively utilize our manufacturing capacities could have an adverse effect on our business, future prospects and future financial performance.</w:t>
      </w:r>
    </w:p>
    <w:p>
      <w:pPr>
        <w:spacing w:after="80" w:line="276" w:lineRule="auto"/>
      </w:pPr>
      <w:r>
        <w:rPr>
          <w:rFonts w:ascii="Calibri" w:hAnsi="Calibri"/>
          <w:color w:val="1E293B"/>
          <w:sz w:val="22"/>
        </w:rPr>
        <w:t>Information relating to the installed capacity and capacity utilization of our manufacturing facilities included in this Red Herring Prospectus are based on various assumptions and estimates of our management that have been taken into account by the Independent Chartered Engineer, in the calculation of the installed capacity and capacity utilization of our manufacturing facilities.</w:t>
      </w:r>
    </w:p>
    <w:p>
      <w:pPr>
        <w:spacing w:after="80" w:line="276" w:lineRule="auto"/>
      </w:pPr>
      <w:r>
        <w:rPr>
          <w:rFonts w:ascii="Calibri" w:hAnsi="Calibri"/>
          <w:color w:val="1E293B"/>
          <w:sz w:val="22"/>
        </w:rPr>
        <w:t>The table below sets forth the installed capacity and capacity utilization product category wise across our manufacturing facilities during the three-month period ended June 30, 2025, and the Fiscals 2025, 2024 and 2023, respectively:</w:t>
      </w:r>
    </w:p>
    <w:p>
      <w:pPr>
        <w:spacing w:after="80" w:line="276" w:lineRule="auto"/>
      </w:pPr>
      <w:r>
        <w:rPr>
          <w:rFonts w:ascii="Calibri" w:hAnsi="Calibri"/>
          <w:color w:val="1E293B"/>
          <w:sz w:val="22"/>
        </w:rPr>
        <w:t>(The remainder of the page is intentionally left blank)</w:t>
      </w:r>
    </w:p>
    <w:p>
      <w:pPr>
        <w:spacing w:after="80" w:line="276" w:lineRule="auto"/>
      </w:pPr>
      <w:r>
        <w:rPr>
          <w:rFonts w:ascii="Calibri" w:hAnsi="Calibri"/>
          <w:color w:val="1E293B"/>
          <w:sz w:val="22"/>
        </w:rPr>
        <w:t>Sr. No.</w:t>
      </w:r>
    </w:p>
    <w:p>
      <w:pPr>
        <w:spacing w:after="80" w:line="276" w:lineRule="auto"/>
      </w:pPr>
      <w:r>
        <w:rPr>
          <w:rFonts w:ascii="Calibri" w:hAnsi="Calibri"/>
          <w:color w:val="1E293B"/>
          <w:sz w:val="22"/>
        </w:rPr>
        <w:t>Manufacturing Unit/ Product</w:t>
      </w:r>
    </w:p>
    <w:p>
      <w:pPr>
        <w:spacing w:after="80" w:line="276" w:lineRule="auto"/>
      </w:pPr>
      <w:r>
        <w:rPr>
          <w:rFonts w:ascii="Calibri" w:hAnsi="Calibri"/>
          <w:color w:val="1E293B"/>
          <w:sz w:val="22"/>
        </w:rPr>
        <w:t>Three-month period ended June 30, 2025 *</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Installed capacity in MT</w:t>
      </w:r>
    </w:p>
    <w:p>
      <w:pPr>
        <w:spacing w:after="80" w:line="276" w:lineRule="auto"/>
      </w:pPr>
      <w:r>
        <w:rPr>
          <w:rFonts w:ascii="Calibri" w:hAnsi="Calibri"/>
          <w:color w:val="1E293B"/>
          <w:sz w:val="22"/>
        </w:rPr>
        <w:t>Actual production in MT</w:t>
      </w:r>
    </w:p>
    <w:p>
      <w:pPr>
        <w:spacing w:after="80" w:line="276" w:lineRule="auto"/>
      </w:pPr>
      <w:r>
        <w:rPr>
          <w:rFonts w:ascii="Calibri" w:hAnsi="Calibri"/>
          <w:color w:val="1E293B"/>
          <w:sz w:val="22"/>
        </w:rPr>
        <w:t>Capacity utilization % ^</w:t>
      </w:r>
    </w:p>
    <w:p>
      <w:pPr>
        <w:spacing w:after="80" w:line="276" w:lineRule="auto"/>
      </w:pPr>
      <w:r>
        <w:rPr>
          <w:rFonts w:ascii="Calibri" w:hAnsi="Calibri"/>
          <w:color w:val="1E293B"/>
          <w:sz w:val="22"/>
        </w:rPr>
        <w:t>Installed capacity in MT</w:t>
      </w:r>
    </w:p>
    <w:p>
      <w:pPr>
        <w:spacing w:after="80" w:line="276" w:lineRule="auto"/>
      </w:pPr>
      <w:r>
        <w:rPr>
          <w:rFonts w:ascii="Calibri" w:hAnsi="Calibri"/>
          <w:color w:val="1E293B"/>
          <w:sz w:val="22"/>
        </w:rPr>
        <w:t>Actual production in MT</w:t>
      </w:r>
    </w:p>
    <w:p>
      <w:pPr>
        <w:spacing w:after="80" w:line="276" w:lineRule="auto"/>
      </w:pPr>
      <w:r>
        <w:rPr>
          <w:rFonts w:ascii="Calibri" w:hAnsi="Calibri"/>
          <w:color w:val="1E293B"/>
          <w:sz w:val="22"/>
        </w:rPr>
        <w:t>Capacity utilization %</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Taloja Unit No 1 (Taloja)</w:t>
      </w:r>
    </w:p>
    <w:p>
      <w:pPr>
        <w:spacing w:after="80" w:line="276" w:lineRule="auto"/>
      </w:pPr>
      <w:r>
        <w:rPr>
          <w:rFonts w:ascii="Calibri" w:hAnsi="Calibri"/>
          <w:color w:val="1E293B"/>
          <w:sz w:val="22"/>
        </w:rPr>
        <w:t>a)</w:t>
      </w:r>
    </w:p>
    <w:p>
      <w:pPr>
        <w:spacing w:after="80" w:line="276" w:lineRule="auto"/>
      </w:pPr>
      <w:r>
        <w:rPr>
          <w:rFonts w:ascii="Calibri" w:hAnsi="Calibri"/>
          <w:color w:val="1E293B"/>
          <w:sz w:val="22"/>
        </w:rPr>
        <w:t>Specialised Magnet Winding Wire</w:t>
      </w:r>
    </w:p>
    <w:p>
      <w:pPr>
        <w:spacing w:after="80" w:line="276" w:lineRule="auto"/>
      </w:pPr>
      <w:r>
        <w:rPr>
          <w:rFonts w:ascii="Calibri" w:hAnsi="Calibri"/>
          <w:color w:val="1E293B"/>
          <w:sz w:val="22"/>
        </w:rPr>
        <w:t>4,241</w:t>
      </w:r>
    </w:p>
    <w:p>
      <w:pPr>
        <w:spacing w:after="80" w:line="276" w:lineRule="auto"/>
      </w:pPr>
      <w:r>
        <w:rPr>
          <w:rFonts w:ascii="Calibri" w:hAnsi="Calibri"/>
          <w:color w:val="1E293B"/>
          <w:sz w:val="22"/>
        </w:rPr>
        <w:t>898</w:t>
      </w:r>
    </w:p>
    <w:p>
      <w:pPr>
        <w:spacing w:after="80" w:line="276" w:lineRule="auto"/>
      </w:pPr>
      <w:r>
        <w:rPr>
          <w:rFonts w:ascii="Calibri" w:hAnsi="Calibri"/>
          <w:color w:val="1E293B"/>
          <w:sz w:val="22"/>
        </w:rPr>
        <w:t>84.70%</w:t>
      </w:r>
    </w:p>
    <w:p>
      <w:pPr>
        <w:spacing w:after="80" w:line="276" w:lineRule="auto"/>
      </w:pPr>
      <w:r>
        <w:rPr>
          <w:rFonts w:ascii="Calibri" w:hAnsi="Calibri"/>
          <w:color w:val="1E293B"/>
          <w:sz w:val="22"/>
        </w:rPr>
        <w:t>4,241</w:t>
      </w:r>
    </w:p>
    <w:p>
      <w:pPr>
        <w:spacing w:after="80" w:line="276" w:lineRule="auto"/>
      </w:pPr>
      <w:r>
        <w:rPr>
          <w:rFonts w:ascii="Calibri" w:hAnsi="Calibri"/>
          <w:color w:val="1E293B"/>
          <w:sz w:val="22"/>
        </w:rPr>
        <w:t>3,454</w:t>
      </w:r>
    </w:p>
    <w:p>
      <w:pPr>
        <w:spacing w:after="80" w:line="276" w:lineRule="auto"/>
      </w:pPr>
      <w:r>
        <w:rPr>
          <w:rFonts w:ascii="Calibri" w:hAnsi="Calibri"/>
          <w:color w:val="1E293B"/>
          <w:sz w:val="22"/>
        </w:rPr>
        <w:t>81.44%</w:t>
      </w:r>
    </w:p>
    <w:p>
      <w:pPr>
        <w:spacing w:after="80" w:line="276" w:lineRule="auto"/>
      </w:pPr>
      <w:r>
        <w:rPr>
          <w:rFonts w:ascii="Calibri" w:hAnsi="Calibri"/>
          <w:color w:val="1E293B"/>
          <w:sz w:val="22"/>
        </w:rPr>
        <w:t>Total Taloja Unit No 1</w:t>
      </w:r>
    </w:p>
    <w:p>
      <w:pPr>
        <w:spacing w:after="80" w:line="276" w:lineRule="auto"/>
      </w:pPr>
      <w:r>
        <w:rPr>
          <w:rFonts w:ascii="Calibri" w:hAnsi="Calibri"/>
          <w:color w:val="1E293B"/>
          <w:sz w:val="22"/>
        </w:rPr>
        <w:t>4,241</w:t>
      </w:r>
    </w:p>
    <w:p>
      <w:pPr>
        <w:spacing w:after="80" w:line="276" w:lineRule="auto"/>
      </w:pPr>
      <w:r>
        <w:rPr>
          <w:rFonts w:ascii="Calibri" w:hAnsi="Calibri"/>
          <w:color w:val="1E293B"/>
          <w:sz w:val="22"/>
        </w:rPr>
        <w:t>898</w:t>
      </w:r>
    </w:p>
    <w:p>
      <w:pPr>
        <w:spacing w:after="80" w:line="276" w:lineRule="auto"/>
      </w:pPr>
      <w:r>
        <w:rPr>
          <w:rFonts w:ascii="Calibri" w:hAnsi="Calibri"/>
          <w:color w:val="1E293B"/>
          <w:sz w:val="22"/>
        </w:rPr>
        <w:t>84.70%</w:t>
      </w:r>
    </w:p>
    <w:p>
      <w:pPr>
        <w:spacing w:after="80" w:line="276" w:lineRule="auto"/>
      </w:pPr>
      <w:r>
        <w:rPr>
          <w:rFonts w:ascii="Calibri" w:hAnsi="Calibri"/>
          <w:color w:val="1E293B"/>
          <w:sz w:val="22"/>
        </w:rPr>
        <w:t>4,241</w:t>
      </w:r>
    </w:p>
    <w:p>
      <w:pPr>
        <w:spacing w:after="80" w:line="276" w:lineRule="auto"/>
      </w:pPr>
      <w:r>
        <w:rPr>
          <w:rFonts w:ascii="Calibri" w:hAnsi="Calibri"/>
          <w:color w:val="1E293B"/>
          <w:sz w:val="22"/>
        </w:rPr>
        <w:t>3,454</w:t>
      </w:r>
    </w:p>
    <w:p>
      <w:pPr>
        <w:spacing w:after="80" w:line="276" w:lineRule="auto"/>
      </w:pPr>
      <w:r>
        <w:rPr>
          <w:rFonts w:ascii="Calibri" w:hAnsi="Calibri"/>
          <w:color w:val="1E293B"/>
          <w:sz w:val="22"/>
        </w:rPr>
        <w:t>81.44%</w:t>
      </w:r>
    </w:p>
    <w:p>
      <w:pPr>
        <w:spacing w:after="80" w:line="276" w:lineRule="auto"/>
      </w:pPr>
      <w:r>
        <w:rPr>
          <w:rFonts w:ascii="Calibri" w:hAnsi="Calibri"/>
          <w:color w:val="1E293B"/>
          <w:sz w:val="22"/>
        </w:rPr>
        <w:t>2</w:t>
      </w:r>
    </w:p>
    <w:p>
      <w:pPr>
        <w:spacing w:after="80" w:line="276" w:lineRule="auto"/>
      </w:pPr>
      <w:r>
        <w:rPr>
          <w:rFonts w:ascii="Calibri" w:hAnsi="Calibri"/>
          <w:color w:val="1E293B"/>
          <w:sz w:val="22"/>
        </w:rPr>
        <w:t>Chakan Unit No. 2 (Birdewadi)</w:t>
      </w:r>
    </w:p>
    <w:p>
      <w:pPr>
        <w:spacing w:after="80" w:line="276" w:lineRule="auto"/>
      </w:pPr>
      <w:r>
        <w:rPr>
          <w:rFonts w:ascii="Calibri" w:hAnsi="Calibri"/>
          <w:color w:val="1E293B"/>
          <w:sz w:val="22"/>
        </w:rPr>
        <w:t>a)</w:t>
      </w:r>
    </w:p>
    <w:p>
      <w:pPr>
        <w:spacing w:after="80" w:line="276" w:lineRule="auto"/>
      </w:pPr>
      <w:r>
        <w:rPr>
          <w:rFonts w:ascii="Calibri" w:hAnsi="Calibri"/>
          <w:color w:val="1E293B"/>
          <w:sz w:val="22"/>
        </w:rPr>
        <w:t>Specialised Magnet Winding Wire</w:t>
      </w:r>
    </w:p>
    <w:p>
      <w:pPr>
        <w:spacing w:after="80" w:line="276" w:lineRule="auto"/>
      </w:pPr>
      <w:r>
        <w:rPr>
          <w:rFonts w:ascii="Calibri" w:hAnsi="Calibri"/>
          <w:color w:val="1E293B"/>
          <w:sz w:val="22"/>
        </w:rPr>
        <w:t>14,626</w:t>
      </w:r>
    </w:p>
    <w:p>
      <w:pPr>
        <w:spacing w:after="80" w:line="276" w:lineRule="auto"/>
      </w:pPr>
      <w:r>
        <w:rPr>
          <w:rFonts w:ascii="Calibri" w:hAnsi="Calibri"/>
          <w:color w:val="1E293B"/>
          <w:sz w:val="22"/>
        </w:rPr>
        <w:t>3,564</w:t>
      </w:r>
    </w:p>
    <w:p>
      <w:pPr>
        <w:spacing w:after="80" w:line="276" w:lineRule="auto"/>
      </w:pPr>
      <w:r>
        <w:rPr>
          <w:rFonts w:ascii="Calibri" w:hAnsi="Calibri"/>
          <w:color w:val="1E293B"/>
          <w:sz w:val="22"/>
        </w:rPr>
        <w:t>97.47%</w:t>
      </w:r>
    </w:p>
    <w:p>
      <w:pPr>
        <w:spacing w:after="80" w:line="276" w:lineRule="auto"/>
      </w:pPr>
      <w:r>
        <w:rPr>
          <w:rFonts w:ascii="Calibri" w:hAnsi="Calibri"/>
          <w:color w:val="1E293B"/>
          <w:sz w:val="22"/>
        </w:rPr>
        <w:t>14,626</w:t>
      </w:r>
    </w:p>
    <w:p>
      <w:pPr>
        <w:spacing w:after="80" w:line="276" w:lineRule="auto"/>
      </w:pPr>
      <w:r>
        <w:rPr>
          <w:rFonts w:ascii="Calibri" w:hAnsi="Calibri"/>
          <w:color w:val="1E293B"/>
          <w:sz w:val="22"/>
        </w:rPr>
        <w:t>14,056</w:t>
      </w:r>
    </w:p>
    <w:p>
      <w:pPr>
        <w:spacing w:after="80" w:line="276" w:lineRule="auto"/>
      </w:pPr>
      <w:r>
        <w:rPr>
          <w:rFonts w:ascii="Calibri" w:hAnsi="Calibri"/>
          <w:color w:val="1E293B"/>
          <w:sz w:val="22"/>
        </w:rPr>
        <w:t>96.10%</w:t>
      </w:r>
    </w:p>
    <w:p>
      <w:pPr>
        <w:spacing w:after="80" w:line="276" w:lineRule="auto"/>
      </w:pPr>
      <w:r>
        <w:rPr>
          <w:rFonts w:ascii="Calibri" w:hAnsi="Calibri"/>
          <w:color w:val="1E293B"/>
          <w:sz w:val="22"/>
        </w:rPr>
        <w:t>b)</w:t>
      </w:r>
    </w:p>
    <w:p>
      <w:pPr>
        <w:spacing w:after="80" w:line="276" w:lineRule="auto"/>
      </w:pPr>
      <w:r>
        <w:rPr>
          <w:rFonts w:ascii="Calibri" w:hAnsi="Calibri"/>
          <w:color w:val="1E293B"/>
          <w:sz w:val="22"/>
        </w:rPr>
        <w:t>Standard Magnet Winding Wire</w:t>
      </w:r>
    </w:p>
    <w:p>
      <w:pPr>
        <w:spacing w:after="80" w:line="276" w:lineRule="auto"/>
      </w:pPr>
      <w:r>
        <w:rPr>
          <w:rFonts w:ascii="Calibri" w:hAnsi="Calibri"/>
          <w:color w:val="1E293B"/>
          <w:sz w:val="22"/>
        </w:rPr>
        <w:t>2,694</w:t>
      </w:r>
    </w:p>
    <w:p>
      <w:pPr>
        <w:spacing w:after="80" w:line="276" w:lineRule="auto"/>
      </w:pPr>
      <w:r>
        <w:rPr>
          <w:rFonts w:ascii="Calibri" w:hAnsi="Calibri"/>
          <w:color w:val="1E293B"/>
          <w:sz w:val="22"/>
        </w:rPr>
        <w:t>237</w:t>
      </w:r>
    </w:p>
    <w:p>
      <w:pPr>
        <w:spacing w:after="80" w:line="276" w:lineRule="auto"/>
      </w:pPr>
      <w:r>
        <w:rPr>
          <w:rFonts w:ascii="Calibri" w:hAnsi="Calibri"/>
          <w:color w:val="1E293B"/>
          <w:sz w:val="22"/>
        </w:rPr>
        <w:t>35.19%</w:t>
      </w:r>
    </w:p>
    <w:p>
      <w:pPr>
        <w:spacing w:after="80" w:line="276" w:lineRule="auto"/>
      </w:pPr>
      <w:r>
        <w:rPr>
          <w:rFonts w:ascii="Calibri" w:hAnsi="Calibri"/>
          <w:color w:val="1E293B"/>
          <w:sz w:val="22"/>
        </w:rPr>
        <w:t>2,694</w:t>
      </w:r>
    </w:p>
    <w:p>
      <w:pPr>
        <w:spacing w:after="80" w:line="276" w:lineRule="auto"/>
      </w:pPr>
      <w:r>
        <w:rPr>
          <w:rFonts w:ascii="Calibri" w:hAnsi="Calibri"/>
          <w:color w:val="1E293B"/>
          <w:sz w:val="22"/>
        </w:rPr>
        <w:t>580</w:t>
      </w:r>
    </w:p>
    <w:p>
      <w:pPr>
        <w:spacing w:after="80" w:line="276" w:lineRule="auto"/>
      </w:pPr>
      <w:r>
        <w:rPr>
          <w:rFonts w:ascii="Calibri" w:hAnsi="Calibri"/>
          <w:color w:val="1E293B"/>
          <w:sz w:val="22"/>
        </w:rPr>
        <w:t>21.53%</w:t>
      </w:r>
    </w:p>
    <w:p>
      <w:pPr>
        <w:spacing w:after="80" w:line="276" w:lineRule="auto"/>
      </w:pPr>
      <w:r>
        <w:rPr>
          <w:rFonts w:ascii="Calibri" w:hAnsi="Calibri"/>
          <w:color w:val="1E293B"/>
          <w:sz w:val="22"/>
        </w:rPr>
        <w:t>Total Chakan Unit No. 2</w:t>
      </w:r>
    </w:p>
    <w:p>
      <w:pPr>
        <w:spacing w:after="80" w:line="276" w:lineRule="auto"/>
      </w:pPr>
      <w:r>
        <w:rPr>
          <w:rFonts w:ascii="Calibri" w:hAnsi="Calibri"/>
          <w:color w:val="1E293B"/>
          <w:sz w:val="22"/>
        </w:rPr>
        <w:t>17,320</w:t>
      </w:r>
    </w:p>
    <w:p>
      <w:pPr>
        <w:spacing w:after="80" w:line="276" w:lineRule="auto"/>
      </w:pPr>
      <w:r>
        <w:rPr>
          <w:rFonts w:ascii="Calibri" w:hAnsi="Calibri"/>
          <w:color w:val="1E293B"/>
          <w:sz w:val="22"/>
        </w:rPr>
        <w:t>3,801</w:t>
      </w:r>
    </w:p>
    <w:p>
      <w:pPr>
        <w:spacing w:after="80" w:line="276" w:lineRule="auto"/>
      </w:pPr>
      <w:r>
        <w:rPr>
          <w:rFonts w:ascii="Calibri" w:hAnsi="Calibri"/>
          <w:color w:val="1E293B"/>
          <w:sz w:val="22"/>
        </w:rPr>
        <w:t>87.78%</w:t>
      </w:r>
    </w:p>
    <w:p>
      <w:pPr>
        <w:spacing w:after="80" w:line="276" w:lineRule="auto"/>
      </w:pPr>
      <w:r>
        <w:rPr>
          <w:rFonts w:ascii="Calibri" w:hAnsi="Calibri"/>
          <w:color w:val="1E293B"/>
          <w:sz w:val="22"/>
        </w:rPr>
        <w:t>17,320</w:t>
      </w:r>
    </w:p>
    <w:p>
      <w:pPr>
        <w:spacing w:after="80" w:line="276" w:lineRule="auto"/>
      </w:pPr>
      <w:r>
        <w:rPr>
          <w:rFonts w:ascii="Calibri" w:hAnsi="Calibri"/>
          <w:color w:val="1E293B"/>
          <w:sz w:val="22"/>
        </w:rPr>
        <w:t>14,636</w:t>
      </w:r>
    </w:p>
    <w:p>
      <w:pPr>
        <w:spacing w:after="80" w:line="276" w:lineRule="auto"/>
      </w:pPr>
      <w:r>
        <w:rPr>
          <w:rFonts w:ascii="Calibri" w:hAnsi="Calibri"/>
          <w:color w:val="1E293B"/>
          <w:sz w:val="22"/>
        </w:rPr>
        <w:t>84.50%</w:t>
      </w:r>
    </w:p>
    <w:p>
      <w:pPr>
        <w:spacing w:after="80" w:line="276" w:lineRule="auto"/>
      </w:pPr>
      <w:r>
        <w:rPr>
          <w:rFonts w:ascii="Calibri" w:hAnsi="Calibri"/>
          <w:color w:val="1E293B"/>
          <w:sz w:val="22"/>
        </w:rPr>
        <w:t>3</w:t>
      </w:r>
    </w:p>
    <w:p>
      <w:pPr>
        <w:spacing w:after="80" w:line="276" w:lineRule="auto"/>
      </w:pPr>
      <w:r>
        <w:rPr>
          <w:rFonts w:ascii="Calibri" w:hAnsi="Calibri"/>
          <w:color w:val="1E293B"/>
          <w:sz w:val="22"/>
        </w:rPr>
        <w:t>Chakan Unit No. 3 (Khalumbre)</w:t>
      </w:r>
    </w:p>
    <w:p>
      <w:pPr>
        <w:spacing w:after="80" w:line="276" w:lineRule="auto"/>
      </w:pPr>
      <w:r>
        <w:rPr>
          <w:rFonts w:ascii="Calibri" w:hAnsi="Calibri"/>
          <w:color w:val="1E293B"/>
          <w:sz w:val="22"/>
        </w:rPr>
        <w:t>a)</w:t>
      </w:r>
    </w:p>
    <w:p>
      <w:pPr>
        <w:spacing w:after="80" w:line="276" w:lineRule="auto"/>
      </w:pPr>
      <w:r>
        <w:rPr>
          <w:rFonts w:ascii="Calibri" w:hAnsi="Calibri"/>
          <w:color w:val="1E293B"/>
          <w:sz w:val="22"/>
        </w:rPr>
        <w:t>Standard Magnet Winding Wire</w:t>
      </w:r>
    </w:p>
    <w:p>
      <w:pPr>
        <w:spacing w:after="80" w:line="276" w:lineRule="auto"/>
      </w:pPr>
      <w:r>
        <w:rPr>
          <w:rFonts w:ascii="Calibri" w:hAnsi="Calibri"/>
          <w:color w:val="1E293B"/>
          <w:sz w:val="22"/>
        </w:rPr>
        <w:t>7,484</w:t>
      </w:r>
    </w:p>
    <w:p>
      <w:pPr>
        <w:spacing w:after="80" w:line="276" w:lineRule="auto"/>
      </w:pPr>
      <w:r>
        <w:rPr>
          <w:rFonts w:ascii="Calibri" w:hAnsi="Calibri"/>
          <w:color w:val="1E293B"/>
          <w:sz w:val="22"/>
        </w:rPr>
        <w:t>1,535</w:t>
      </w:r>
    </w:p>
    <w:p>
      <w:pPr>
        <w:spacing w:after="80" w:line="276" w:lineRule="auto"/>
      </w:pPr>
      <w:r>
        <w:rPr>
          <w:rFonts w:ascii="Calibri" w:hAnsi="Calibri"/>
          <w:color w:val="1E293B"/>
          <w:sz w:val="22"/>
        </w:rPr>
        <w:t>82.04%</w:t>
      </w:r>
    </w:p>
    <w:p>
      <w:pPr>
        <w:spacing w:after="80" w:line="276" w:lineRule="auto"/>
      </w:pPr>
      <w:r>
        <w:rPr>
          <w:rFonts w:ascii="Calibri" w:hAnsi="Calibri"/>
          <w:color w:val="1E293B"/>
          <w:sz w:val="22"/>
        </w:rPr>
        <w:t>82.04%</w:t>
      </w:r>
    </w:p>
    <w:p>
      <w:pPr>
        <w:spacing w:after="80" w:line="276" w:lineRule="auto"/>
      </w:pPr>
      <w:r>
        <w:rPr>
          <w:rFonts w:ascii="Calibri" w:hAnsi="Calibri"/>
          <w:color w:val="1E293B"/>
          <w:sz w:val="22"/>
        </w:rPr>
        <w:t>7,484</w:t>
      </w:r>
    </w:p>
    <w:p>
      <w:pPr>
        <w:spacing w:after="80" w:line="276" w:lineRule="auto"/>
      </w:pPr>
      <w:r>
        <w:rPr>
          <w:rFonts w:ascii="Calibri" w:hAnsi="Calibri"/>
          <w:color w:val="1E293B"/>
          <w:sz w:val="22"/>
        </w:rPr>
        <w:t>5,334</w:t>
      </w:r>
    </w:p>
    <w:p>
      <w:pPr>
        <w:spacing w:after="80" w:line="276" w:lineRule="auto"/>
      </w:pPr>
      <w:r>
        <w:rPr>
          <w:rFonts w:ascii="Calibri" w:hAnsi="Calibri"/>
          <w:color w:val="1E293B"/>
          <w:sz w:val="22"/>
        </w:rPr>
        <w:t>Total Chakan Unit No. 3</w:t>
      </w:r>
    </w:p>
    <w:p>
      <w:pPr>
        <w:spacing w:after="80" w:line="276" w:lineRule="auto"/>
      </w:pPr>
      <w:r>
        <w:rPr>
          <w:rFonts w:ascii="Calibri" w:hAnsi="Calibri"/>
          <w:color w:val="1E293B"/>
          <w:sz w:val="22"/>
        </w:rPr>
        <w:t>7,484</w:t>
      </w:r>
    </w:p>
    <w:p>
      <w:pPr>
        <w:spacing w:after="80" w:line="276" w:lineRule="auto"/>
      </w:pPr>
      <w:r>
        <w:rPr>
          <w:rFonts w:ascii="Calibri" w:hAnsi="Calibri"/>
          <w:color w:val="1E293B"/>
          <w:sz w:val="22"/>
        </w:rPr>
        <w:t>1,535</w:t>
      </w:r>
    </w:p>
    <w:p>
      <w:pPr>
        <w:spacing w:after="80" w:line="276" w:lineRule="auto"/>
      </w:pPr>
      <w:r>
        <w:rPr>
          <w:rFonts w:ascii="Calibri" w:hAnsi="Calibri"/>
          <w:color w:val="1E293B"/>
          <w:sz w:val="22"/>
        </w:rPr>
        <w:t>82.04%</w:t>
      </w:r>
    </w:p>
    <w:p>
      <w:pPr>
        <w:spacing w:after="80" w:line="276" w:lineRule="auto"/>
      </w:pPr>
      <w:r>
        <w:rPr>
          <w:rFonts w:ascii="Calibri" w:hAnsi="Calibri"/>
          <w:color w:val="1E293B"/>
          <w:sz w:val="22"/>
        </w:rPr>
        <w:t>82.04%</w:t>
      </w:r>
    </w:p>
    <w:p>
      <w:pPr>
        <w:spacing w:after="80" w:line="276" w:lineRule="auto"/>
      </w:pPr>
      <w:r>
        <w:rPr>
          <w:rFonts w:ascii="Calibri" w:hAnsi="Calibri"/>
          <w:color w:val="1E293B"/>
          <w:sz w:val="22"/>
        </w:rPr>
        <w:t>7,484</w:t>
      </w:r>
    </w:p>
    <w:p>
      <w:pPr>
        <w:spacing w:after="80" w:line="276" w:lineRule="auto"/>
      </w:pPr>
      <w:r>
        <w:rPr>
          <w:rFonts w:ascii="Calibri" w:hAnsi="Calibri"/>
          <w:color w:val="1E293B"/>
          <w:sz w:val="22"/>
        </w:rPr>
        <w:t>5,334</w:t>
      </w:r>
    </w:p>
    <w:p>
      <w:pPr>
        <w:spacing w:after="80" w:line="276" w:lineRule="auto"/>
      </w:pPr>
      <w:r>
        <w:rPr>
          <w:rFonts w:ascii="Calibri" w:hAnsi="Calibri"/>
          <w:color w:val="1E293B"/>
          <w:sz w:val="22"/>
        </w:rPr>
        <w:t>Total</w:t>
      </w:r>
    </w:p>
    <w:p>
      <w:pPr>
        <w:spacing w:after="80" w:line="276" w:lineRule="auto"/>
      </w:pPr>
      <w:r>
        <w:rPr>
          <w:rFonts w:ascii="Calibri" w:hAnsi="Calibri"/>
          <w:color w:val="1E293B"/>
          <w:sz w:val="22"/>
        </w:rPr>
        <w:t>29,045</w:t>
      </w:r>
    </w:p>
    <w:p>
      <w:pPr>
        <w:spacing w:after="80" w:line="276" w:lineRule="auto"/>
      </w:pPr>
      <w:r>
        <w:rPr>
          <w:rFonts w:ascii="Calibri" w:hAnsi="Calibri"/>
          <w:color w:val="1E293B"/>
          <w:sz w:val="22"/>
        </w:rPr>
        <w:t>6,234</w:t>
      </w:r>
    </w:p>
    <w:p>
      <w:pPr>
        <w:spacing w:after="80" w:line="276" w:lineRule="auto"/>
      </w:pPr>
      <w:r>
        <w:rPr>
          <w:rFonts w:ascii="Calibri" w:hAnsi="Calibri"/>
          <w:color w:val="1E293B"/>
          <w:sz w:val="22"/>
        </w:rPr>
        <w:t>85.85%</w:t>
      </w:r>
    </w:p>
    <w:p>
      <w:pPr>
        <w:spacing w:after="80" w:line="276" w:lineRule="auto"/>
      </w:pPr>
      <w:r>
        <w:rPr>
          <w:rFonts w:ascii="Calibri" w:hAnsi="Calibri"/>
          <w:color w:val="1E293B"/>
          <w:sz w:val="22"/>
        </w:rPr>
        <w:t>85.85%</w:t>
      </w:r>
    </w:p>
    <w:p>
      <w:pPr>
        <w:spacing w:after="80" w:line="276" w:lineRule="auto"/>
      </w:pPr>
      <w:r>
        <w:rPr>
          <w:rFonts w:ascii="Calibri" w:hAnsi="Calibri"/>
          <w:color w:val="1E293B"/>
          <w:sz w:val="22"/>
        </w:rPr>
        <w:t>29,045</w:t>
      </w:r>
    </w:p>
    <w:p>
      <w:pPr>
        <w:spacing w:after="80" w:line="276" w:lineRule="auto"/>
      </w:pPr>
      <w:r>
        <w:rPr>
          <w:rFonts w:ascii="Calibri" w:hAnsi="Calibri"/>
          <w:color w:val="1E293B"/>
          <w:sz w:val="22"/>
        </w:rPr>
        <w:t>23,424</w:t>
      </w:r>
    </w:p>
    <w:p>
      <w:pPr>
        <w:spacing w:after="80" w:line="276" w:lineRule="auto"/>
      </w:pPr>
      <w:r>
        <w:rPr>
          <w:rFonts w:ascii="Calibri" w:hAnsi="Calibri"/>
          <w:color w:val="1E293B"/>
          <w:sz w:val="22"/>
        </w:rPr>
        <w:t>Sr. No.</w:t>
      </w:r>
    </w:p>
    <w:p>
      <w:pPr>
        <w:spacing w:after="80" w:line="276" w:lineRule="auto"/>
      </w:pPr>
      <w:r>
        <w:rPr>
          <w:rFonts w:ascii="Calibri" w:hAnsi="Calibri"/>
          <w:color w:val="1E293B"/>
          <w:sz w:val="22"/>
        </w:rPr>
        <w:t>Manufacturing Unit/ Product</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Installed capacity in MT</w:t>
      </w:r>
    </w:p>
    <w:p>
      <w:pPr>
        <w:spacing w:after="80" w:line="276" w:lineRule="auto"/>
      </w:pPr>
      <w:r>
        <w:rPr>
          <w:rFonts w:ascii="Calibri" w:hAnsi="Calibri"/>
          <w:color w:val="1E293B"/>
          <w:sz w:val="22"/>
        </w:rPr>
        <w:t>Actual production in MT</w:t>
      </w:r>
    </w:p>
    <w:p>
      <w:pPr>
        <w:spacing w:after="80" w:line="276" w:lineRule="auto"/>
      </w:pPr>
      <w:r>
        <w:rPr>
          <w:rFonts w:ascii="Calibri" w:hAnsi="Calibri"/>
          <w:color w:val="1E293B"/>
          <w:sz w:val="22"/>
        </w:rPr>
        <w:t>Capacity utilization %</w:t>
      </w:r>
    </w:p>
    <w:p>
      <w:pPr>
        <w:spacing w:after="80" w:line="276" w:lineRule="auto"/>
      </w:pPr>
      <w:r>
        <w:rPr>
          <w:rFonts w:ascii="Calibri" w:hAnsi="Calibri"/>
          <w:color w:val="1E293B"/>
          <w:sz w:val="22"/>
        </w:rPr>
        <w:t>Installed capacity in MT</w:t>
      </w:r>
    </w:p>
    <w:p>
      <w:pPr>
        <w:spacing w:after="80" w:line="276" w:lineRule="auto"/>
      </w:pPr>
      <w:r>
        <w:rPr>
          <w:rFonts w:ascii="Calibri" w:hAnsi="Calibri"/>
          <w:color w:val="1E293B"/>
          <w:sz w:val="22"/>
        </w:rPr>
        <w:t>Actual production in MT</w:t>
      </w:r>
    </w:p>
    <w:p>
      <w:pPr>
        <w:spacing w:after="80" w:line="276" w:lineRule="auto"/>
      </w:pPr>
      <w:r>
        <w:rPr>
          <w:rFonts w:ascii="Calibri" w:hAnsi="Calibri"/>
          <w:color w:val="1E293B"/>
          <w:sz w:val="22"/>
        </w:rPr>
        <w:t>Capacity utilization</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Taloja Unit No 1 (Taloja)</w:t>
      </w:r>
    </w:p>
    <w:p>
      <w:pPr>
        <w:spacing w:after="80" w:line="276" w:lineRule="auto"/>
      </w:pPr>
      <w:r>
        <w:rPr>
          <w:rFonts w:ascii="Calibri" w:hAnsi="Calibri"/>
          <w:color w:val="1E293B"/>
          <w:sz w:val="22"/>
        </w:rPr>
        <w:t>a)</w:t>
      </w:r>
    </w:p>
    <w:p>
      <w:pPr>
        <w:spacing w:after="80" w:line="276" w:lineRule="auto"/>
      </w:pPr>
      <w:r>
        <w:rPr>
          <w:rFonts w:ascii="Calibri" w:hAnsi="Calibri"/>
          <w:color w:val="1E293B"/>
          <w:sz w:val="22"/>
        </w:rPr>
        <w:t>Specialised Magnet Winding Wire</w:t>
      </w:r>
    </w:p>
    <w:p>
      <w:pPr>
        <w:spacing w:after="80" w:line="276" w:lineRule="auto"/>
      </w:pPr>
      <w:r>
        <w:rPr>
          <w:rFonts w:ascii="Calibri" w:hAnsi="Calibri"/>
          <w:color w:val="1E293B"/>
          <w:sz w:val="22"/>
        </w:rPr>
        <w:t>4,241</w:t>
      </w:r>
    </w:p>
    <w:p>
      <w:pPr>
        <w:spacing w:after="80" w:line="276" w:lineRule="auto"/>
      </w:pPr>
      <w:r>
        <w:rPr>
          <w:rFonts w:ascii="Calibri" w:hAnsi="Calibri"/>
          <w:color w:val="1E293B"/>
          <w:sz w:val="22"/>
        </w:rPr>
        <w:t>3,487</w:t>
      </w:r>
    </w:p>
    <w:p>
      <w:pPr>
        <w:spacing w:after="80" w:line="276" w:lineRule="auto"/>
      </w:pPr>
      <w:r>
        <w:rPr>
          <w:rFonts w:ascii="Calibri" w:hAnsi="Calibri"/>
          <w:color w:val="1E293B"/>
          <w:sz w:val="22"/>
        </w:rPr>
        <w:t>82.22%</w:t>
      </w:r>
    </w:p>
    <w:p>
      <w:pPr>
        <w:spacing w:after="80" w:line="276" w:lineRule="auto"/>
      </w:pPr>
      <w:r>
        <w:rPr>
          <w:rFonts w:ascii="Calibri" w:hAnsi="Calibri"/>
          <w:color w:val="1E293B"/>
          <w:sz w:val="22"/>
        </w:rPr>
        <w:t>4,241</w:t>
      </w:r>
    </w:p>
    <w:p>
      <w:pPr>
        <w:spacing w:after="80" w:line="276" w:lineRule="auto"/>
      </w:pPr>
      <w:r>
        <w:rPr>
          <w:rFonts w:ascii="Calibri" w:hAnsi="Calibri"/>
          <w:color w:val="1E293B"/>
          <w:sz w:val="22"/>
        </w:rPr>
        <w:t>3,647</w:t>
      </w:r>
    </w:p>
    <w:p>
      <w:pPr>
        <w:spacing w:after="80" w:line="276" w:lineRule="auto"/>
      </w:pPr>
      <w:r>
        <w:rPr>
          <w:rFonts w:ascii="Calibri" w:hAnsi="Calibri"/>
          <w:color w:val="1E293B"/>
          <w:sz w:val="22"/>
        </w:rPr>
        <w:t>85.99%</w:t>
      </w:r>
    </w:p>
    <w:p>
      <w:pPr>
        <w:spacing w:after="80" w:line="276" w:lineRule="auto"/>
      </w:pPr>
      <w:r>
        <w:rPr>
          <w:rFonts w:ascii="Calibri" w:hAnsi="Calibri"/>
          <w:color w:val="1E293B"/>
          <w:sz w:val="22"/>
        </w:rPr>
        <w:t>Total Taloja Unit No 1</w:t>
      </w:r>
    </w:p>
    <w:p>
      <w:pPr>
        <w:spacing w:after="80" w:line="276" w:lineRule="auto"/>
      </w:pPr>
      <w:r>
        <w:rPr>
          <w:rFonts w:ascii="Calibri" w:hAnsi="Calibri"/>
          <w:color w:val="1E293B"/>
          <w:sz w:val="22"/>
        </w:rPr>
        <w:t>4,241</w:t>
      </w:r>
    </w:p>
    <w:p>
      <w:pPr>
        <w:spacing w:after="80" w:line="276" w:lineRule="auto"/>
      </w:pPr>
      <w:r>
        <w:rPr>
          <w:rFonts w:ascii="Calibri" w:hAnsi="Calibri"/>
          <w:color w:val="1E293B"/>
          <w:sz w:val="22"/>
        </w:rPr>
        <w:t>3,487</w:t>
      </w:r>
    </w:p>
    <w:p>
      <w:pPr>
        <w:spacing w:after="80" w:line="276" w:lineRule="auto"/>
      </w:pPr>
      <w:r>
        <w:rPr>
          <w:rFonts w:ascii="Calibri" w:hAnsi="Calibri"/>
          <w:color w:val="1E293B"/>
          <w:sz w:val="22"/>
        </w:rPr>
        <w:t>82.22%</w:t>
      </w:r>
    </w:p>
    <w:p>
      <w:pPr>
        <w:spacing w:after="80" w:line="276" w:lineRule="auto"/>
      </w:pPr>
      <w:r>
        <w:rPr>
          <w:rFonts w:ascii="Calibri" w:hAnsi="Calibri"/>
          <w:color w:val="1E293B"/>
          <w:sz w:val="22"/>
        </w:rPr>
        <w:t>4,241</w:t>
      </w:r>
    </w:p>
    <w:p>
      <w:pPr>
        <w:spacing w:after="80" w:line="276" w:lineRule="auto"/>
      </w:pPr>
      <w:r>
        <w:rPr>
          <w:rFonts w:ascii="Calibri" w:hAnsi="Calibri"/>
          <w:color w:val="1E293B"/>
          <w:sz w:val="22"/>
        </w:rPr>
        <w:t>3,647</w:t>
      </w:r>
    </w:p>
    <w:p>
      <w:pPr>
        <w:spacing w:after="80" w:line="276" w:lineRule="auto"/>
      </w:pPr>
      <w:r>
        <w:rPr>
          <w:rFonts w:ascii="Calibri" w:hAnsi="Calibri"/>
          <w:color w:val="1E293B"/>
          <w:sz w:val="22"/>
        </w:rPr>
        <w:t>85.99%</w:t>
      </w:r>
    </w:p>
    <w:p>
      <w:pPr>
        <w:spacing w:after="80" w:line="276" w:lineRule="auto"/>
      </w:pPr>
      <w:r>
        <w:rPr>
          <w:rFonts w:ascii="Calibri" w:hAnsi="Calibri"/>
          <w:color w:val="1E293B"/>
          <w:sz w:val="22"/>
        </w:rPr>
        <w:t>2</w:t>
      </w:r>
    </w:p>
    <w:p>
      <w:pPr>
        <w:spacing w:after="80" w:line="276" w:lineRule="auto"/>
      </w:pPr>
      <w:r>
        <w:rPr>
          <w:rFonts w:ascii="Calibri" w:hAnsi="Calibri"/>
          <w:color w:val="1E293B"/>
          <w:sz w:val="22"/>
        </w:rPr>
        <w:t>Chakan Unit No. 2 (Birdewadi)</w:t>
      </w:r>
    </w:p>
    <w:p>
      <w:pPr>
        <w:spacing w:after="80" w:line="276" w:lineRule="auto"/>
      </w:pPr>
      <w:r>
        <w:rPr>
          <w:rFonts w:ascii="Calibri" w:hAnsi="Calibri"/>
          <w:color w:val="1E293B"/>
          <w:sz w:val="22"/>
        </w:rPr>
        <w:t>a)</w:t>
      </w:r>
    </w:p>
    <w:p>
      <w:pPr>
        <w:spacing w:after="80" w:line="276" w:lineRule="auto"/>
      </w:pPr>
      <w:r>
        <w:rPr>
          <w:rFonts w:ascii="Calibri" w:hAnsi="Calibri"/>
          <w:color w:val="1E293B"/>
          <w:sz w:val="22"/>
        </w:rPr>
        <w:t>Specialised Magnet Winding Wire</w:t>
      </w:r>
    </w:p>
    <w:p>
      <w:pPr>
        <w:spacing w:after="80" w:line="276" w:lineRule="auto"/>
      </w:pPr>
      <w:r>
        <w:rPr>
          <w:rFonts w:ascii="Calibri" w:hAnsi="Calibri"/>
          <w:color w:val="1E293B"/>
          <w:sz w:val="22"/>
        </w:rPr>
        <w:t>14,626</w:t>
      </w:r>
    </w:p>
    <w:p>
      <w:pPr>
        <w:spacing w:after="80" w:line="276" w:lineRule="auto"/>
      </w:pPr>
      <w:r>
        <w:rPr>
          <w:rFonts w:ascii="Calibri" w:hAnsi="Calibri"/>
          <w:color w:val="1E293B"/>
          <w:sz w:val="22"/>
        </w:rPr>
        <w:t>13,472</w:t>
      </w:r>
    </w:p>
    <w:p>
      <w:pPr>
        <w:spacing w:after="80" w:line="276" w:lineRule="auto"/>
      </w:pPr>
      <w:r>
        <w:rPr>
          <w:rFonts w:ascii="Calibri" w:hAnsi="Calibri"/>
          <w:color w:val="1E293B"/>
          <w:sz w:val="22"/>
        </w:rPr>
        <w:t>92.11%</w:t>
      </w:r>
    </w:p>
    <w:p>
      <w:pPr>
        <w:spacing w:after="80" w:line="276" w:lineRule="auto"/>
      </w:pPr>
      <w:r>
        <w:rPr>
          <w:rFonts w:ascii="Calibri" w:hAnsi="Calibri"/>
          <w:color w:val="1E293B"/>
          <w:sz w:val="22"/>
        </w:rPr>
        <w:t>14,626</w:t>
      </w:r>
    </w:p>
    <w:p>
      <w:pPr>
        <w:spacing w:after="80" w:line="276" w:lineRule="auto"/>
      </w:pPr>
      <w:r>
        <w:rPr>
          <w:rFonts w:ascii="Calibri" w:hAnsi="Calibri"/>
          <w:color w:val="1E293B"/>
          <w:sz w:val="22"/>
        </w:rPr>
        <w:t>10,882</w:t>
      </w:r>
    </w:p>
    <w:p>
      <w:pPr>
        <w:spacing w:after="80" w:line="276" w:lineRule="auto"/>
      </w:pPr>
      <w:r>
        <w:rPr>
          <w:rFonts w:ascii="Calibri" w:hAnsi="Calibri"/>
          <w:color w:val="1E293B"/>
          <w:sz w:val="22"/>
        </w:rPr>
        <w:t>74.40%</w:t>
      </w:r>
    </w:p>
    <w:p>
      <w:pPr>
        <w:spacing w:after="80" w:line="276" w:lineRule="auto"/>
      </w:pPr>
      <w:r>
        <w:rPr>
          <w:rFonts w:ascii="Calibri" w:hAnsi="Calibri"/>
          <w:color w:val="1E293B"/>
          <w:sz w:val="22"/>
        </w:rPr>
        <w:t>b)</w:t>
      </w:r>
    </w:p>
    <w:p>
      <w:pPr>
        <w:spacing w:after="80" w:line="276" w:lineRule="auto"/>
      </w:pPr>
      <w:r>
        <w:rPr>
          <w:rFonts w:ascii="Calibri" w:hAnsi="Calibri"/>
          <w:color w:val="1E293B"/>
          <w:sz w:val="22"/>
        </w:rPr>
        <w:t>Standard Magnet Winding Wire</w:t>
      </w:r>
    </w:p>
    <w:p>
      <w:pPr>
        <w:spacing w:after="80" w:line="276" w:lineRule="auto"/>
      </w:pPr>
      <w:r>
        <w:rPr>
          <w:rFonts w:ascii="Calibri" w:hAnsi="Calibri"/>
          <w:color w:val="1E293B"/>
          <w:sz w:val="22"/>
        </w:rPr>
        <w:t>2,694</w:t>
      </w:r>
    </w:p>
    <w:p>
      <w:pPr>
        <w:spacing w:after="80" w:line="276" w:lineRule="auto"/>
      </w:pPr>
      <w:r>
        <w:rPr>
          <w:rFonts w:ascii="Calibri" w:hAnsi="Calibri"/>
          <w:color w:val="1E293B"/>
          <w:sz w:val="22"/>
        </w:rPr>
        <w:t>506</w:t>
      </w:r>
    </w:p>
    <w:p>
      <w:pPr>
        <w:spacing w:after="80" w:line="276" w:lineRule="auto"/>
      </w:pPr>
      <w:r>
        <w:rPr>
          <w:rFonts w:ascii="Calibri" w:hAnsi="Calibri"/>
          <w:color w:val="1E293B"/>
          <w:sz w:val="22"/>
        </w:rPr>
        <w:t>18.78%</w:t>
      </w:r>
    </w:p>
    <w:p>
      <w:pPr>
        <w:spacing w:after="80" w:line="276" w:lineRule="auto"/>
      </w:pPr>
      <w:r>
        <w:rPr>
          <w:rFonts w:ascii="Calibri" w:hAnsi="Calibri"/>
          <w:color w:val="1E293B"/>
          <w:sz w:val="22"/>
        </w:rPr>
        <w:t>1,347</w:t>
      </w:r>
    </w:p>
    <w:p>
      <w:pPr>
        <w:spacing w:after="80" w:line="276" w:lineRule="auto"/>
      </w:pPr>
      <w:r>
        <w:rPr>
          <w:rFonts w:ascii="Calibri" w:hAnsi="Calibri"/>
          <w:color w:val="1E293B"/>
          <w:sz w:val="22"/>
        </w:rPr>
        <w:t>53</w:t>
      </w:r>
    </w:p>
    <w:p>
      <w:pPr>
        <w:spacing w:after="80" w:line="276" w:lineRule="auto"/>
      </w:pPr>
      <w:r>
        <w:rPr>
          <w:rFonts w:ascii="Calibri" w:hAnsi="Calibri"/>
          <w:color w:val="1E293B"/>
          <w:sz w:val="22"/>
        </w:rPr>
        <w:t>3.93%</w:t>
      </w:r>
    </w:p>
    <w:p>
      <w:pPr>
        <w:spacing w:after="80" w:line="276" w:lineRule="auto"/>
      </w:pPr>
      <w:r>
        <w:rPr>
          <w:rFonts w:ascii="Calibri" w:hAnsi="Calibri"/>
          <w:color w:val="1E293B"/>
          <w:sz w:val="22"/>
        </w:rPr>
        <w:t>Total Chakan Unit No. 2</w:t>
      </w:r>
    </w:p>
    <w:p>
      <w:pPr>
        <w:spacing w:after="80" w:line="276" w:lineRule="auto"/>
      </w:pPr>
      <w:r>
        <w:rPr>
          <w:rFonts w:ascii="Calibri" w:hAnsi="Calibri"/>
          <w:color w:val="1E293B"/>
          <w:sz w:val="22"/>
        </w:rPr>
        <w:t>17,320</w:t>
      </w:r>
    </w:p>
    <w:p>
      <w:pPr>
        <w:spacing w:after="80" w:line="276" w:lineRule="auto"/>
      </w:pPr>
      <w:r>
        <w:rPr>
          <w:rFonts w:ascii="Calibri" w:hAnsi="Calibri"/>
          <w:color w:val="1E293B"/>
          <w:sz w:val="22"/>
        </w:rPr>
        <w:t>13,978</w:t>
      </w:r>
    </w:p>
    <w:p>
      <w:pPr>
        <w:spacing w:after="80" w:line="276" w:lineRule="auto"/>
      </w:pPr>
      <w:r>
        <w:rPr>
          <w:rFonts w:ascii="Calibri" w:hAnsi="Calibri"/>
          <w:color w:val="1E293B"/>
          <w:sz w:val="22"/>
        </w:rPr>
        <w:t>80.70%</w:t>
      </w:r>
    </w:p>
    <w:p>
      <w:pPr>
        <w:spacing w:after="80" w:line="276" w:lineRule="auto"/>
      </w:pPr>
      <w:r>
        <w:rPr>
          <w:rFonts w:ascii="Calibri" w:hAnsi="Calibri"/>
          <w:color w:val="1E293B"/>
          <w:sz w:val="22"/>
        </w:rPr>
        <w:t>15,973</w:t>
      </w:r>
    </w:p>
    <w:p>
      <w:pPr>
        <w:spacing w:after="80" w:line="276" w:lineRule="auto"/>
      </w:pPr>
      <w:r>
        <w:rPr>
          <w:rFonts w:ascii="Calibri" w:hAnsi="Calibri"/>
          <w:color w:val="1E293B"/>
          <w:sz w:val="22"/>
        </w:rPr>
        <w:t>10,935</w:t>
      </w:r>
    </w:p>
    <w:p>
      <w:pPr>
        <w:spacing w:after="80" w:line="276" w:lineRule="auto"/>
      </w:pPr>
      <w:r>
        <w:rPr>
          <w:rFonts w:ascii="Calibri" w:hAnsi="Calibri"/>
          <w:color w:val="1E293B"/>
          <w:sz w:val="22"/>
        </w:rPr>
        <w:t>68.46%</w:t>
      </w:r>
    </w:p>
    <w:p>
      <w:pPr>
        <w:spacing w:after="80" w:line="276" w:lineRule="auto"/>
      </w:pPr>
      <w:r>
        <w:rPr>
          <w:rFonts w:ascii="Calibri" w:hAnsi="Calibri"/>
          <w:color w:val="1E293B"/>
          <w:sz w:val="22"/>
        </w:rPr>
        <w:t>3</w:t>
      </w:r>
    </w:p>
    <w:p>
      <w:pPr>
        <w:spacing w:after="80" w:line="276" w:lineRule="auto"/>
      </w:pPr>
      <w:r>
        <w:rPr>
          <w:rFonts w:ascii="Calibri" w:hAnsi="Calibri"/>
          <w:color w:val="1E293B"/>
          <w:sz w:val="22"/>
        </w:rPr>
        <w:t>Chakan Unit No. 3 (Khalumbre)</w:t>
      </w:r>
    </w:p>
    <w:p>
      <w:pPr>
        <w:spacing w:after="80" w:line="276" w:lineRule="auto"/>
      </w:pPr>
      <w:r>
        <w:rPr>
          <w:rFonts w:ascii="Calibri" w:hAnsi="Calibri"/>
          <w:color w:val="1E293B"/>
          <w:sz w:val="22"/>
        </w:rPr>
        <w:t>a)</w:t>
      </w:r>
    </w:p>
    <w:p>
      <w:pPr>
        <w:spacing w:after="80" w:line="276" w:lineRule="auto"/>
      </w:pPr>
      <w:r>
        <w:rPr>
          <w:rFonts w:ascii="Calibri" w:hAnsi="Calibri"/>
          <w:color w:val="1E293B"/>
          <w:sz w:val="22"/>
        </w:rPr>
        <w:t>Standard Magnet Winding Wire</w:t>
      </w:r>
    </w:p>
    <w:p>
      <w:pPr>
        <w:spacing w:after="80" w:line="276" w:lineRule="auto"/>
      </w:pPr>
      <w:r>
        <w:rPr>
          <w:rFonts w:ascii="Calibri" w:hAnsi="Calibri"/>
          <w:color w:val="1E293B"/>
          <w:sz w:val="22"/>
        </w:rPr>
        <w:t>6,875</w:t>
      </w:r>
    </w:p>
    <w:p>
      <w:pPr>
        <w:spacing w:after="80" w:line="276" w:lineRule="auto"/>
      </w:pPr>
      <w:r>
        <w:rPr>
          <w:rFonts w:ascii="Calibri" w:hAnsi="Calibri"/>
          <w:color w:val="1E293B"/>
          <w:sz w:val="22"/>
        </w:rPr>
        <w:t>4,289</w:t>
      </w:r>
    </w:p>
    <w:p>
      <w:pPr>
        <w:spacing w:after="80" w:line="276" w:lineRule="auto"/>
      </w:pPr>
      <w:r>
        <w:rPr>
          <w:rFonts w:ascii="Calibri" w:hAnsi="Calibri"/>
          <w:color w:val="1E293B"/>
          <w:sz w:val="22"/>
        </w:rPr>
        <w:t>62.39%</w:t>
      </w:r>
    </w:p>
    <w:p>
      <w:pPr>
        <w:spacing w:after="80" w:line="276" w:lineRule="auto"/>
      </w:pPr>
      <w:r>
        <w:rPr>
          <w:rFonts w:ascii="Calibri" w:hAnsi="Calibri"/>
          <w:color w:val="1E293B"/>
          <w:sz w:val="22"/>
        </w:rPr>
        <w:t>5,051</w:t>
      </w:r>
    </w:p>
    <w:p>
      <w:pPr>
        <w:spacing w:after="80" w:line="276" w:lineRule="auto"/>
      </w:pPr>
      <w:r>
        <w:rPr>
          <w:rFonts w:ascii="Calibri" w:hAnsi="Calibri"/>
          <w:color w:val="1E293B"/>
          <w:sz w:val="22"/>
        </w:rPr>
        <w:t>3,174</w:t>
      </w:r>
    </w:p>
    <w:p>
      <w:pPr>
        <w:spacing w:after="80" w:line="276" w:lineRule="auto"/>
      </w:pPr>
      <w:r>
        <w:rPr>
          <w:rFonts w:ascii="Calibri" w:hAnsi="Calibri"/>
          <w:color w:val="1E293B"/>
          <w:sz w:val="22"/>
        </w:rPr>
        <w:t>62.84%</w:t>
      </w:r>
    </w:p>
    <w:p>
      <w:pPr>
        <w:spacing w:after="80" w:line="276" w:lineRule="auto"/>
      </w:pPr>
      <w:r>
        <w:rPr>
          <w:rFonts w:ascii="Calibri" w:hAnsi="Calibri"/>
          <w:color w:val="1E293B"/>
          <w:sz w:val="22"/>
        </w:rPr>
        <w:t>Total Chakan Unit No. 3</w:t>
      </w:r>
    </w:p>
    <w:p>
      <w:pPr>
        <w:spacing w:after="80" w:line="276" w:lineRule="auto"/>
      </w:pPr>
      <w:r>
        <w:rPr>
          <w:rFonts w:ascii="Calibri" w:hAnsi="Calibri"/>
          <w:color w:val="1E293B"/>
          <w:sz w:val="22"/>
        </w:rPr>
        <w:t>6,875</w:t>
      </w:r>
    </w:p>
    <w:p>
      <w:pPr>
        <w:spacing w:after="80" w:line="276" w:lineRule="auto"/>
      </w:pPr>
      <w:r>
        <w:rPr>
          <w:rFonts w:ascii="Calibri" w:hAnsi="Calibri"/>
          <w:color w:val="1E293B"/>
          <w:sz w:val="22"/>
        </w:rPr>
        <w:t>4,289</w:t>
      </w:r>
    </w:p>
    <w:p>
      <w:pPr>
        <w:spacing w:after="80" w:line="276" w:lineRule="auto"/>
      </w:pPr>
      <w:r>
        <w:rPr>
          <w:rFonts w:ascii="Calibri" w:hAnsi="Calibri"/>
          <w:color w:val="1E293B"/>
          <w:sz w:val="22"/>
        </w:rPr>
        <w:t>62.39%</w:t>
      </w:r>
    </w:p>
    <w:p>
      <w:pPr>
        <w:spacing w:after="80" w:line="276" w:lineRule="auto"/>
      </w:pPr>
      <w:r>
        <w:rPr>
          <w:rFonts w:ascii="Calibri" w:hAnsi="Calibri"/>
          <w:color w:val="1E293B"/>
          <w:sz w:val="22"/>
        </w:rPr>
        <w:t>5,051</w:t>
      </w:r>
    </w:p>
    <w:p>
      <w:pPr>
        <w:spacing w:after="80" w:line="276" w:lineRule="auto"/>
      </w:pPr>
      <w:r>
        <w:rPr>
          <w:rFonts w:ascii="Calibri" w:hAnsi="Calibri"/>
          <w:color w:val="1E293B"/>
          <w:sz w:val="22"/>
        </w:rPr>
        <w:t>3,174</w:t>
      </w:r>
    </w:p>
    <w:p>
      <w:pPr>
        <w:spacing w:after="80" w:line="276" w:lineRule="auto"/>
      </w:pPr>
      <w:r>
        <w:rPr>
          <w:rFonts w:ascii="Calibri" w:hAnsi="Calibri"/>
          <w:color w:val="1E293B"/>
          <w:sz w:val="22"/>
        </w:rPr>
        <w:t>62.84%</w:t>
      </w:r>
    </w:p>
    <w:p>
      <w:pPr>
        <w:spacing w:after="80" w:line="276" w:lineRule="auto"/>
      </w:pPr>
      <w:r>
        <w:rPr>
          <w:rFonts w:ascii="Calibri" w:hAnsi="Calibri"/>
          <w:color w:val="1E293B"/>
          <w:sz w:val="22"/>
        </w:rPr>
        <w:t>Total</w:t>
      </w:r>
    </w:p>
    <w:p>
      <w:pPr>
        <w:spacing w:after="80" w:line="276" w:lineRule="auto"/>
      </w:pPr>
      <w:r>
        <w:rPr>
          <w:rFonts w:ascii="Calibri" w:hAnsi="Calibri"/>
          <w:color w:val="1E293B"/>
          <w:sz w:val="22"/>
        </w:rPr>
        <w:t>28,436</w:t>
      </w:r>
    </w:p>
    <w:p>
      <w:pPr>
        <w:spacing w:after="80" w:line="276" w:lineRule="auto"/>
      </w:pPr>
      <w:r>
        <w:rPr>
          <w:rFonts w:ascii="Calibri" w:hAnsi="Calibri"/>
          <w:color w:val="1E293B"/>
          <w:sz w:val="22"/>
        </w:rPr>
        <w:t>21,754</w:t>
      </w:r>
    </w:p>
    <w:p>
      <w:pPr>
        <w:spacing w:after="80" w:line="276" w:lineRule="auto"/>
      </w:pPr>
      <w:r>
        <w:rPr>
          <w:rFonts w:ascii="Calibri" w:hAnsi="Calibri"/>
          <w:color w:val="1E293B"/>
          <w:sz w:val="22"/>
        </w:rPr>
        <w:t>76.50%</w:t>
      </w:r>
    </w:p>
    <w:p>
      <w:pPr>
        <w:spacing w:after="80" w:line="276" w:lineRule="auto"/>
      </w:pPr>
      <w:r>
        <w:rPr>
          <w:rFonts w:ascii="Calibri" w:hAnsi="Calibri"/>
          <w:color w:val="1E293B"/>
          <w:sz w:val="22"/>
        </w:rPr>
        <w:t>25,265</w:t>
      </w:r>
    </w:p>
    <w:p>
      <w:pPr>
        <w:spacing w:after="80" w:line="276" w:lineRule="auto"/>
      </w:pPr>
      <w:r>
        <w:rPr>
          <w:rFonts w:ascii="Calibri" w:hAnsi="Calibri"/>
          <w:color w:val="1E293B"/>
          <w:sz w:val="22"/>
        </w:rPr>
        <w:t>17,756</w:t>
      </w:r>
    </w:p>
    <w:p>
      <w:pPr>
        <w:spacing w:after="80" w:line="276" w:lineRule="auto"/>
      </w:pPr>
      <w:r>
        <w:rPr>
          <w:rFonts w:ascii="Calibri" w:hAnsi="Calibri"/>
          <w:color w:val="1E293B"/>
          <w:sz w:val="22"/>
        </w:rPr>
        <w:t>70.28%</w:t>
      </w:r>
    </w:p>
    <w:p>
      <w:pPr>
        <w:spacing w:after="80" w:line="276" w:lineRule="auto"/>
      </w:pPr>
      <w:r>
        <w:rPr>
          <w:rFonts w:ascii="Calibri" w:hAnsi="Calibri"/>
          <w:color w:val="1E293B"/>
          <w:sz w:val="22"/>
        </w:rPr>
        <w:t>^ Calculated on proportionate installed capacity basis.</w:t>
      </w:r>
    </w:p>
    <w:p>
      <w:pPr>
        <w:spacing w:after="80" w:line="276" w:lineRule="auto"/>
      </w:pPr>
      <w:r>
        <w:rPr>
          <w:rFonts w:ascii="Calibri" w:hAnsi="Calibri"/>
          <w:color w:val="1E293B"/>
          <w:sz w:val="22"/>
        </w:rPr>
        <w:t>* Actual production mentioned above is for the three-month period ended June 30, 2025.</w:t>
      </w:r>
    </w:p>
    <w:p>
      <w:pPr>
        <w:spacing w:after="80" w:line="276" w:lineRule="auto"/>
      </w:pPr>
      <w:r>
        <w:rPr>
          <w:rFonts w:ascii="Calibri" w:hAnsi="Calibri"/>
          <w:color w:val="1E293B"/>
          <w:sz w:val="22"/>
        </w:rPr>
        <w:t>Notes:</w:t>
      </w:r>
    </w:p>
    <w:p>
      <w:pPr>
        <w:spacing w:after="80" w:line="276" w:lineRule="auto"/>
      </w:pPr>
      <w:r>
        <w:rPr>
          <w:rFonts w:ascii="Calibri" w:hAnsi="Calibri"/>
          <w:color w:val="1E293B"/>
          <w:sz w:val="22"/>
        </w:rPr>
        <w:t>Capacity mentioned in above table for the year 2022-2023, 2023-2024 and 2024-2025 &amp; first quarter of the year 2025-26 is on annualized basis.</w:t>
      </w:r>
    </w:p>
    <w:p>
      <w:pPr>
        <w:spacing w:after="80" w:line="276" w:lineRule="auto"/>
      </w:pPr>
      <w:r>
        <w:rPr>
          <w:rFonts w:ascii="Calibri" w:hAnsi="Calibri"/>
          <w:color w:val="1E293B"/>
          <w:sz w:val="22"/>
        </w:rPr>
        <w:t>PICC means - Paper Insulated Copper Conductor.</w:t>
      </w:r>
    </w:p>
    <w:p>
      <w:pPr>
        <w:spacing w:after="80" w:line="276" w:lineRule="auto"/>
      </w:pPr>
      <w:r>
        <w:rPr>
          <w:rFonts w:ascii="Calibri" w:hAnsi="Calibri"/>
          <w:color w:val="1E293B"/>
          <w:sz w:val="22"/>
        </w:rPr>
        <w:t>CTC means - Continuously Transposed Conductors.</w:t>
      </w:r>
    </w:p>
    <w:p>
      <w:pPr>
        <w:spacing w:after="80" w:line="276" w:lineRule="auto"/>
      </w:pPr>
      <w:r>
        <w:rPr>
          <w:rFonts w:ascii="Calibri" w:hAnsi="Calibri"/>
          <w:color w:val="1E293B"/>
          <w:sz w:val="22"/>
        </w:rPr>
        <w:t>RW means - Round Wire Conductors.</w:t>
      </w:r>
    </w:p>
    <w:p>
      <w:pPr>
        <w:spacing w:after="80" w:line="276" w:lineRule="auto"/>
      </w:pPr>
      <w:r>
        <w:rPr>
          <w:rFonts w:ascii="Calibri" w:hAnsi="Calibri"/>
          <w:color w:val="1E293B"/>
          <w:sz w:val="22"/>
        </w:rPr>
        <w:t>Installed capacity represents the installed capacity as of the last date of the relevant Fiscal and by considering the factors such as plant preventive maintenance, unplanned maintenance, set up change for extreme cross section, job landing &amp; unloading time, power failure, lunch/ tea break etc..</w:t>
      </w:r>
    </w:p>
    <w:p>
      <w:pPr>
        <w:spacing w:after="80" w:line="276" w:lineRule="auto"/>
      </w:pPr>
      <w:r>
        <w:rPr>
          <w:rFonts w:ascii="Calibri" w:hAnsi="Calibri"/>
          <w:color w:val="1E293B"/>
          <w:sz w:val="22"/>
        </w:rPr>
        <w:t>The installed capacity are based on various assumptions and estimates, including standard capacity calculation practice in the Indian winding wires industry and capacity of other ancillary equipment installed at the relevant manufacturing facility. Actual available annual capacity is calculated by considering above mentioned factors and percentage of utilization is calculated by considering available capacity.</w:t>
      </w:r>
    </w:p>
    <w:p>
      <w:pPr>
        <w:spacing w:after="80" w:line="276" w:lineRule="auto"/>
      </w:pPr>
      <w:r>
        <w:rPr>
          <w:rFonts w:ascii="Calibri" w:hAnsi="Calibri"/>
          <w:color w:val="1E293B"/>
          <w:sz w:val="22"/>
        </w:rPr>
        <w:t>Actual production will vary due to factors such as size/shape of conductors, no./ bunch of conductors, operator’s skill, age of the machine, condition of the machine, annealing time, enamelling type, paper overlapping etc.</w:t>
      </w:r>
    </w:p>
    <w:p>
      <w:pPr>
        <w:spacing w:after="80" w:line="276" w:lineRule="auto"/>
      </w:pPr>
      <w:r>
        <w:rPr>
          <w:rFonts w:ascii="Calibri" w:hAnsi="Calibri"/>
          <w:color w:val="1E293B"/>
          <w:sz w:val="22"/>
        </w:rPr>
        <w:t>Company manufactures wide range of wires and conductors in various sizes and types. Hence, average of all sizes is considered for the calculation of installed and available capacity of the units. Main production output is based on final output of CTC, PICC machine as it is final operation to get finish product.</w:t>
      </w:r>
    </w:p>
    <w:p>
      <w:pPr>
        <w:spacing w:after="80" w:line="276" w:lineRule="auto"/>
      </w:pPr>
      <w:r>
        <w:rPr>
          <w:rFonts w:ascii="Calibri" w:hAnsi="Calibri"/>
          <w:color w:val="1E293B"/>
          <w:sz w:val="22"/>
        </w:rPr>
        <w:t>Acme Private Limited is manufacturing aluminum &amp; copper winding wires and for purpose of arriving at copper equivalent figures of production and sales, the aluminum products has been multiplied by 3.28.</w:t>
      </w:r>
    </w:p>
    <w:p>
      <w:pPr>
        <w:spacing w:after="80" w:line="276" w:lineRule="auto"/>
      </w:pPr>
      <w:r>
        <w:rPr>
          <w:rFonts w:ascii="Calibri" w:hAnsi="Calibri"/>
          <w:color w:val="1E293B"/>
          <w:sz w:val="22"/>
        </w:rPr>
        <w:t>Assumptions and estimates taken into account for measuring available capacities includes:</w:t>
      </w:r>
    </w:p>
    <w:p>
      <w:pPr>
        <w:spacing w:after="80" w:line="276" w:lineRule="auto"/>
      </w:pPr>
      <w:r>
        <w:rPr>
          <w:rFonts w:ascii="Calibri" w:hAnsi="Calibri"/>
          <w:color w:val="1E293B"/>
          <w:sz w:val="22"/>
        </w:rPr>
        <w:t>Specialize magnet winding wires:</w:t>
      </w:r>
    </w:p>
    <w:p>
      <w:pPr>
        <w:spacing w:after="80" w:line="276" w:lineRule="auto"/>
      </w:pPr>
      <w:r>
        <w:rPr>
          <w:rFonts w:ascii="Calibri" w:hAnsi="Calibri"/>
          <w:color w:val="1E293B"/>
          <w:sz w:val="22"/>
        </w:rPr>
        <w:t>For PICC - 26 days per month resulting in 312 working days in a year with per day three operating shifts with actual run time of 5.6 hours per shift.</w:t>
      </w:r>
    </w:p>
    <w:p>
      <w:pPr>
        <w:spacing w:after="80" w:line="276" w:lineRule="auto"/>
      </w:pPr>
      <w:r>
        <w:rPr>
          <w:rFonts w:ascii="Calibri" w:hAnsi="Calibri"/>
          <w:color w:val="1E293B"/>
          <w:sz w:val="22"/>
        </w:rPr>
        <w:t>For CTC - 26 days per month resulting in 312 working days in a year with per day three operating shifts with actual run time of 5.2 hours per shift.</w:t>
      </w:r>
    </w:p>
    <w:p>
      <w:pPr>
        <w:spacing w:after="80" w:line="276" w:lineRule="auto"/>
      </w:pPr>
      <w:r>
        <w:rPr>
          <w:rFonts w:ascii="Calibri" w:hAnsi="Calibri"/>
          <w:color w:val="1E293B"/>
          <w:sz w:val="22"/>
        </w:rPr>
        <w:t>Standard magnet winding wires:</w:t>
      </w:r>
    </w:p>
    <w:p>
      <w:pPr>
        <w:spacing w:after="80" w:line="276" w:lineRule="auto"/>
      </w:pPr>
      <w:r>
        <w:rPr>
          <w:rFonts w:ascii="Calibri" w:hAnsi="Calibri"/>
          <w:color w:val="1E293B"/>
          <w:sz w:val="22"/>
        </w:rPr>
        <w:t>For RW – 95% of 365 working days in a year on a continuing basis with per day three operating shifts with actual run time of 8 hours per shift.</w:t>
      </w:r>
    </w:p>
    <w:p>
      <w:pPr>
        <w:spacing w:after="80" w:line="276" w:lineRule="auto"/>
      </w:pPr>
      <w:r>
        <w:rPr>
          <w:rFonts w:ascii="Calibri" w:hAnsi="Calibri"/>
          <w:color w:val="1E293B"/>
          <w:sz w:val="22"/>
        </w:rPr>
        <w:t>The information relating to the actual production at the manufacturing units as on date included above are based on the following assumptions.</w:t>
      </w:r>
    </w:p>
    <w:p>
      <w:pPr>
        <w:spacing w:after="80" w:line="276" w:lineRule="auto"/>
      </w:pPr>
      <w:r>
        <w:rPr>
          <w:rFonts w:ascii="Calibri" w:hAnsi="Calibri"/>
          <w:color w:val="1E293B"/>
          <w:sz w:val="22"/>
        </w:rPr>
        <w:t>Acme Private Limited is derived from a ‘Production Data’ on a monthly basis.</w:t>
      </w:r>
    </w:p>
    <w:p>
      <w:pPr>
        <w:spacing w:after="80" w:line="276" w:lineRule="auto"/>
      </w:pPr>
      <w:r>
        <w:rPr>
          <w:rFonts w:ascii="Calibri" w:hAnsi="Calibri"/>
          <w:color w:val="1E293B"/>
          <w:sz w:val="22"/>
        </w:rPr>
        <w:t>Capacity utilization has been calculated on the basis of actual production during the relevant Fiscal/ period divided by the aggregate available capacity as of at the end of the relevant period. The inspection report is based on situation observed at the time of date if inspection.</w:t>
      </w:r>
    </w:p>
    <w:p>
      <w:pPr>
        <w:spacing w:after="80" w:line="276" w:lineRule="auto"/>
      </w:pPr>
      <w:r>
        <w:rPr>
          <w:rFonts w:ascii="Calibri" w:hAnsi="Calibri"/>
          <w:color w:val="1E293B"/>
          <w:sz w:val="22"/>
        </w:rPr>
        <w:t>Northstar Technologies Ltd is expanding by setting up a plant at Plot No. F-223, Supa Parner Industrial Park, Mauje Palve Khurd, Taluka Parner, Dist – Ahmednagar, Maharashtra – 414 301. The proposed plant will be developed in phases: Phase I, named Alpha I, with an installed capacity of 12,000 MT per annum, and Phase II, named Beta I, with a proposed installed capacity of 18,000 MT per annum. Currently, a consent to operate dated September 19, 2025, has been obtained from the Maharashtra Pollution Control Board for Phase I CTO and commercial production of Phase I commenced in September 2025. Phase II is currently under construction, and actual production has not yet commenced.</w:t>
      </w:r>
    </w:p>
    <w:p>
      <w:pPr>
        <w:spacing w:after="80" w:line="276" w:lineRule="auto"/>
      </w:pPr>
      <w:r>
        <w:rPr>
          <w:rFonts w:ascii="Calibri" w:hAnsi="Calibri"/>
          <w:color w:val="1E293B"/>
          <w:sz w:val="22"/>
        </w:rPr>
        <w:t>(The remainder of the page is intentionally left blank)</w:t>
      </w:r>
    </w:p>
    <w:p>
      <w:pPr>
        <w:spacing w:after="80" w:line="276" w:lineRule="auto"/>
      </w:pPr>
      <w:r>
        <w:rPr>
          <w:rFonts w:ascii="Calibri" w:hAnsi="Calibri"/>
          <w:color w:val="1E293B"/>
          <w:sz w:val="22"/>
        </w:rPr>
        <w:t>Our historical capacity utilisation for the standard magnet winding wires reflect under-utilisation, as our production of standard magnet winding wires Fiscal 2020 and were affected by the adverse economic slowdown due to Covid-19. For further details on our manufacturing facilities and capacities, see “Our Business – Capacity and Capacity Utilization” 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 raw materials, and industry/ market conditions. In the event there is a decline in the demand for our offerings, or if we face prolonged disruptions at our facility including due to interruptions in the supply of water, electricity or as a result of labour unrest, or are unable to procure sufficient raw materials, we would not be able to achieve full capacity utilization of our current manufacturing facility, resulting in operational inefficiencies which could have a material adverse effect on our business and financial condition. Under-utilization of our manufacturing capacities over extended periods, or significant under-utilization in the short term, or an inability to fully realize the benefits of our recently implemented capacity expansion, could materially and adversely impact our business, growth prospects and future financial performance.</w:t>
      </w:r>
    </w:p>
    <w:p>
      <w:pPr>
        <w:spacing w:after="80" w:line="276" w:lineRule="auto"/>
      </w:pPr>
      <w:r>
        <w:rPr>
          <w:rFonts w:ascii="Calibri" w:hAnsi="Calibri"/>
          <w:color w:val="1E293B"/>
          <w:sz w:val="22"/>
        </w:rPr>
        <w:t>Our manufacturing facilities are located in Maharashtra, India, which exposes our operations to potential geographical concentration risks arising from local and regional factors which may adversely affect our operations and in turn our business, results of operations and cash flows.</w:t>
      </w:r>
    </w:p>
    <w:p>
      <w:pPr>
        <w:spacing w:after="80" w:line="276" w:lineRule="auto"/>
      </w:pPr>
      <w:r>
        <w:rPr>
          <w:rFonts w:ascii="Calibri" w:hAnsi="Calibri"/>
          <w:color w:val="1E293B"/>
          <w:sz w:val="22"/>
        </w:rPr>
        <w:t>As of the date of this Red Herring Prospectus, we primarily manufacture our products at our four manufacturing facilities, one at Taloja (Raigad), Maharashtra, and two in Chakan (Pune), Maharashtra. Additionally, in order to address 221B Baker Street, London NW1 6XE</w:t>
      </w:r>
    </w:p>
    <w:p>
      <w:pPr>
        <w:spacing w:after="80" w:line="276" w:lineRule="auto"/>
      </w:pPr>
      <w:r>
        <w:rPr>
          <w:rFonts w:ascii="Calibri" w:hAnsi="Calibri"/>
          <w:color w:val="1E293B"/>
          <w:sz w:val="22"/>
        </w:rPr>
        <w:t>We have incurred indebtedness and are subject to certain restrictive covenants under the terms of our financing agreements, which may limit our ability to seek additional financing or undertake certain business actions. Any inability to comply with repayment obligations and/or other covenants in our financing agreements could adversely affect our business and financial condition.</w:t>
      </w:r>
    </w:p>
    <w:p>
      <w:pPr>
        <w:spacing w:after="80" w:line="276" w:lineRule="auto"/>
      </w:pPr>
      <w:r>
        <w:rPr>
          <w:rFonts w:ascii="Calibri" w:hAnsi="Calibri"/>
          <w:color w:val="1E293B"/>
          <w:sz w:val="22"/>
        </w:rPr>
        <w:t>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 5,194.25 million. For further details, see “Financial Indebtedness” 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conditions.</w:t>
      </w:r>
    </w:p>
    <w:p>
      <w:pPr>
        <w:spacing w:after="80" w:line="276" w:lineRule="auto"/>
      </w:pPr>
      <w:r>
        <w:rPr>
          <w:rFonts w:ascii="Calibri" w:hAnsi="Calibri"/>
          <w:color w:val="1E293B"/>
          <w:sz w:val="22"/>
        </w:rPr>
        <w:t>Our financing agreements contain certain restrictive covenants that limit our ability to undertake certain types of actions, which could adversely affect our business and financial condition. For example, some Bluebird Capital LLP to obtain prior written waiver or consent from, or intimate our lenders for, among other things, effecting any change in ownership, control, Acme Private Limited;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 or cancellation of such facilities, entailing repayment of amounts outstanding under such facilities. We may not be successful in procuring such alternative guarantees to the satisfaction of the lenders, and as a result may need to repay outstanding amounts under such facilities or seek additional sources of capital, which may not be available</w:t>
      </w:r>
    </w:p>
    <w:p>
      <w:pPr>
        <w:spacing w:after="80" w:line="276" w:lineRule="auto"/>
      </w:pPr>
      <w:r>
        <w:rPr>
          <w:rFonts w:ascii="Calibri" w:hAnsi="Calibri"/>
          <w:color w:val="1E293B"/>
          <w:sz w:val="22"/>
        </w:rPr>
        <w:t>on acceptable terms or at all. For further details in relation to the personal guarantees, see “History and Certain Corporate Matters – Guarantees provided to third parties by our Promoter Selling Shareholders” on page 245.</w:t>
      </w:r>
    </w:p>
    <w:p>
      <w:pPr>
        <w:spacing w:after="80" w:line="276" w:lineRule="auto"/>
      </w:pPr>
      <w:r>
        <w:rPr>
          <w:rFonts w:ascii="Calibri" w:hAnsi="Calibri"/>
          <w:color w:val="1E293B"/>
          <w:sz w:val="22"/>
        </w:rPr>
        <w:t>The level of our indebtedness and the covenants under the relevant agreements may restrict our ability to obtain additional financing in the future or renegotiate or refinance our existing indebtedness on terms favourable to us, which may impact our growth plans.</w:t>
      </w:r>
    </w:p>
    <w:p>
      <w:pPr>
        <w:spacing w:after="80" w:line="276" w:lineRule="auto"/>
      </w:pPr>
      <w:r>
        <w:rPr>
          <w:rFonts w:ascii="Calibri" w:hAnsi="Calibri"/>
          <w:color w:val="1E293B"/>
          <w:sz w:val="22"/>
        </w:rPr>
        <w:t>While we have been in compliance with the financial covenants under our loan agreements in the three-month period ended June 30, 2025 and Fiscals 2025, 2024 and 2023, there can be no assurance that we will be able to comply with these financial or other covenants in the future or that we will be able to obtain consents necessary to take the actions that we believe are required to operate and grow our business.</w:t>
      </w:r>
    </w:p>
    <w:p>
      <w:pPr>
        <w:spacing w:after="80" w:line="276" w:lineRule="auto"/>
      </w:pPr>
      <w:r>
        <w:rPr>
          <w:rFonts w:ascii="Calibri" w:hAnsi="Calibri"/>
          <w:color w:val="1E293B"/>
          <w:sz w:val="22"/>
        </w:rPr>
        <w:t>A failure to observe the covenants under the financing arrangements or to obtain necessary waivers may lead to the termination of our credit facilities and acceleration of amounts due under such facilities. For the purpose of the Offer, the consents from our lenders as required under the relevant loan documents for undertaking activities relating to the Offer have been obtained.</w:t>
      </w:r>
    </w:p>
    <w:p>
      <w:pPr>
        <w:spacing w:after="80" w:line="276" w:lineRule="auto"/>
      </w:pPr>
      <w:r>
        <w:rPr>
          <w:rFonts w:ascii="Calibri" w:hAnsi="Calibri"/>
          <w:color w:val="1E293B"/>
          <w:sz w:val="22"/>
        </w:rPr>
        <w:t>The loss of certain independent certification and accreditation of our products and the manufacturing practices that we have adopted could harm our business.</w:t>
      </w:r>
    </w:p>
    <w:p>
      <w:pPr>
        <w:spacing w:after="80" w:line="276" w:lineRule="auto"/>
      </w:pPr>
      <w:r>
        <w:rPr>
          <w:rFonts w:ascii="Calibri" w:hAnsi="Calibri"/>
          <w:color w:val="1E293B"/>
          <w:sz w:val="22"/>
        </w:rPr>
        <w:t>We obtain and maintain quality certifications and accreditations from independent certification entities in connection with the products we manufacture. For instance, we were awarded (i) ISO 9001:2015 – accreditation for the certification and approval of the quality management system; (ii) ISO 14001:2015 – accreditation for environment management system; (iii) ISO 45001:2018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w:t>
      </w:r>
    </w:p>
    <w:p>
      <w:pPr>
        <w:spacing w:after="80" w:line="276" w:lineRule="auto"/>
      </w:pPr>
      <w:r>
        <w:rPr>
          <w:rFonts w:ascii="Calibri" w:hAnsi="Calibri"/>
          <w:color w:val="1E293B"/>
          <w:sz w:val="22"/>
        </w:rPr>
        <w:t>There have been certain instances of delays in payment of statutory dues by us in the past. Any delay in payment of statutory dues by us in future, may result in the imposition of penalties and in turn may have an adverse effect on our business, financial condition, results of operation and cash flows.</w:t>
      </w:r>
    </w:p>
    <w:p>
      <w:pPr>
        <w:spacing w:after="80" w:line="276" w:lineRule="auto"/>
      </w:pPr>
      <w:r>
        <w:rPr>
          <w:rFonts w:ascii="Calibri" w:hAnsi="Calibri"/>
          <w:color w:val="1E293B"/>
          <w:sz w:val="22"/>
        </w:rPr>
        <w:t>We are required to pay certain statutory dues including provident fund contributions under the Employees’ Provident Funds and Miscellaneous Provisions Act, 1952, employee John Doe the Employees’ State Insurance Act, 1948, professional tax, tax deduction at source (“TDS”), labour welfare fund, GST and income tax.</w:t>
      </w:r>
    </w:p>
    <w:p>
      <w:pPr>
        <w:spacing w:after="80" w:line="276" w:lineRule="auto"/>
      </w:pPr>
      <w:r>
        <w:rPr>
          <w:rFonts w:ascii="Calibri" w:hAnsi="Calibri"/>
          <w:color w:val="1E293B"/>
          <w:sz w:val="22"/>
        </w:rPr>
        <w:t>The table below sets out details Northstar Technologies Ltd, in relation to its employees during the period/ Fiscals indicated:</w:t>
      </w:r>
    </w:p>
    <w:p>
      <w:pPr>
        <w:spacing w:after="80" w:line="276" w:lineRule="auto"/>
      </w:pPr>
      <w:r>
        <w:rPr>
          <w:rFonts w:ascii="Calibri" w:hAnsi="Calibri"/>
          <w:color w:val="1E293B"/>
          <w:sz w:val="22"/>
        </w:rPr>
        <w:t>(₹ in million)</w:t>
      </w:r>
    </w:p>
    <w:p>
      <w:pPr>
        <w:spacing w:after="80" w:line="276" w:lineRule="auto"/>
      </w:pPr>
      <w:r>
        <w:rPr>
          <w:rFonts w:ascii="Calibri" w:hAnsi="Calibri"/>
          <w:color w:val="1E293B"/>
          <w:sz w:val="22"/>
        </w:rPr>
        <w:t>Nature of Payment</w:t>
      </w:r>
    </w:p>
    <w:p>
      <w:pPr>
        <w:spacing w:after="80" w:line="276" w:lineRule="auto"/>
      </w:pPr>
      <w:r>
        <w:rPr>
          <w:rFonts w:ascii="Calibri" w:hAnsi="Calibri"/>
          <w:color w:val="1E293B"/>
          <w:sz w:val="22"/>
        </w:rPr>
        <w:t>As at and for the three-month period ended</w:t>
      </w:r>
    </w:p>
    <w:p>
      <w:pPr>
        <w:spacing w:after="80" w:line="276" w:lineRule="auto"/>
      </w:pPr>
      <w:r>
        <w:rPr>
          <w:rFonts w:ascii="Calibri" w:hAnsi="Calibri"/>
          <w:color w:val="1E293B"/>
          <w:sz w:val="22"/>
        </w:rPr>
        <w:t>June 30, 2025</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Total Dues (in millio</w:t>
      </w:r>
    </w:p>
    <w:p>
      <w:pPr>
        <w:spacing w:after="80" w:line="276" w:lineRule="auto"/>
      </w:pPr>
      <w:r>
        <w:rPr>
          <w:rFonts w:ascii="Calibri" w:hAnsi="Calibri"/>
          <w:color w:val="1E293B"/>
          <w:sz w:val="22"/>
        </w:rPr>
        <w:t>ns)</w:t>
      </w:r>
    </w:p>
    <w:p>
      <w:pPr>
        <w:spacing w:after="80" w:line="276" w:lineRule="auto"/>
      </w:pPr>
      <w:r>
        <w:rPr>
          <w:rFonts w:ascii="Calibri" w:hAnsi="Calibri"/>
          <w:color w:val="1E293B"/>
          <w:sz w:val="22"/>
        </w:rPr>
        <w:t>Paid (in millio ns)</w:t>
      </w:r>
    </w:p>
    <w:p>
      <w:pPr>
        <w:spacing w:after="80" w:line="276" w:lineRule="auto"/>
      </w:pPr>
      <w:r>
        <w:rPr>
          <w:rFonts w:ascii="Calibri" w:hAnsi="Calibri"/>
          <w:color w:val="1E293B"/>
          <w:sz w:val="22"/>
        </w:rPr>
        <w:t>Unpai d (in millio ns)</w:t>
      </w:r>
    </w:p>
    <w:p>
      <w:pPr>
        <w:spacing w:after="80" w:line="276" w:lineRule="auto"/>
      </w:pPr>
      <w:r>
        <w:rPr>
          <w:rFonts w:ascii="Calibri" w:hAnsi="Calibri"/>
          <w:color w:val="1E293B"/>
          <w:sz w:val="22"/>
        </w:rPr>
        <w:t>Total Dues (in millions</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Paid (in million s)</w:t>
      </w:r>
    </w:p>
    <w:p>
      <w:pPr>
        <w:spacing w:after="80" w:line="276" w:lineRule="auto"/>
      </w:pPr>
      <w:r>
        <w:rPr>
          <w:rFonts w:ascii="Calibri" w:hAnsi="Calibri"/>
          <w:color w:val="1E293B"/>
          <w:sz w:val="22"/>
        </w:rPr>
        <w:t>Unpai d (in millio ns)</w:t>
      </w:r>
    </w:p>
    <w:p>
      <w:pPr>
        <w:spacing w:after="80" w:line="276" w:lineRule="auto"/>
      </w:pPr>
      <w:r>
        <w:rPr>
          <w:rFonts w:ascii="Calibri" w:hAnsi="Calibri"/>
          <w:color w:val="1E293B"/>
          <w:sz w:val="22"/>
        </w:rPr>
        <w:t>Total Dues (in millio</w:t>
      </w:r>
    </w:p>
    <w:p>
      <w:pPr>
        <w:spacing w:after="80" w:line="276" w:lineRule="auto"/>
      </w:pPr>
      <w:r>
        <w:rPr>
          <w:rFonts w:ascii="Calibri" w:hAnsi="Calibri"/>
          <w:color w:val="1E293B"/>
          <w:sz w:val="22"/>
        </w:rPr>
        <w:t>ns)</w:t>
      </w:r>
    </w:p>
    <w:p>
      <w:pPr>
        <w:spacing w:after="80" w:line="276" w:lineRule="auto"/>
      </w:pPr>
      <w:r>
        <w:rPr>
          <w:rFonts w:ascii="Calibri" w:hAnsi="Calibri"/>
          <w:color w:val="1E293B"/>
          <w:sz w:val="22"/>
        </w:rPr>
        <w:t>Paid (in millio ns)</w:t>
      </w:r>
    </w:p>
    <w:p>
      <w:pPr>
        <w:spacing w:after="80" w:line="276" w:lineRule="auto"/>
      </w:pPr>
      <w:r>
        <w:rPr>
          <w:rFonts w:ascii="Calibri" w:hAnsi="Calibri"/>
          <w:color w:val="1E293B"/>
          <w:sz w:val="22"/>
        </w:rPr>
        <w:t>Unpai d (in millio ns)</w:t>
      </w:r>
    </w:p>
    <w:p>
      <w:pPr>
        <w:spacing w:after="80" w:line="276" w:lineRule="auto"/>
      </w:pPr>
      <w:r>
        <w:rPr>
          <w:rFonts w:ascii="Calibri" w:hAnsi="Calibri"/>
          <w:color w:val="1E293B"/>
          <w:sz w:val="22"/>
        </w:rPr>
        <w:t>Total Dues (in millio</w:t>
      </w:r>
    </w:p>
    <w:p>
      <w:pPr>
        <w:spacing w:after="80" w:line="276" w:lineRule="auto"/>
      </w:pPr>
      <w:r>
        <w:rPr>
          <w:rFonts w:ascii="Calibri" w:hAnsi="Calibri"/>
          <w:color w:val="1E293B"/>
          <w:sz w:val="22"/>
        </w:rPr>
        <w:t>ns)</w:t>
      </w:r>
    </w:p>
    <w:p>
      <w:pPr>
        <w:spacing w:after="80" w:line="276" w:lineRule="auto"/>
      </w:pPr>
      <w:r>
        <w:rPr>
          <w:rFonts w:ascii="Calibri" w:hAnsi="Calibri"/>
          <w:color w:val="1E293B"/>
          <w:sz w:val="22"/>
        </w:rPr>
        <w:t>Paid (in millio ns)</w:t>
      </w:r>
    </w:p>
    <w:p>
      <w:pPr>
        <w:spacing w:after="80" w:line="276" w:lineRule="auto"/>
      </w:pPr>
      <w:r>
        <w:rPr>
          <w:rFonts w:ascii="Calibri" w:hAnsi="Calibri"/>
          <w:color w:val="1E293B"/>
          <w:sz w:val="22"/>
        </w:rPr>
        <w:t>Unpai d (in millio ns)</w:t>
      </w:r>
    </w:p>
    <w:p>
      <w:pPr>
        <w:spacing w:after="80" w:line="276" w:lineRule="auto"/>
      </w:pPr>
      <w:r>
        <w:rPr>
          <w:rFonts w:ascii="Calibri" w:hAnsi="Calibri"/>
          <w:color w:val="1E293B"/>
          <w:sz w:val="22"/>
        </w:rPr>
        <w:t>Employee</w:t>
      </w:r>
    </w:p>
    <w:p>
      <w:pPr>
        <w:spacing w:after="80" w:line="276" w:lineRule="auto"/>
      </w:pPr>
      <w:r>
        <w:rPr>
          <w:rFonts w:ascii="Calibri" w:hAnsi="Calibri"/>
          <w:color w:val="1E293B"/>
          <w:sz w:val="22"/>
        </w:rPr>
        <w:t>sState Insurance</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0.03</w:t>
      </w:r>
    </w:p>
    <w:p>
      <w:pPr>
        <w:spacing w:after="80" w:line="276" w:lineRule="auto"/>
      </w:pPr>
      <w:r>
        <w:rPr>
          <w:rFonts w:ascii="Calibri" w:hAnsi="Calibri"/>
          <w:color w:val="1E293B"/>
          <w:sz w:val="22"/>
        </w:rPr>
        <w:t>0.03</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0.03</w:t>
      </w:r>
    </w:p>
    <w:p>
      <w:pPr>
        <w:spacing w:after="80" w:line="276" w:lineRule="auto"/>
      </w:pPr>
      <w:r>
        <w:rPr>
          <w:rFonts w:ascii="Calibri" w:hAnsi="Calibri"/>
          <w:color w:val="1E293B"/>
          <w:sz w:val="22"/>
        </w:rPr>
        <w:t>0.03</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0.09</w:t>
      </w:r>
    </w:p>
    <w:p>
      <w:pPr>
        <w:spacing w:after="80" w:line="276" w:lineRule="auto"/>
      </w:pPr>
      <w:r>
        <w:rPr>
          <w:rFonts w:ascii="Calibri" w:hAnsi="Calibri"/>
          <w:color w:val="1E293B"/>
          <w:sz w:val="22"/>
        </w:rPr>
        <w:t>0.09</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Provident Fund#</w:t>
      </w:r>
    </w:p>
    <w:p>
      <w:pPr>
        <w:spacing w:after="80" w:line="276" w:lineRule="auto"/>
      </w:pPr>
      <w:r>
        <w:rPr>
          <w:rFonts w:ascii="Calibri" w:hAnsi="Calibri"/>
          <w:color w:val="1E293B"/>
          <w:sz w:val="22"/>
        </w:rPr>
        <w:t>3.50</w:t>
      </w:r>
    </w:p>
    <w:p>
      <w:pPr>
        <w:spacing w:after="80" w:line="276" w:lineRule="auto"/>
      </w:pPr>
      <w:r>
        <w:rPr>
          <w:rFonts w:ascii="Calibri" w:hAnsi="Calibri"/>
          <w:color w:val="1E293B"/>
          <w:sz w:val="22"/>
        </w:rPr>
        <w:t>3.50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12.15</w:t>
      </w:r>
    </w:p>
    <w:p>
      <w:pPr>
        <w:spacing w:after="80" w:line="276" w:lineRule="auto"/>
      </w:pPr>
      <w:r>
        <w:rPr>
          <w:rFonts w:ascii="Calibri" w:hAnsi="Calibri"/>
          <w:color w:val="1E293B"/>
          <w:sz w:val="22"/>
        </w:rPr>
        <w:t>12.15</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11.15</w:t>
      </w:r>
    </w:p>
    <w:p>
      <w:pPr>
        <w:spacing w:after="80" w:line="276" w:lineRule="auto"/>
      </w:pPr>
      <w:r>
        <w:rPr>
          <w:rFonts w:ascii="Calibri" w:hAnsi="Calibri"/>
          <w:color w:val="1E293B"/>
          <w:sz w:val="22"/>
        </w:rPr>
        <w:t>11.15</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10.01</w:t>
      </w:r>
    </w:p>
    <w:p>
      <w:pPr>
        <w:spacing w:after="80" w:line="276" w:lineRule="auto"/>
      </w:pPr>
      <w:r>
        <w:rPr>
          <w:rFonts w:ascii="Calibri" w:hAnsi="Calibri"/>
          <w:color w:val="1E293B"/>
          <w:sz w:val="22"/>
        </w:rPr>
        <w:t>10.01</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Company Profession al Tax</w:t>
      </w:r>
    </w:p>
    <w:p>
      <w:pPr>
        <w:spacing w:after="80" w:line="276" w:lineRule="auto"/>
      </w:pPr>
      <w:r>
        <w:rPr>
          <w:rFonts w:ascii="Calibri" w:hAnsi="Calibri"/>
          <w:color w:val="1E293B"/>
          <w:sz w:val="22"/>
        </w:rPr>
        <w:t>0.11</w:t>
      </w:r>
    </w:p>
    <w:p>
      <w:pPr>
        <w:spacing w:after="80" w:line="276" w:lineRule="auto"/>
      </w:pPr>
      <w:r>
        <w:rPr>
          <w:rFonts w:ascii="Calibri" w:hAnsi="Calibri"/>
          <w:color w:val="1E293B"/>
          <w:sz w:val="22"/>
        </w:rPr>
        <w:t>0.11</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0.42</w:t>
      </w:r>
    </w:p>
    <w:p>
      <w:pPr>
        <w:spacing w:after="80" w:line="276" w:lineRule="auto"/>
      </w:pPr>
      <w:r>
        <w:rPr>
          <w:rFonts w:ascii="Calibri" w:hAnsi="Calibri"/>
          <w:color w:val="1E293B"/>
          <w:sz w:val="22"/>
        </w:rPr>
        <w:t>0.42</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0.40</w:t>
      </w:r>
    </w:p>
    <w:p>
      <w:pPr>
        <w:spacing w:after="80" w:line="276" w:lineRule="auto"/>
      </w:pPr>
      <w:r>
        <w:rPr>
          <w:rFonts w:ascii="Calibri" w:hAnsi="Calibri"/>
          <w:color w:val="1E293B"/>
          <w:sz w:val="22"/>
        </w:rPr>
        <w:t>0.40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0.39</w:t>
      </w:r>
    </w:p>
    <w:p>
      <w:pPr>
        <w:spacing w:after="80" w:line="276" w:lineRule="auto"/>
      </w:pPr>
      <w:r>
        <w:rPr>
          <w:rFonts w:ascii="Calibri" w:hAnsi="Calibri"/>
          <w:color w:val="1E293B"/>
          <w:sz w:val="22"/>
        </w:rPr>
        <w:t>0.39</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Tax Deducted at Source</w:t>
      </w:r>
    </w:p>
    <w:p>
      <w:pPr>
        <w:spacing w:after="80" w:line="276" w:lineRule="auto"/>
      </w:pPr>
      <w:r>
        <w:rPr>
          <w:rFonts w:ascii="Calibri" w:hAnsi="Calibri"/>
          <w:color w:val="1E293B"/>
          <w:sz w:val="22"/>
        </w:rPr>
        <w:t>u/s 192B</w:t>
      </w:r>
    </w:p>
    <w:p>
      <w:pPr>
        <w:spacing w:after="80" w:line="276" w:lineRule="auto"/>
      </w:pPr>
      <w:r>
        <w:rPr>
          <w:rFonts w:ascii="Calibri" w:hAnsi="Calibri"/>
          <w:color w:val="1E293B"/>
          <w:sz w:val="22"/>
        </w:rPr>
        <w:t>10.77</w:t>
      </w:r>
    </w:p>
    <w:p>
      <w:pPr>
        <w:spacing w:after="80" w:line="276" w:lineRule="auto"/>
      </w:pPr>
      <w:r>
        <w:rPr>
          <w:rFonts w:ascii="Calibri" w:hAnsi="Calibri"/>
          <w:color w:val="1E293B"/>
          <w:sz w:val="22"/>
        </w:rPr>
        <w:t>10.77</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11.50</w:t>
      </w:r>
    </w:p>
    <w:p>
      <w:pPr>
        <w:spacing w:after="80" w:line="276" w:lineRule="auto"/>
      </w:pPr>
      <w:r>
        <w:rPr>
          <w:rFonts w:ascii="Calibri" w:hAnsi="Calibri"/>
          <w:color w:val="1E293B"/>
          <w:sz w:val="22"/>
        </w:rPr>
        <w:t>11.50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41.65</w:t>
      </w:r>
    </w:p>
    <w:p>
      <w:pPr>
        <w:spacing w:after="80" w:line="276" w:lineRule="auto"/>
      </w:pPr>
      <w:r>
        <w:rPr>
          <w:rFonts w:ascii="Calibri" w:hAnsi="Calibri"/>
          <w:color w:val="1E293B"/>
          <w:sz w:val="22"/>
        </w:rPr>
        <w:t>41.65</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52.03</w:t>
      </w:r>
    </w:p>
    <w:p>
      <w:pPr>
        <w:spacing w:after="80" w:line="276" w:lineRule="auto"/>
      </w:pPr>
      <w:r>
        <w:rPr>
          <w:rFonts w:ascii="Calibri" w:hAnsi="Calibri"/>
          <w:color w:val="1E293B"/>
          <w:sz w:val="22"/>
        </w:rPr>
        <w:t>52.03</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Nature of Payment</w:t>
      </w:r>
    </w:p>
    <w:p>
      <w:pPr>
        <w:spacing w:after="80" w:line="276" w:lineRule="auto"/>
      </w:pPr>
      <w:r>
        <w:rPr>
          <w:rFonts w:ascii="Calibri" w:hAnsi="Calibri"/>
          <w:color w:val="1E293B"/>
          <w:sz w:val="22"/>
        </w:rPr>
        <w:t>As at and for the three-month period ended June 30, 2025</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Total Dues (in millio</w:t>
      </w:r>
    </w:p>
    <w:p>
      <w:pPr>
        <w:spacing w:after="80" w:line="276" w:lineRule="auto"/>
      </w:pPr>
      <w:r>
        <w:rPr>
          <w:rFonts w:ascii="Calibri" w:hAnsi="Calibri"/>
          <w:color w:val="1E293B"/>
          <w:sz w:val="22"/>
        </w:rPr>
        <w:t>ns)</w:t>
      </w:r>
    </w:p>
    <w:p>
      <w:pPr>
        <w:spacing w:after="80" w:line="276" w:lineRule="auto"/>
      </w:pPr>
      <w:r>
        <w:rPr>
          <w:rFonts w:ascii="Calibri" w:hAnsi="Calibri"/>
          <w:color w:val="1E293B"/>
          <w:sz w:val="22"/>
        </w:rPr>
        <w:t>Paid (in millio ns)</w:t>
      </w:r>
    </w:p>
    <w:p>
      <w:pPr>
        <w:spacing w:after="80" w:line="276" w:lineRule="auto"/>
      </w:pPr>
      <w:r>
        <w:rPr>
          <w:rFonts w:ascii="Calibri" w:hAnsi="Calibri"/>
          <w:color w:val="1E293B"/>
          <w:sz w:val="22"/>
        </w:rPr>
        <w:t>Unpai d (in millio ns)</w:t>
      </w:r>
    </w:p>
    <w:p>
      <w:pPr>
        <w:spacing w:after="80" w:line="276" w:lineRule="auto"/>
      </w:pPr>
      <w:r>
        <w:rPr>
          <w:rFonts w:ascii="Calibri" w:hAnsi="Calibri"/>
          <w:color w:val="1E293B"/>
          <w:sz w:val="22"/>
        </w:rPr>
        <w:t>Total Dues (in millions</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Paid (in million s)</w:t>
      </w:r>
    </w:p>
    <w:p>
      <w:pPr>
        <w:spacing w:after="80" w:line="276" w:lineRule="auto"/>
      </w:pPr>
      <w:r>
        <w:rPr>
          <w:rFonts w:ascii="Calibri" w:hAnsi="Calibri"/>
          <w:color w:val="1E293B"/>
          <w:sz w:val="22"/>
        </w:rPr>
        <w:t>Unpai d (in millio ns)</w:t>
      </w:r>
    </w:p>
    <w:p>
      <w:pPr>
        <w:spacing w:after="80" w:line="276" w:lineRule="auto"/>
      </w:pPr>
      <w:r>
        <w:rPr>
          <w:rFonts w:ascii="Calibri" w:hAnsi="Calibri"/>
          <w:color w:val="1E293B"/>
          <w:sz w:val="22"/>
        </w:rPr>
        <w:t>Total Dues (in millio</w:t>
      </w:r>
    </w:p>
    <w:p>
      <w:pPr>
        <w:spacing w:after="80" w:line="276" w:lineRule="auto"/>
      </w:pPr>
      <w:r>
        <w:rPr>
          <w:rFonts w:ascii="Calibri" w:hAnsi="Calibri"/>
          <w:color w:val="1E293B"/>
          <w:sz w:val="22"/>
        </w:rPr>
        <w:t>ns)</w:t>
      </w:r>
    </w:p>
    <w:p>
      <w:pPr>
        <w:spacing w:after="80" w:line="276" w:lineRule="auto"/>
      </w:pPr>
      <w:r>
        <w:rPr>
          <w:rFonts w:ascii="Calibri" w:hAnsi="Calibri"/>
          <w:color w:val="1E293B"/>
          <w:sz w:val="22"/>
        </w:rPr>
        <w:t>Paid (in millio ns)</w:t>
      </w:r>
    </w:p>
    <w:p>
      <w:pPr>
        <w:spacing w:after="80" w:line="276" w:lineRule="auto"/>
      </w:pPr>
      <w:r>
        <w:rPr>
          <w:rFonts w:ascii="Calibri" w:hAnsi="Calibri"/>
          <w:color w:val="1E293B"/>
          <w:sz w:val="22"/>
        </w:rPr>
        <w:t>Unpai d (in millio ns)</w:t>
      </w:r>
    </w:p>
    <w:p>
      <w:pPr>
        <w:spacing w:after="80" w:line="276" w:lineRule="auto"/>
      </w:pPr>
      <w:r>
        <w:rPr>
          <w:rFonts w:ascii="Calibri" w:hAnsi="Calibri"/>
          <w:color w:val="1E293B"/>
          <w:sz w:val="22"/>
        </w:rPr>
        <w:t>Total Dues (in millio</w:t>
      </w:r>
    </w:p>
    <w:p>
      <w:pPr>
        <w:spacing w:after="80" w:line="276" w:lineRule="auto"/>
      </w:pPr>
      <w:r>
        <w:rPr>
          <w:rFonts w:ascii="Calibri" w:hAnsi="Calibri"/>
          <w:color w:val="1E293B"/>
          <w:sz w:val="22"/>
        </w:rPr>
        <w:t>ns)</w:t>
      </w:r>
    </w:p>
    <w:p>
      <w:pPr>
        <w:spacing w:after="80" w:line="276" w:lineRule="auto"/>
      </w:pPr>
      <w:r>
        <w:rPr>
          <w:rFonts w:ascii="Calibri" w:hAnsi="Calibri"/>
          <w:color w:val="1E293B"/>
          <w:sz w:val="22"/>
        </w:rPr>
        <w:t>Paid (in millio ns)</w:t>
      </w:r>
    </w:p>
    <w:p>
      <w:pPr>
        <w:spacing w:after="80" w:line="276" w:lineRule="auto"/>
      </w:pPr>
      <w:r>
        <w:rPr>
          <w:rFonts w:ascii="Calibri" w:hAnsi="Calibri"/>
          <w:color w:val="1E293B"/>
          <w:sz w:val="22"/>
        </w:rPr>
        <w:t>Unpai d (in millio ns)</w:t>
      </w:r>
    </w:p>
    <w:p>
      <w:pPr>
        <w:spacing w:after="80" w:line="276" w:lineRule="auto"/>
      </w:pPr>
      <w:r>
        <w:rPr>
          <w:rFonts w:ascii="Calibri" w:hAnsi="Calibri"/>
          <w:color w:val="1E293B"/>
          <w:sz w:val="22"/>
        </w:rPr>
        <w:t>Labour Welfare</w:t>
      </w:r>
    </w:p>
    <w:p>
      <w:pPr>
        <w:spacing w:after="80" w:line="276" w:lineRule="auto"/>
      </w:pPr>
      <w:r>
        <w:rPr>
          <w:rFonts w:ascii="Calibri" w:hAnsi="Calibri"/>
          <w:color w:val="1E293B"/>
          <w:sz w:val="22"/>
        </w:rPr>
        <w:t>Fund</w:t>
      </w:r>
    </w:p>
    <w:p>
      <w:pPr>
        <w:spacing w:after="80" w:line="276" w:lineRule="auto"/>
      </w:pPr>
      <w:r>
        <w:rPr>
          <w:rFonts w:ascii="Calibri" w:hAnsi="Calibri"/>
          <w:color w:val="1E293B"/>
          <w:sz w:val="22"/>
        </w:rPr>
        <w:t>0.01</w:t>
      </w:r>
    </w:p>
    <w:p>
      <w:pPr>
        <w:spacing w:after="80" w:line="276" w:lineRule="auto"/>
      </w:pPr>
      <w:r>
        <w:rPr>
          <w:rFonts w:ascii="Calibri" w:hAnsi="Calibri"/>
          <w:color w:val="1E293B"/>
          <w:sz w:val="22"/>
        </w:rPr>
        <w:t>0.01</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0.02</w:t>
      </w:r>
    </w:p>
    <w:p>
      <w:pPr>
        <w:spacing w:after="80" w:line="276" w:lineRule="auto"/>
      </w:pPr>
      <w:r>
        <w:rPr>
          <w:rFonts w:ascii="Calibri" w:hAnsi="Calibri"/>
          <w:color w:val="1E293B"/>
          <w:sz w:val="22"/>
        </w:rPr>
        <w:t>0.02</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0.01</w:t>
      </w:r>
    </w:p>
    <w:p>
      <w:pPr>
        <w:spacing w:after="80" w:line="276" w:lineRule="auto"/>
      </w:pPr>
      <w:r>
        <w:rPr>
          <w:rFonts w:ascii="Calibri" w:hAnsi="Calibri"/>
          <w:color w:val="1E293B"/>
          <w:sz w:val="22"/>
        </w:rPr>
        <w:t>0.01</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0.01</w:t>
      </w:r>
    </w:p>
    <w:p>
      <w:pPr>
        <w:spacing w:after="80" w:line="276" w:lineRule="auto"/>
      </w:pPr>
      <w:r>
        <w:rPr>
          <w:rFonts w:ascii="Calibri" w:hAnsi="Calibri"/>
          <w:color w:val="1E293B"/>
          <w:sz w:val="22"/>
        </w:rPr>
        <w:t>0.01</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Goods and Services Tax&amp;</w:t>
      </w:r>
    </w:p>
    <w:p>
      <w:pPr>
        <w:spacing w:after="80" w:line="276" w:lineRule="auto"/>
      </w:pPr>
      <w:r>
        <w:rPr>
          <w:rFonts w:ascii="Calibri" w:hAnsi="Calibri"/>
          <w:color w:val="1E293B"/>
          <w:sz w:val="22"/>
        </w:rPr>
        <w:t>30.56</w:t>
      </w:r>
    </w:p>
    <w:p>
      <w:pPr>
        <w:spacing w:after="80" w:line="276" w:lineRule="auto"/>
      </w:pPr>
      <w:r>
        <w:rPr>
          <w:rFonts w:ascii="Calibri" w:hAnsi="Calibri"/>
          <w:color w:val="1E293B"/>
          <w:sz w:val="22"/>
        </w:rPr>
        <w:t>30.65</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98.95</w:t>
      </w:r>
    </w:p>
    <w:p>
      <w:pPr>
        <w:spacing w:after="80" w:line="276" w:lineRule="auto"/>
      </w:pPr>
      <w:r>
        <w:rPr>
          <w:rFonts w:ascii="Calibri" w:hAnsi="Calibri"/>
          <w:color w:val="1E293B"/>
          <w:sz w:val="22"/>
        </w:rPr>
        <w:t>98.95</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39.92</w:t>
      </w:r>
    </w:p>
    <w:p>
      <w:pPr>
        <w:spacing w:after="80" w:line="276" w:lineRule="auto"/>
      </w:pPr>
      <w:r>
        <w:rPr>
          <w:rFonts w:ascii="Calibri" w:hAnsi="Calibri"/>
          <w:color w:val="1E293B"/>
          <w:sz w:val="22"/>
        </w:rPr>
        <w:t>39.92</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17.61</w:t>
      </w:r>
    </w:p>
    <w:p>
      <w:pPr>
        <w:spacing w:after="80" w:line="276" w:lineRule="auto"/>
      </w:pPr>
      <w:r>
        <w:rPr>
          <w:rFonts w:ascii="Calibri" w:hAnsi="Calibri"/>
          <w:color w:val="1E293B"/>
          <w:sz w:val="22"/>
        </w:rPr>
        <w:t>17.61</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Total</w:t>
      </w:r>
    </w:p>
    <w:p>
      <w:pPr>
        <w:spacing w:after="80" w:line="276" w:lineRule="auto"/>
      </w:pPr>
      <w:r>
        <w:rPr>
          <w:rFonts w:ascii="Calibri" w:hAnsi="Calibri"/>
          <w:color w:val="1E293B"/>
          <w:sz w:val="22"/>
        </w:rPr>
        <w:t>44.95</w:t>
      </w:r>
    </w:p>
    <w:p>
      <w:pPr>
        <w:spacing w:after="80" w:line="276" w:lineRule="auto"/>
      </w:pPr>
      <w:r>
        <w:rPr>
          <w:rFonts w:ascii="Calibri" w:hAnsi="Calibri"/>
          <w:color w:val="1E293B"/>
          <w:sz w:val="22"/>
        </w:rPr>
        <w:t>44.95</w:t>
      </w:r>
    </w:p>
    <w:p>
      <w:pPr>
        <w:spacing w:after="80" w:line="276" w:lineRule="auto"/>
      </w:pPr>
      <w:r>
        <w:rPr>
          <w:rFonts w:ascii="Calibri" w:hAnsi="Calibri"/>
          <w:color w:val="1E293B"/>
          <w:sz w:val="22"/>
        </w:rPr>
        <w:t>123.07</w:t>
      </w:r>
    </w:p>
    <w:p>
      <w:pPr>
        <w:spacing w:after="80" w:line="276" w:lineRule="auto"/>
      </w:pPr>
      <w:r>
        <w:rPr>
          <w:rFonts w:ascii="Calibri" w:hAnsi="Calibri"/>
          <w:color w:val="1E293B"/>
          <w:sz w:val="22"/>
        </w:rPr>
        <w:t>123.07</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93.17</w:t>
      </w:r>
    </w:p>
    <w:p>
      <w:pPr>
        <w:spacing w:after="80" w:line="276" w:lineRule="auto"/>
      </w:pPr>
      <w:r>
        <w:rPr>
          <w:rFonts w:ascii="Calibri" w:hAnsi="Calibri"/>
          <w:color w:val="1E293B"/>
          <w:sz w:val="22"/>
        </w:rPr>
        <w:t>93.17</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80.14</w:t>
      </w:r>
    </w:p>
    <w:p>
      <w:pPr>
        <w:spacing w:after="80" w:line="276" w:lineRule="auto"/>
      </w:pPr>
      <w:r>
        <w:rPr>
          <w:rFonts w:ascii="Calibri" w:hAnsi="Calibri"/>
          <w:color w:val="1E293B"/>
          <w:sz w:val="22"/>
        </w:rPr>
        <w:t>80.14</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No   of</w:t>
      </w:r>
    </w:p>
    <w:p>
      <w:pPr>
        <w:spacing w:after="80" w:line="276" w:lineRule="auto"/>
      </w:pPr>
      <w:r>
        <w:rPr>
          <w:rFonts w:ascii="Calibri" w:hAnsi="Calibri"/>
          <w:color w:val="1E293B"/>
          <w:sz w:val="22"/>
        </w:rPr>
        <w:t>Employee s as at period/yea r end*</w:t>
      </w:r>
    </w:p>
    <w:p>
      <w:pPr>
        <w:spacing w:after="80" w:line="276" w:lineRule="auto"/>
      </w:pPr>
      <w:r>
        <w:rPr>
          <w:rFonts w:ascii="Calibri" w:hAnsi="Calibri"/>
          <w:color w:val="1E293B"/>
          <w:sz w:val="22"/>
        </w:rPr>
        <w:t>189</w:t>
      </w:r>
    </w:p>
    <w:p>
      <w:pPr>
        <w:spacing w:after="80" w:line="276" w:lineRule="auto"/>
      </w:pPr>
      <w:r>
        <w:rPr>
          <w:rFonts w:ascii="Calibri" w:hAnsi="Calibri"/>
          <w:color w:val="1E293B"/>
          <w:sz w:val="22"/>
        </w:rPr>
        <w:t>178</w:t>
      </w:r>
    </w:p>
    <w:p>
      <w:pPr>
        <w:spacing w:after="80" w:line="276" w:lineRule="auto"/>
      </w:pPr>
      <w:r>
        <w:rPr>
          <w:rFonts w:ascii="Calibri" w:hAnsi="Calibri"/>
          <w:color w:val="1E293B"/>
          <w:sz w:val="22"/>
        </w:rPr>
        <w:t>168</w:t>
      </w:r>
    </w:p>
    <w:p>
      <w:pPr>
        <w:spacing w:after="80" w:line="276" w:lineRule="auto"/>
      </w:pPr>
      <w:r>
        <w:rPr>
          <w:rFonts w:ascii="Calibri" w:hAnsi="Calibri"/>
          <w:color w:val="1E293B"/>
          <w:sz w:val="22"/>
        </w:rPr>
        <w:t>161</w:t>
      </w:r>
    </w:p>
    <w:p>
      <w:pPr>
        <w:spacing w:after="80" w:line="276" w:lineRule="auto"/>
      </w:pPr>
      <w:r>
        <w:rPr>
          <w:rFonts w:ascii="Calibri" w:hAnsi="Calibri"/>
          <w:color w:val="1E293B"/>
          <w:sz w:val="22"/>
        </w:rPr>
        <w:t>Note:</w:t>
      </w:r>
    </w:p>
    <w:p>
      <w:pPr>
        <w:spacing w:after="80" w:line="276" w:lineRule="auto"/>
      </w:pPr>
      <w:r>
        <w:rPr>
          <w:rFonts w:ascii="Calibri" w:hAnsi="Calibri"/>
          <w:color w:val="1E293B"/>
          <w:sz w:val="22"/>
        </w:rPr>
        <w:t>The number of employees mentioned in the above table differ for every statutory due basis eligibility under respective acts.</w:t>
      </w:r>
    </w:p>
    <w:p>
      <w:pPr>
        <w:spacing w:after="80" w:line="276" w:lineRule="auto"/>
      </w:pPr>
      <w:r>
        <w:rPr>
          <w:rFonts w:ascii="Calibri" w:hAnsi="Calibri"/>
          <w:color w:val="1E293B"/>
          <w:sz w:val="22"/>
        </w:rPr>
        <w:t>*excludes contractual employees.</w:t>
      </w:r>
    </w:p>
    <w:p>
      <w:pPr>
        <w:spacing w:after="80" w:line="276" w:lineRule="auto"/>
      </w:pPr>
      <w:r>
        <w:rPr>
          <w:rFonts w:ascii="Calibri" w:hAnsi="Calibri"/>
          <w:color w:val="1E293B"/>
          <w:sz w:val="22"/>
        </w:rPr>
        <w:t>&amp; Goods and Services Tax includes only payment of taxes in cash.</w:t>
      </w:r>
    </w:p>
    <w:p>
      <w:pPr>
        <w:spacing w:after="80" w:line="276" w:lineRule="auto"/>
      </w:pPr>
      <w:r>
        <w:rPr>
          <w:rFonts w:ascii="Calibri" w:hAnsi="Calibri"/>
          <w:color w:val="1E293B"/>
          <w:sz w:val="22"/>
        </w:rPr>
        <w:t># Employer and Employee Contribution.</w:t>
      </w:r>
    </w:p>
    <w:p>
      <w:pPr>
        <w:spacing w:after="80" w:line="276" w:lineRule="auto"/>
      </w:pPr>
      <w:r>
        <w:rPr>
          <w:rFonts w:ascii="Calibri" w:hAnsi="Calibri"/>
          <w:color w:val="1E293B"/>
          <w:sz w:val="22"/>
        </w:rPr>
        <w:t>The above-mentioned instances of delay in the payment of statutory dues were primarily due to operational reasons that Bluebird Capital LLP. For instance, the delay in the payment of dues in respect of provident fund and employees state insurance were on account of payment of salaries in arrears and the delay in relation to payment of tax deducted at source was on account Acme Private Limited has adopted various measures, including assigning the responsibility of maintaining checks and balances across relevant processes, with the specific objective of preventing such statutory delays. Additionally, we aim to conduct awareness sessions for 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 authorities against us for the aforementioned delays, we cannot assure you that we will not be subject to such penalties and fines in the future which may have a material adverse impact on our financial condition and cash flows.</w:t>
      </w:r>
    </w:p>
    <w:p>
      <w:pPr>
        <w:spacing w:after="80" w:line="276" w:lineRule="auto"/>
      </w:pPr>
      <w:r>
        <w:rPr>
          <w:rFonts w:ascii="Calibri" w:hAnsi="Calibri"/>
          <w:color w:val="1E293B"/>
          <w:sz w:val="22"/>
        </w:rPr>
        <w:t>Our operations involve activities and materials which are hazardous in nature and could result in a suspension of operations, injury to our personnel, emission of pollutants and/or the imposition of civil or criminal liabilities which could adversely affect our business, results of operations, cash flow and financial condition.</w:t>
      </w:r>
    </w:p>
    <w:p>
      <w:pPr>
        <w:spacing w:after="80" w:line="276" w:lineRule="auto"/>
      </w:pPr>
      <w:r>
        <w:rPr>
          <w:rFonts w:ascii="Calibri" w:hAnsi="Calibri"/>
          <w:color w:val="1E293B"/>
          <w:sz w:val="22"/>
        </w:rPr>
        <w:t>Certain operations at our manufacturing facilities can cause accidents during the manufacturing process resulting in serious injuries or death of employees or other persons, if improperly handled, and cause damage to our properties or equipment and the properties of others or to the environment. Despite ensuring that employee Peter Parker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spacing w:after="80" w:line="276" w:lineRule="auto"/>
      </w:pPr>
      <w:r>
        <w:rPr>
          <w:rFonts w:ascii="Calibri" w:hAnsi="Calibri"/>
          <w:color w:val="1E293B"/>
          <w:sz w:val="22"/>
        </w:rPr>
        <w:t>The occurrence of any of these hazards could result in a suspension of operations and/or the imposition of civil or criminal liabilities. We may also face claims and litigation, filed on behalf of persons alleging injury predominantly 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spacing w:after="80" w:line="276" w:lineRule="auto"/>
      </w:pPr>
      <w:r>
        <w:rPr>
          <w:rFonts w:ascii="Calibri" w:hAnsi="Calibri"/>
          <w:color w:val="1E293B"/>
          <w:sz w:val="22"/>
        </w:rPr>
        <w:t>We have substantial requirements for power and fuel for our manufacturing facilities and any disruption in the supply or increase in tariff may adversely affect our business, results of operations, and financial condition.</w:t>
      </w:r>
    </w:p>
    <w:p>
      <w:pPr>
        <w:spacing w:after="80" w:line="276" w:lineRule="auto"/>
      </w:pPr>
      <w:r>
        <w:rPr>
          <w:rFonts w:ascii="Calibri" w:hAnsi="Calibri"/>
          <w:color w:val="1E293B"/>
          <w:sz w:val="22"/>
        </w:rPr>
        <w:t>We have power and fuel requirements for our manufacturing facilities. In a situation where our costs towards power and fuel were to increase or if there were any disruption in their supply to our manufacturing facilities, it could have an adverse effect on our business, results of operations, and financial condition. Set forth below are details in relation to our power and fuel costs for the period/ Fiscals indicated:</w:t>
      </w:r>
    </w:p>
    <w:p>
      <w:pPr>
        <w:spacing w:after="80" w:line="276" w:lineRule="auto"/>
      </w:pPr>
      <w:r>
        <w:rPr>
          <w:rFonts w:ascii="Calibri" w:hAnsi="Calibri"/>
          <w:color w:val="1E293B"/>
          <w:sz w:val="22"/>
        </w:rPr>
        <w:t>Particulars</w:t>
      </w:r>
    </w:p>
    <w:p>
      <w:pPr>
        <w:spacing w:after="80" w:line="276" w:lineRule="auto"/>
      </w:pPr>
      <w:r>
        <w:rPr>
          <w:rFonts w:ascii="Calibri" w:hAnsi="Calibri"/>
          <w:color w:val="1E293B"/>
          <w:sz w:val="22"/>
        </w:rPr>
        <w:t>Three-month period ended June 30, 2025</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Power and fuel cost (₹ in million)</w:t>
      </w:r>
    </w:p>
    <w:p>
      <w:pPr>
        <w:spacing w:after="80" w:line="276" w:lineRule="auto"/>
      </w:pPr>
      <w:r>
        <w:rPr>
          <w:rFonts w:ascii="Calibri" w:hAnsi="Calibri"/>
          <w:color w:val="1E293B"/>
          <w:sz w:val="22"/>
        </w:rPr>
        <w:t>56.37</w:t>
      </w:r>
    </w:p>
    <w:p>
      <w:pPr>
        <w:spacing w:after="80" w:line="276" w:lineRule="auto"/>
      </w:pPr>
      <w:r>
        <w:rPr>
          <w:rFonts w:ascii="Calibri" w:hAnsi="Calibri"/>
          <w:color w:val="1E293B"/>
          <w:sz w:val="22"/>
        </w:rPr>
        <w:t>221.78</w:t>
      </w:r>
    </w:p>
    <w:p>
      <w:pPr>
        <w:spacing w:after="80" w:line="276" w:lineRule="auto"/>
      </w:pPr>
      <w:r>
        <w:rPr>
          <w:rFonts w:ascii="Calibri" w:hAnsi="Calibri"/>
          <w:color w:val="1E293B"/>
          <w:sz w:val="22"/>
        </w:rPr>
        <w:t>197.53</w:t>
      </w:r>
    </w:p>
    <w:p>
      <w:pPr>
        <w:spacing w:after="80" w:line="276" w:lineRule="auto"/>
      </w:pPr>
      <w:r>
        <w:rPr>
          <w:rFonts w:ascii="Calibri" w:hAnsi="Calibri"/>
          <w:color w:val="1E293B"/>
          <w:sz w:val="22"/>
        </w:rPr>
        <w:t>156.38</w:t>
      </w:r>
    </w:p>
    <w:p>
      <w:pPr>
        <w:spacing w:after="80" w:line="276" w:lineRule="auto"/>
      </w:pPr>
      <w:r>
        <w:rPr>
          <w:rFonts w:ascii="Calibri" w:hAnsi="Calibri"/>
          <w:color w:val="1E293B"/>
          <w:sz w:val="22"/>
        </w:rPr>
        <w:t>Percentageoftotal expenses (%)</w:t>
      </w:r>
    </w:p>
    <w:p>
      <w:pPr>
        <w:spacing w:after="80" w:line="276" w:lineRule="auto"/>
      </w:pPr>
      <w:r>
        <w:rPr>
          <w:rFonts w:ascii="Calibri" w:hAnsi="Calibri"/>
          <w:color w:val="1E293B"/>
          <w:sz w:val="22"/>
        </w:rPr>
        <w:t>1.07%</w:t>
      </w:r>
    </w:p>
    <w:p>
      <w:pPr>
        <w:spacing w:after="80" w:line="276" w:lineRule="auto"/>
      </w:pPr>
      <w:r>
        <w:rPr>
          <w:rFonts w:ascii="Calibri" w:hAnsi="Calibri"/>
          <w:color w:val="1E293B"/>
          <w:sz w:val="22"/>
        </w:rPr>
        <w:t>1.20%</w:t>
      </w:r>
    </w:p>
    <w:p>
      <w:pPr>
        <w:spacing w:after="80" w:line="276" w:lineRule="auto"/>
      </w:pPr>
      <w:r>
        <w:rPr>
          <w:rFonts w:ascii="Calibri" w:hAnsi="Calibri"/>
          <w:color w:val="1E293B"/>
          <w:sz w:val="22"/>
        </w:rPr>
        <w:t>1.47%</w:t>
      </w:r>
    </w:p>
    <w:p>
      <w:pPr>
        <w:spacing w:after="80" w:line="276" w:lineRule="auto"/>
      </w:pPr>
      <w:r>
        <w:rPr>
          <w:rFonts w:ascii="Calibri" w:hAnsi="Calibri"/>
          <w:color w:val="1E293B"/>
          <w:sz w:val="22"/>
        </w:rPr>
        <w:t>1.53%</w:t>
      </w:r>
    </w:p>
    <w:p>
      <w:pPr>
        <w:spacing w:after="80" w:line="276" w:lineRule="auto"/>
      </w:pPr>
      <w:r>
        <w:rPr>
          <w:rFonts w:ascii="Calibri" w:hAnsi="Calibri"/>
          <w:color w:val="1E293B"/>
          <w:sz w:val="22"/>
        </w:rPr>
        <w:t>While we plan to install a 3.2 MW rooftop solar power plant at our Supa Facility from a portion of the Net Proceeds,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spacing w:after="80" w:line="276" w:lineRule="auto"/>
      </w:pPr>
      <w:r>
        <w:rPr>
          <w:rFonts w:ascii="Calibri" w:hAnsi="Calibri"/>
          <w:color w:val="1E293B"/>
          <w:sz w:val="22"/>
        </w:rPr>
        <w:t>We source most of our electricity requirements for our manufacturing facilities from local power suppliers or state electricity boards. If our electricity suppliers increase the price for electricity, our cost of production and profitability would be materially adversely affected. If for any reason electricity is not available for a prolonged period of time, we may need to shut down our plants until an adequate supply of electricity is restored. Interruptions of electricity 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spacing w:after="80" w:line="276" w:lineRule="auto"/>
      </w:pPr>
      <w:r>
        <w:rPr>
          <w:rFonts w:ascii="Calibri" w:hAnsi="Calibri"/>
          <w:color w:val="1E293B"/>
          <w:sz w:val="22"/>
        </w:rPr>
        <w:t>We are subject to counterparty credit risk and any delay in receiving payments or non-receipt of payments from our customers could have an adverse effect on our business, results of operations, financial condition and cash flows.</w:t>
      </w:r>
    </w:p>
    <w:p>
      <w:pPr>
        <w:spacing w:after="80" w:line="276" w:lineRule="auto"/>
      </w:pPr>
      <w:r>
        <w:rPr>
          <w:rFonts w:ascii="Calibri" w:hAnsi="Calibri"/>
          <w:color w:val="1E293B"/>
          <w:sz w:val="22"/>
        </w:rPr>
        <w:t>Our operations involve extending credit to our customers in respect of sale of our products and consequently, we face the risk of uncertainty regarding the receipt of such outstanding amounts. The table below shows our bad debts written-off and provision for bad debts for the three-month period ended June 30, 2025, and Fiscals 2025, 2024 and 2023, and such amounts as a percentage of our revenue from operations:</w:t>
      </w:r>
    </w:p>
    <w:p>
      <w:pPr>
        <w:spacing w:after="80" w:line="276" w:lineRule="auto"/>
      </w:pPr>
      <w:r>
        <w:rPr>
          <w:rFonts w:ascii="Calibri" w:hAnsi="Calibri"/>
          <w:color w:val="1E293B"/>
          <w:sz w:val="22"/>
        </w:rPr>
        <w:t>(₹ in million, except percentages)</w:t>
      </w:r>
    </w:p>
    <w:p>
      <w:pPr>
        <w:spacing w:after="80" w:line="276" w:lineRule="auto"/>
      </w:pPr>
      <w:r>
        <w:rPr>
          <w:rFonts w:ascii="Calibri" w:hAnsi="Calibri"/>
          <w:color w:val="1E293B"/>
          <w:sz w:val="22"/>
        </w:rPr>
        <w:t>Particulars</w:t>
      </w:r>
    </w:p>
    <w:p>
      <w:pPr>
        <w:spacing w:after="80" w:line="276" w:lineRule="auto"/>
      </w:pPr>
      <w:r>
        <w:rPr>
          <w:rFonts w:ascii="Calibri" w:hAnsi="Calibri"/>
          <w:color w:val="1E293B"/>
          <w:sz w:val="22"/>
        </w:rPr>
        <w:t>Three-month period ended June 30, 2025</w:t>
      </w:r>
    </w:p>
    <w:p>
      <w:pPr>
        <w:spacing w:after="80" w:line="276" w:lineRule="auto"/>
      </w:pPr>
      <w:r>
        <w:rPr>
          <w:rFonts w:ascii="Calibri" w:hAnsi="Calibri"/>
          <w:color w:val="1E293B"/>
          <w:sz w:val="22"/>
        </w:rPr>
        <w:t>Financial year ended</w:t>
      </w:r>
    </w:p>
    <w:p>
      <w:pPr>
        <w:spacing w:after="80" w:line="276" w:lineRule="auto"/>
      </w:pPr>
      <w:r>
        <w:rPr>
          <w:rFonts w:ascii="Calibri" w:hAnsi="Calibri"/>
          <w:color w:val="1E293B"/>
          <w:sz w:val="22"/>
        </w:rPr>
        <w:t>March 31, 2025</w:t>
      </w:r>
    </w:p>
    <w:p>
      <w:pPr>
        <w:spacing w:after="80" w:line="276" w:lineRule="auto"/>
      </w:pPr>
      <w:r>
        <w:rPr>
          <w:rFonts w:ascii="Calibri" w:hAnsi="Calibri"/>
          <w:color w:val="1E293B"/>
          <w:sz w:val="22"/>
        </w:rPr>
        <w:t>March 31, 2024</w:t>
      </w:r>
    </w:p>
    <w:p>
      <w:pPr>
        <w:spacing w:after="80" w:line="276" w:lineRule="auto"/>
      </w:pPr>
      <w:r>
        <w:rPr>
          <w:rFonts w:ascii="Calibri" w:hAnsi="Calibri"/>
          <w:color w:val="1E293B"/>
          <w:sz w:val="22"/>
        </w:rPr>
        <w:t>March 31, 2023</w:t>
      </w:r>
    </w:p>
    <w:p>
      <w:pPr>
        <w:spacing w:after="80" w:line="276" w:lineRule="auto"/>
      </w:pPr>
      <w:r>
        <w:rPr>
          <w:rFonts w:ascii="Calibri" w:hAnsi="Calibri"/>
          <w:color w:val="1E293B"/>
          <w:sz w:val="22"/>
        </w:rPr>
        <w:t>Bad debts written off (A)</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0.24</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Bad debts written off as a percentage of revenue from operations (B = A/E) (%)</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Provision for bad debt (C)</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0.65</w:t>
      </w:r>
    </w:p>
    <w:p>
      <w:pPr>
        <w:spacing w:after="80" w:line="276" w:lineRule="auto"/>
      </w:pPr>
      <w:r>
        <w:rPr>
          <w:rFonts w:ascii="Calibri" w:hAnsi="Calibri"/>
          <w:color w:val="1E293B"/>
          <w:sz w:val="22"/>
        </w:rPr>
        <w:t>13.59</w:t>
      </w:r>
    </w:p>
    <w:p>
      <w:pPr>
        <w:spacing w:after="80" w:line="276" w:lineRule="auto"/>
      </w:pPr>
      <w:r>
        <w:rPr>
          <w:rFonts w:ascii="Calibri" w:hAnsi="Calibri"/>
          <w:color w:val="1E293B"/>
          <w:sz w:val="22"/>
        </w:rPr>
        <w:t>17.81</w:t>
      </w:r>
    </w:p>
    <w:p>
      <w:pPr>
        <w:spacing w:after="80" w:line="276" w:lineRule="auto"/>
      </w:pPr>
      <w:r>
        <w:rPr>
          <w:rFonts w:ascii="Calibri" w:hAnsi="Calibri"/>
          <w:color w:val="1E293B"/>
          <w:sz w:val="22"/>
        </w:rPr>
        <w:t>Provision for bad debt as a percentage of revenue from operations (D = C/E) (%)</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0.10%</w:t>
      </w:r>
    </w:p>
    <w:p>
      <w:pPr>
        <w:spacing w:after="80" w:line="276" w:lineRule="auto"/>
      </w:pPr>
      <w:r>
        <w:rPr>
          <w:rFonts w:ascii="Calibri" w:hAnsi="Calibri"/>
          <w:color w:val="1E293B"/>
          <w:sz w:val="22"/>
        </w:rPr>
        <w:t>0.17%</w:t>
      </w:r>
    </w:p>
    <w:p>
      <w:pPr>
        <w:spacing w:after="80" w:line="276" w:lineRule="auto"/>
      </w:pPr>
      <w:r>
        <w:rPr>
          <w:rFonts w:ascii="Calibri" w:hAnsi="Calibri"/>
          <w:color w:val="1E293B"/>
          <w:sz w:val="22"/>
        </w:rPr>
        <w:t>Revenue from operations (E)</w:t>
      </w:r>
    </w:p>
    <w:p>
      <w:pPr>
        <w:spacing w:after="80" w:line="276" w:lineRule="auto"/>
      </w:pPr>
      <w:r>
        <w:rPr>
          <w:rFonts w:ascii="Calibri" w:hAnsi="Calibri"/>
          <w:color w:val="1E293B"/>
          <w:sz w:val="22"/>
        </w:rPr>
        <w:t>5,587.12</w:t>
      </w:r>
    </w:p>
    <w:p>
      <w:pPr>
        <w:spacing w:after="80" w:line="276" w:lineRule="auto"/>
      </w:pPr>
      <w:r>
        <w:rPr>
          <w:rFonts w:ascii="Calibri" w:hAnsi="Calibri"/>
          <w:color w:val="1E293B"/>
          <w:sz w:val="22"/>
        </w:rPr>
        <w:t>19,282.93</w:t>
      </w:r>
    </w:p>
    <w:p>
      <w:pPr>
        <w:spacing w:after="80" w:line="276" w:lineRule="auto"/>
      </w:pPr>
      <w:r>
        <w:rPr>
          <w:rFonts w:ascii="Calibri" w:hAnsi="Calibri"/>
          <w:color w:val="1E293B"/>
          <w:sz w:val="22"/>
        </w:rPr>
        <w:t>13,828.15</w:t>
      </w:r>
    </w:p>
    <w:p>
      <w:pPr>
        <w:spacing w:after="80" w:line="276" w:lineRule="auto"/>
      </w:pPr>
      <w:r>
        <w:rPr>
          <w:rFonts w:ascii="Calibri" w:hAnsi="Calibri"/>
          <w:color w:val="1E293B"/>
          <w:sz w:val="22"/>
        </w:rPr>
        <w:t>10,494.60</w:t>
      </w:r>
    </w:p>
    <w:p>
      <w:pPr>
        <w:spacing w:after="80" w:line="276" w:lineRule="auto"/>
      </w:pPr>
      <w:r>
        <w:rPr>
          <w:rFonts w:ascii="Calibri" w:hAnsi="Calibri"/>
          <w:color w:val="1E293B"/>
          <w:sz w:val="22"/>
        </w:rPr>
        <w:t>Any delay in receiving payment or default on their payment obligations to us, could lead to an increase in our receivables. Any significant delay in receiving payment or non-receipt of payments from our customers may adversely affect our business, results of operations, financial condition and cash flows. While we have not experienced any instances of significant delays in receiving payments which had an impact on our business, results of operations, financial condition and cash flows in the three-month period ended June 30, 2025 or Fiscals 2025, 2024 and 2023, we cannot assure you that such instance will not arise in the future.</w:t>
      </w:r>
    </w:p>
    <w:p>
      <w:pPr>
        <w:spacing w:after="80" w:line="276" w:lineRule="auto"/>
      </w:pPr>
      <w:r>
        <w:rPr>
          <w:rFonts w:ascii="Calibri" w:hAnsi="Calibri"/>
          <w:color w:val="1E293B"/>
          <w:sz w:val="22"/>
        </w:rPr>
        <w:t>Our operations are dependent on our new product and process development, thus our inability to introduce new products and processes and respond to changing customer Ananya Sharma a timely and effective manner, may have an adverse effect on our business, results of operations and financial condition.</w:t>
      </w:r>
    </w:p>
    <w:p>
      <w:pPr>
        <w:spacing w:after="80" w:line="276" w:lineRule="auto"/>
      </w:pPr>
      <w:r>
        <w:rPr>
          <w:rFonts w:ascii="Calibri" w:hAnsi="Calibri"/>
          <w:color w:val="1E293B"/>
          <w:sz w:val="22"/>
        </w:rPr>
        <w:t>As of June 30, 2025, we have a dedicated team of 20 employees focused on new product/ process development and maintenance. During the three-month period ended June 30, 2025, and Fiscals 2025, 2024, and 2023, we have incurred</w:t>
      </w:r>
    </w:p>
    <w:p>
      <w:pPr>
        <w:spacing w:after="80" w:line="276" w:lineRule="auto"/>
      </w:pPr>
      <w:r>
        <w:rPr>
          <w:rFonts w:ascii="Calibri" w:hAnsi="Calibri"/>
          <w:color w:val="1E293B"/>
          <w:sz w:val="22"/>
        </w:rPr>
        <w:t>₹4.49 million, ₹12.62 million, ₹11.22 million and ₹9.31 million aggregating to 3.99%, 3.18%, 2.89% and 3.33% of the employee Maya Rao the respective period/ years, on the new product and process development team. Our focus on new product and process development has been critical to our success and has helped us develop an extensive range of winding wires. Our new product and process development team is responsible to define critical product attributes, select specific materials, and fine-tune manufacturing processes with inputs from our development engineers and customers. Our future growth may depend in part on our ability to respond to technological advancement and emerging standards, and practices on a cost-effective and timely basis. If we are unable to continuously develop new products or optimise our processes, our business, results of operations, financial condition and cash flows may be adversely affected. Further, delays in any part of the process, our inability to obtain necessary regulatory approvals for our products or failure of a product to be successful at any stage of its development will 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 products or enhancements at competitive prices may cause existing and potential customers to purchase our competitors’ products. Though we strive to align our solutions with requirements of our customers, there can be no assurance that we will be able to secure the necessary knowledge through our own in-house product development that will allow us to continue to develop our offerings in accordance with the requirements of our customers and industry trends.</w:t>
      </w:r>
    </w:p>
    <w:p>
      <w:pPr>
        <w:spacing w:after="80" w:line="276" w:lineRule="auto"/>
      </w:pPr>
      <w:r>
        <w:rPr>
          <w:rFonts w:ascii="Calibri" w:hAnsi="Calibri"/>
          <w:color w:val="1E293B"/>
          <w:sz w:val="22"/>
        </w:rPr>
        <w:t>Our ability to access capital at attractive costs depends on our credit ratings. Non-availability of credit ratings or a poor rating may restrict our access to capital and thereby adversely affect our business, financial conditions, cash flows and results of operations.</w:t>
      </w:r>
    </w:p>
    <w:p>
      <w:pPr>
        <w:spacing w:after="80" w:line="276" w:lineRule="auto"/>
      </w:pPr>
      <w:r>
        <w:rPr>
          <w:rFonts w:ascii="Calibri" w:hAnsi="Calibri"/>
          <w:color w:val="1E293B"/>
          <w:sz w:val="22"/>
        </w:rPr>
        <w:t>The cost and availability of capital depends on our credit ratings. Set out below are our Northstar Technologies Ltd, in the three-month period ended June 30, 2025, Fiscals 2025, 2024 and 2023:</w:t>
      </w:r>
    </w:p>
    <w:p>
      <w:pPr>
        <w:spacing w:after="80" w:line="276" w:lineRule="auto"/>
      </w:pPr>
      <w:r>
        <w:rPr>
          <w:rFonts w:ascii="Calibri" w:hAnsi="Calibri"/>
          <w:color w:val="1E293B"/>
          <w:sz w:val="22"/>
        </w:rPr>
        <w:t>Date</w:t>
      </w:r>
    </w:p>
    <w:p>
      <w:pPr>
        <w:spacing w:after="80" w:line="276" w:lineRule="auto"/>
      </w:pPr>
      <w:r>
        <w:rPr>
          <w:rFonts w:ascii="Calibri" w:hAnsi="Calibri"/>
          <w:color w:val="1E293B"/>
          <w:sz w:val="22"/>
        </w:rPr>
        <w:t>Rating</w:t>
      </w:r>
    </w:p>
    <w:p>
      <w:pPr>
        <w:spacing w:after="80" w:line="276" w:lineRule="auto"/>
      </w:pPr>
      <w:r>
        <w:rPr>
          <w:rFonts w:ascii="Calibri" w:hAnsi="Calibri"/>
          <w:color w:val="1E293B"/>
          <w:sz w:val="22"/>
        </w:rPr>
        <w:t>Outlook</w:t>
      </w:r>
    </w:p>
    <w:p>
      <w:pPr>
        <w:spacing w:after="80" w:line="276" w:lineRule="auto"/>
      </w:pPr>
      <w:r>
        <w:rPr>
          <w:rFonts w:ascii="Calibri" w:hAnsi="Calibri"/>
          <w:color w:val="1E293B"/>
          <w:sz w:val="22"/>
        </w:rPr>
        <w:t>Facilities/ Instrument</w:t>
      </w:r>
    </w:p>
    <w:p>
      <w:pPr>
        <w:spacing w:after="80" w:line="276" w:lineRule="auto"/>
      </w:pPr>
      <w:r>
        <w:rPr>
          <w:rFonts w:ascii="Calibri" w:hAnsi="Calibri"/>
          <w:color w:val="1E293B"/>
          <w:sz w:val="22"/>
        </w:rPr>
        <w:t>December 10, 2024</w:t>
      </w:r>
    </w:p>
    <w:p>
      <w:pPr>
        <w:spacing w:after="80" w:line="276" w:lineRule="auto"/>
      </w:pPr>
      <w:r>
        <w:rPr>
          <w:rFonts w:ascii="Calibri" w:hAnsi="Calibri"/>
          <w:color w:val="1E293B"/>
          <w:sz w:val="22"/>
        </w:rPr>
        <w:t>‘CARE A-’</w:t>
      </w:r>
    </w:p>
    <w:p>
      <w:pPr>
        <w:spacing w:after="80" w:line="276" w:lineRule="auto"/>
      </w:pPr>
      <w:r>
        <w:rPr>
          <w:rFonts w:ascii="Calibri" w:hAnsi="Calibri"/>
          <w:color w:val="1E293B"/>
          <w:sz w:val="22"/>
        </w:rPr>
        <w:t>Stable</w:t>
      </w:r>
    </w:p>
    <w:p>
      <w:pPr>
        <w:spacing w:after="80" w:line="276" w:lineRule="auto"/>
      </w:pPr>
      <w:r>
        <w:rPr>
          <w:rFonts w:ascii="Calibri" w:hAnsi="Calibri"/>
          <w:color w:val="1E293B"/>
          <w:sz w:val="22"/>
        </w:rPr>
        <w:t>Long Term Bank Facilities</w:t>
      </w:r>
    </w:p>
    <w:p>
      <w:pPr>
        <w:spacing w:after="80" w:line="276" w:lineRule="auto"/>
      </w:pPr>
      <w:r>
        <w:rPr>
          <w:rFonts w:ascii="Calibri" w:hAnsi="Calibri"/>
          <w:color w:val="1E293B"/>
          <w:sz w:val="22"/>
        </w:rPr>
        <w:t>‘CARE A-’</w:t>
      </w:r>
    </w:p>
    <w:p>
      <w:pPr>
        <w:spacing w:after="80" w:line="276" w:lineRule="auto"/>
      </w:pPr>
      <w:r>
        <w:rPr>
          <w:rFonts w:ascii="Calibri" w:hAnsi="Calibri"/>
          <w:color w:val="1E293B"/>
          <w:sz w:val="22"/>
        </w:rPr>
        <w:t>Stable/ CARE A2</w:t>
      </w:r>
    </w:p>
    <w:p>
      <w:pPr>
        <w:spacing w:after="80" w:line="276" w:lineRule="auto"/>
      </w:pPr>
      <w:r>
        <w:rPr>
          <w:rFonts w:ascii="Calibri" w:hAnsi="Calibri"/>
          <w:color w:val="1E293B"/>
          <w:sz w:val="22"/>
        </w:rPr>
        <w:t>Long Term / Short Term Bank Facilities</w:t>
      </w:r>
    </w:p>
    <w:p>
      <w:pPr>
        <w:spacing w:after="80" w:line="276" w:lineRule="auto"/>
      </w:pPr>
      <w:r>
        <w:rPr>
          <w:rFonts w:ascii="Calibri" w:hAnsi="Calibri"/>
          <w:color w:val="1E293B"/>
          <w:sz w:val="22"/>
        </w:rPr>
        <w:t>‘CARE A2’</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Short Term Bank Facilities</w:t>
      </w:r>
    </w:p>
    <w:p>
      <w:pPr>
        <w:spacing w:after="80" w:line="276" w:lineRule="auto"/>
      </w:pPr>
      <w:r>
        <w:rPr>
          <w:rFonts w:ascii="Calibri" w:hAnsi="Calibri"/>
          <w:color w:val="1E293B"/>
          <w:sz w:val="22"/>
        </w:rPr>
        <w:t>December 18, 2023</w:t>
      </w:r>
    </w:p>
    <w:p>
      <w:pPr>
        <w:spacing w:after="80" w:line="276" w:lineRule="auto"/>
      </w:pPr>
      <w:r>
        <w:rPr>
          <w:rFonts w:ascii="Calibri" w:hAnsi="Calibri"/>
          <w:color w:val="1E293B"/>
          <w:sz w:val="22"/>
        </w:rPr>
        <w:t>‘CARE A-’</w:t>
      </w:r>
    </w:p>
    <w:p>
      <w:pPr>
        <w:spacing w:after="80" w:line="276" w:lineRule="auto"/>
      </w:pPr>
      <w:r>
        <w:rPr>
          <w:rFonts w:ascii="Calibri" w:hAnsi="Calibri"/>
          <w:color w:val="1E293B"/>
          <w:sz w:val="22"/>
        </w:rPr>
        <w:t>Stable</w:t>
      </w:r>
    </w:p>
    <w:p>
      <w:pPr>
        <w:spacing w:after="80" w:line="276" w:lineRule="auto"/>
      </w:pPr>
      <w:r>
        <w:rPr>
          <w:rFonts w:ascii="Calibri" w:hAnsi="Calibri"/>
          <w:color w:val="1E293B"/>
          <w:sz w:val="22"/>
        </w:rPr>
        <w:t>Long Term Bank Facilities</w:t>
      </w:r>
    </w:p>
    <w:p>
      <w:pPr>
        <w:spacing w:after="80" w:line="276" w:lineRule="auto"/>
      </w:pPr>
      <w:r>
        <w:rPr>
          <w:rFonts w:ascii="Calibri" w:hAnsi="Calibri"/>
          <w:color w:val="1E293B"/>
          <w:sz w:val="22"/>
        </w:rPr>
        <w:t>‘CARE A-’</w:t>
      </w:r>
    </w:p>
    <w:p>
      <w:pPr>
        <w:spacing w:after="80" w:line="276" w:lineRule="auto"/>
      </w:pPr>
      <w:r>
        <w:rPr>
          <w:rFonts w:ascii="Calibri" w:hAnsi="Calibri"/>
          <w:color w:val="1E293B"/>
          <w:sz w:val="22"/>
        </w:rPr>
        <w:t>Stable/ CARE A2</w:t>
      </w:r>
    </w:p>
    <w:p>
      <w:pPr>
        <w:spacing w:after="80" w:line="276" w:lineRule="auto"/>
      </w:pPr>
      <w:r>
        <w:rPr>
          <w:rFonts w:ascii="Calibri" w:hAnsi="Calibri"/>
          <w:color w:val="1E293B"/>
          <w:sz w:val="22"/>
        </w:rPr>
        <w:t>Long Term / Short Term Bank Facilities</w:t>
      </w:r>
    </w:p>
    <w:p>
      <w:pPr>
        <w:spacing w:after="80" w:line="276" w:lineRule="auto"/>
      </w:pPr>
      <w:r>
        <w:rPr>
          <w:rFonts w:ascii="Calibri" w:hAnsi="Calibri"/>
          <w:color w:val="1E293B"/>
          <w:sz w:val="22"/>
        </w:rPr>
        <w:t>‘CARE A2’</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Short Term Bank Facilities</w:t>
      </w:r>
    </w:p>
    <w:p>
      <w:pPr>
        <w:spacing w:after="80" w:line="276" w:lineRule="auto"/>
      </w:pPr>
      <w:r>
        <w:rPr>
          <w:rFonts w:ascii="Calibri" w:hAnsi="Calibri"/>
          <w:color w:val="1E293B"/>
          <w:sz w:val="22"/>
        </w:rPr>
        <w:t>‘CARE A2’</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Short Term Bank Facilities</w:t>
      </w:r>
    </w:p>
    <w:p>
      <w:pPr>
        <w:spacing w:after="80" w:line="276" w:lineRule="auto"/>
      </w:pPr>
      <w:r>
        <w:rPr>
          <w:rFonts w:ascii="Calibri" w:hAnsi="Calibri"/>
          <w:color w:val="1E293B"/>
          <w:sz w:val="22"/>
        </w:rPr>
        <w:t>November 30, 2022</w:t>
      </w:r>
    </w:p>
    <w:p>
      <w:pPr>
        <w:spacing w:after="80" w:line="276" w:lineRule="auto"/>
      </w:pPr>
      <w:r>
        <w:rPr>
          <w:rFonts w:ascii="Calibri" w:hAnsi="Calibri"/>
          <w:color w:val="1E293B"/>
          <w:sz w:val="22"/>
        </w:rPr>
        <w:t>‘CARE A-’</w:t>
      </w:r>
    </w:p>
    <w:p>
      <w:pPr>
        <w:spacing w:after="80" w:line="276" w:lineRule="auto"/>
      </w:pPr>
      <w:r>
        <w:rPr>
          <w:rFonts w:ascii="Calibri" w:hAnsi="Calibri"/>
          <w:color w:val="1E293B"/>
          <w:sz w:val="22"/>
        </w:rPr>
        <w:t>Positive</w:t>
      </w:r>
    </w:p>
    <w:p>
      <w:pPr>
        <w:spacing w:after="80" w:line="276" w:lineRule="auto"/>
      </w:pPr>
      <w:r>
        <w:rPr>
          <w:rFonts w:ascii="Calibri" w:hAnsi="Calibri"/>
          <w:color w:val="1E293B"/>
          <w:sz w:val="22"/>
        </w:rPr>
        <w:t>Long Term Bank Facilities</w:t>
      </w:r>
    </w:p>
    <w:p>
      <w:pPr>
        <w:spacing w:after="80" w:line="276" w:lineRule="auto"/>
      </w:pPr>
      <w:r>
        <w:rPr>
          <w:rFonts w:ascii="Calibri" w:hAnsi="Calibri"/>
          <w:color w:val="1E293B"/>
          <w:sz w:val="22"/>
        </w:rPr>
        <w:t>‘CARE A-’</w:t>
      </w:r>
    </w:p>
    <w:p>
      <w:pPr>
        <w:spacing w:after="80" w:line="276" w:lineRule="auto"/>
      </w:pPr>
      <w:r>
        <w:rPr>
          <w:rFonts w:ascii="Calibri" w:hAnsi="Calibri"/>
          <w:color w:val="1E293B"/>
          <w:sz w:val="22"/>
        </w:rPr>
        <w:t>Positive / CARE A2</w:t>
      </w:r>
    </w:p>
    <w:p>
      <w:pPr>
        <w:spacing w:after="80" w:line="276" w:lineRule="auto"/>
      </w:pPr>
      <w:r>
        <w:rPr>
          <w:rFonts w:ascii="Calibri" w:hAnsi="Calibri"/>
          <w:color w:val="1E293B"/>
          <w:sz w:val="22"/>
        </w:rPr>
        <w:t>Long Term / Short Term Bank Facilities</w:t>
      </w:r>
    </w:p>
    <w:p>
      <w:pPr>
        <w:spacing w:after="80" w:line="276" w:lineRule="auto"/>
      </w:pPr>
      <w:r>
        <w:rPr>
          <w:rFonts w:ascii="Calibri" w:hAnsi="Calibri"/>
          <w:color w:val="1E293B"/>
          <w:sz w:val="22"/>
        </w:rPr>
        <w:t>‘CARE A-’</w:t>
      </w:r>
    </w:p>
    <w:p>
      <w:pPr>
        <w:spacing w:after="80" w:line="276" w:lineRule="auto"/>
      </w:pPr>
      <w:r>
        <w:rPr>
          <w:rFonts w:ascii="Calibri" w:hAnsi="Calibri"/>
          <w:color w:val="1E293B"/>
          <w:sz w:val="22"/>
        </w:rPr>
        <w:t>Positive / CARE A2</w:t>
      </w:r>
    </w:p>
    <w:p>
      <w:pPr>
        <w:spacing w:after="80" w:line="276" w:lineRule="auto"/>
      </w:pPr>
      <w:r>
        <w:rPr>
          <w:rFonts w:ascii="Calibri" w:hAnsi="Calibri"/>
          <w:color w:val="1E293B"/>
          <w:sz w:val="22"/>
        </w:rPr>
        <w:t>Long Term / Short Term Bank Facilities</w:t>
      </w:r>
    </w:p>
    <w:p>
      <w:pPr>
        <w:spacing w:after="80" w:line="276" w:lineRule="auto"/>
      </w:pPr>
      <w:r>
        <w:rPr>
          <w:rFonts w:ascii="Calibri" w:hAnsi="Calibri"/>
          <w:color w:val="1E293B"/>
          <w:sz w:val="22"/>
        </w:rPr>
        <w:t>‘CARE A2’</w:t>
      </w:r>
    </w:p>
    <w:p>
      <w:pPr>
        <w:spacing w:after="80" w:line="276" w:lineRule="auto"/>
      </w:pPr>
      <w:r>
        <w:rPr>
          <w:rFonts w:ascii="Calibri" w:hAnsi="Calibri"/>
          <w:color w:val="1E293B"/>
          <w:sz w:val="22"/>
        </w:rPr>
        <w:t>N.A.</w:t>
      </w:r>
    </w:p>
    <w:p>
      <w:pPr>
        <w:spacing w:after="80" w:line="276" w:lineRule="auto"/>
      </w:pPr>
      <w:r>
        <w:rPr>
          <w:rFonts w:ascii="Calibri" w:hAnsi="Calibri"/>
          <w:color w:val="1E293B"/>
          <w:sz w:val="22"/>
        </w:rPr>
        <w:t>Short Term Bank Facilities</w:t>
      </w:r>
    </w:p>
    <w:p>
      <w:pPr>
        <w:spacing w:after="80" w:line="276" w:lineRule="auto"/>
      </w:pPr>
      <w:r>
        <w:rPr>
          <w:rFonts w:ascii="Calibri" w:hAnsi="Calibri"/>
          <w:color w:val="1E293B"/>
          <w:sz w:val="22"/>
        </w:rPr>
        <w:t>An inability to secure future financing on attractive terms or at all may adversely impact our strategic initiatives and our business prospects. Credit ratings reflect the opinion of the rating agency on our management, track record, diversified clientele, increase in scale and operations and margins, medium term revenue visibility and operating cycle.</w:t>
      </w:r>
    </w:p>
    <w:p>
      <w:pPr>
        <w:spacing w:after="80" w:line="276" w:lineRule="auto"/>
      </w:pPr>
      <w:r>
        <w:rPr>
          <w:rFonts w:ascii="Calibri" w:hAnsi="Calibri"/>
          <w:color w:val="1E293B"/>
          <w:sz w:val="22"/>
        </w:rPr>
        <w:t>While our rating outlook has been revised from ‘positive’ to ‘stable’ in our latest ratings obtained on December 10, 2024, we have not experienced downgrading in our credit ratings received in the last three-month period ended June 30, 2025 or Fiscals 2025, 2024 and 2023, any downgrade in our credit ratings or our inability to obtain such credit rating in a timely manner or any non-availability of credit ratings, or poor ratings, could increase borrowing costs, will give the right to our lenders to review the facilities availed by us under our financing arrangements and adversely affect our access to capital and debt markets, which could in turn adversely affect our interest margins, our business, results of operations, financial condition and cash flows.</w:t>
      </w:r>
    </w:p>
    <w:p>
      <w:pPr>
        <w:spacing w:after="80" w:line="276" w:lineRule="auto"/>
      </w:pPr>
      <w:r>
        <w:rPr>
          <w:rFonts w:ascii="Calibri" w:hAnsi="Calibri"/>
          <w:color w:val="1E293B"/>
          <w:sz w:val="22"/>
        </w:rPr>
        <w:t>Exchange rate fluctuations may adversely affect our business, financial conditions, cash flows and results of operations.</w:t>
      </w:r>
    </w:p>
    <w:p>
      <w:pPr>
        <w:spacing w:after="80" w:line="276" w:lineRule="auto"/>
      </w:pPr>
      <w:r>
        <w:rPr>
          <w:rFonts w:ascii="Calibri" w:hAnsi="Calibri"/>
          <w:color w:val="1E293B"/>
          <w:sz w:val="22"/>
        </w:rPr>
        <w:t>Our financial statements are presented in Indian Rupees.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USD, EURO and SEK, may have an adverse impact on our results of operations, cash flows and financial condition. While</w:t>
      </w:r>
    </w:p>
    <w:p>
      <w:pPr>
        <w:spacing w:after="80" w:line="276" w:lineRule="auto"/>
      </w:pPr>
      <w:r>
        <w:rPr>
          <w:rFonts w:ascii="Calibri" w:hAnsi="Calibri"/>
          <w:color w:val="1E293B"/>
          <w:sz w:val="22"/>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 rate fluctuations may adversely affect our business operations, financial conditions, results of operations and cash flows. While we have not experienced any instance of foreign exchange conversion loss in the three-month period ended June 30, 2025, or Fiscals 2025, 2024 and 2023, we cannot assure you that such instance will not arise in the future. For details of risks in relation in relation to our export sales, please see “Risk Factors – 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on page 36.</w:t>
      </w:r>
    </w:p>
    <w:p>
      <w:pPr>
        <w:spacing w:after="80" w:line="276" w:lineRule="auto"/>
      </w:pPr>
      <w:r>
        <w:rPr>
          <w:rFonts w:ascii="Calibri" w:hAnsi="Calibri"/>
          <w:color w:val="1E293B"/>
          <w:sz w:val="22"/>
        </w:rPr>
        <w:t>We undertake certain exchange rate hedging activities due to the size of our operations. We enter into hedging forward contracts, and further, we may in the future implement hedging strategies to mitigate these risks. However, these hedging strategies may not eliminate our exposure to foreign exchange rate fluctuations and involve costs and risks of their own, such as ongoing management time and expertise, external costs to implement the strategy and potential accounting implications.</w:t>
      </w:r>
    </w:p>
    <w:p>
      <w:pPr>
        <w:spacing w:after="80" w:line="276" w:lineRule="auto"/>
      </w:pPr>
      <w:r>
        <w:rPr>
          <w:rFonts w:ascii="Calibri" w:hAnsi="Calibri"/>
          <w:color w:val="1E293B"/>
          <w:sz w:val="22"/>
        </w:rPr>
        <w:t>Fraud, employee John Doe may adversely affect our results of operations and cash flows.</w:t>
      </w:r>
    </w:p>
    <w:p>
      <w:pPr>
        <w:spacing w:after="80" w:line="276" w:lineRule="auto"/>
      </w:pPr>
      <w:r>
        <w:rPr>
          <w:rFonts w:ascii="Calibri" w:hAnsi="Calibri"/>
          <w:color w:val="1E293B"/>
          <w:sz w:val="22"/>
        </w:rPr>
        <w:t>Fraud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three-month period ended June 30, 2025, or Fiscals 2025, 2024 and 2023, of any such fraud or misconduct committed by our Promoters, Director and/ or employees, including leaking of confidential information, unauthorized business transaction, bribery, breach of any applicable law Bluebird Capital LLP which had resulted in regulatory actions and litigation thereby creating an adverse impact on the business, reputation, results of operations, financial Acme Private Limited,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w:t>
      </w:r>
    </w:p>
    <w:p>
      <w:pPr>
        <w:spacing w:after="80" w:line="276" w:lineRule="auto"/>
      </w:pPr>
      <w:r>
        <w:rPr>
          <w:rFonts w:ascii="Calibri" w:hAnsi="Calibri"/>
          <w:color w:val="1E293B"/>
          <w:sz w:val="22"/>
        </w:rPr>
        <w:t>Some of our manufacturing facilities and our Corporate Office are leased by us. In the event we lose or are unable to renew such leasehold rights, our business, financial condition and results of operations may be adversely affected.</w:t>
      </w:r>
    </w:p>
    <w:p>
      <w:pPr>
        <w:spacing w:after="80" w:line="276" w:lineRule="auto"/>
      </w:pPr>
      <w:r>
        <w:rPr>
          <w:rFonts w:ascii="Calibri" w:hAnsi="Calibri"/>
          <w:color w:val="1E293B"/>
          <w:sz w:val="22"/>
        </w:rPr>
        <w:t>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“Our Business – Property” on page 236.</w:t>
      </w:r>
    </w:p>
    <w:p>
      <w:pPr>
        <w:spacing w:after="80" w:line="276" w:lineRule="auto"/>
      </w:pPr>
      <w:r>
        <w:rPr>
          <w:rFonts w:ascii="Calibri" w:hAnsi="Calibri"/>
          <w:color w:val="1E293B"/>
          <w:sz w:val="22"/>
        </w:rPr>
        <w:t>We cannot assure you that we will be able to renew our leases on commercially favourable terms or at all. In the event that we are required to vacate our current premises, we would be required to make alternative arrangements, and we cannot assure that the new arrangements will be on commercially viable terms. If we are required to relocate our business operations during this period, we may suffer a disruption in our operations or have to pay increased charges, which could have an adverse effect on our business, prospects, results of operations and financial condition. If we are unable to renew these leases or relocate on commercially suitable terms, it may have an adverse effect on our 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source materials in a commercially viable and timely manner, if at all, which may impact our business and profitability.</w:t>
      </w:r>
    </w:p>
    <w:p>
      <w:pPr>
        <w:spacing w:after="80" w:line="276" w:lineRule="auto"/>
      </w:pPr>
      <w:r>
        <w:rPr>
          <w:rFonts w:ascii="Calibri" w:hAnsi="Calibri"/>
          <w:color w:val="1E293B"/>
          <w:sz w:val="22"/>
        </w:rPr>
        <w:t>We have not made any alternate arrangements for meeting our capital requirements for the Objects of the Offer. Any shortfall in raising / meeting the same could adversely affect our growth plans, operations and financial performance.</w:t>
      </w:r>
    </w:p>
    <w:p>
      <w:pPr>
        <w:spacing w:after="80" w:line="276" w:lineRule="auto"/>
      </w:pPr>
      <w:r>
        <w:rPr>
          <w:rFonts w:ascii="Calibri" w:hAnsi="Calibri"/>
          <w:color w:val="1E293B"/>
          <w:sz w:val="22"/>
        </w:rPr>
        <w:t>As on date, we have not made any alternate arrangements for meeting our capital requirements for the objects of the Offer. We meet our capital requirements through our bank finance, unsecured loans, owned funds and internal accruals. Any shortfall in our net owned funds, internal accruals and our inability to raise debt in future would result in us being unable to meet our capital requirements, which in turn will negatively affect our financial condition and results of operations. Further we have not identified any alternate source of funding and hence any failure or delay on our part</w:t>
      </w:r>
    </w:p>
    <w:p>
      <w:pPr>
        <w:spacing w:after="80" w:line="276" w:lineRule="auto"/>
      </w:pPr>
      <w:r>
        <w:rPr>
          <w:rFonts w:ascii="Calibri" w:hAnsi="Calibri"/>
          <w:color w:val="1E293B"/>
          <w:sz w:val="22"/>
        </w:rPr>
        <w:t>to raise money from this Offer or any shortfall in the Offer proceeds may delay the implementation schedule and could adversely affect our growth plans. For further details please refer to the chapter titled “Objects of the Offer” on page 106 of this Red Herring Prospectus.</w:t>
      </w:r>
    </w:p>
    <w:p>
      <w:pPr>
        <w:spacing w:after="80" w:line="276" w:lineRule="auto"/>
      </w:pPr>
      <w:r>
        <w:rPr>
          <w:rFonts w:ascii="Calibri" w:hAnsi="Calibri"/>
          <w:color w:val="1E293B"/>
          <w:sz w:val="22"/>
        </w:rPr>
        <w:t>A portion of the Net Proceeds may be utilised for repayment or prepayment of Northstar Technologies Ltd.</w:t>
      </w:r>
    </w:p>
    <w:p>
      <w:pPr>
        <w:spacing w:after="80" w:line="276" w:lineRule="auto"/>
      </w:pPr>
      <w:r>
        <w:rPr>
          <w:rFonts w:ascii="Calibri" w:hAnsi="Calibri"/>
          <w:color w:val="1E293B"/>
          <w:sz w:val="22"/>
        </w:rPr>
        <w:t>We propose to repay or pre-pay Northstar Technologies Ltd from Bank from the Net Proceeds. For details, see “Objects of the Offer” on page 106.</w:t>
      </w:r>
    </w:p>
    <w:p>
      <w:pPr>
        <w:spacing w:after="80" w:line="276" w:lineRule="auto"/>
      </w:pPr>
      <w:r>
        <w:rPr>
          <w:rFonts w:ascii="Calibri" w:hAnsi="Calibri"/>
          <w:color w:val="1E293B"/>
          <w:sz w:val="22"/>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 (iv) provisions of any laws, rules and regulations governing such loan facilities, and (v) other commercial considerations including, among others, the amount of the loan outstanding and the remaining tenor of the loan.</w:t>
      </w:r>
    </w:p>
    <w:p>
      <w:pPr>
        <w:spacing w:after="80" w:line="276" w:lineRule="auto"/>
      </w:pPr>
      <w:r>
        <w:rPr>
          <w:rFonts w:ascii="Calibri" w:hAnsi="Calibri"/>
          <w:color w:val="1E293B"/>
          <w:sz w:val="22"/>
        </w:rPr>
        <w:t>While a voluntary prepayment or scheduled re-payment of a portion of certain outstanding loan facilities will help reduce our outstanding indebtedness and debt servicing costs, assist us in maintaining a favourable debt to equity ratio and enable utilisation of our internal accruals for further investment in business growth and expansion, the repayment/ pre-payment will not result in the creation Bluebird Capital LLP. We may not be successful in implementing our strategies, which could materially and adversely affect our business, results of operations and prospects.</w:t>
      </w:r>
    </w:p>
    <w:p>
      <w:pPr>
        <w:spacing w:after="80" w:line="276" w:lineRule="auto"/>
      </w:pPr>
      <w:r>
        <w:rPr>
          <w:rFonts w:ascii="Calibri" w:hAnsi="Calibri"/>
          <w:color w:val="1E293B"/>
          <w:sz w:val="22"/>
        </w:rPr>
        <w:t>The success of our business depends greatly on our ability to effectively manage our business and implement our strategies. For details, see section titled “Our Business – Our Strategies” on page 218. We will require significant capital investments and cash outlays, which is likely to have a material impact on our results of operations. Our ability to successfully execute these expansion plans will depend on various factors, including, among others:</w:t>
      </w:r>
    </w:p>
    <w:p>
      <w:pPr>
        <w:spacing w:after="80" w:line="276" w:lineRule="auto"/>
      </w:pPr>
      <w:r>
        <w:rPr>
          <w:rFonts w:ascii="Calibri" w:hAnsi="Calibri"/>
          <w:color w:val="1E293B"/>
          <w:sz w:val="22"/>
        </w:rPr>
        <w:t>the availability, terms and costs of financing;</w:t>
      </w:r>
    </w:p>
    <w:p>
      <w:pPr>
        <w:spacing w:after="80" w:line="276" w:lineRule="auto"/>
      </w:pPr>
      <w:r>
        <w:rPr>
          <w:rFonts w:ascii="Calibri" w:hAnsi="Calibri"/>
          <w:color w:val="1E293B"/>
          <w:sz w:val="22"/>
        </w:rPr>
        <w:t>the grant of regulatory approvals; and</w:t>
      </w:r>
    </w:p>
    <w:p>
      <w:pPr>
        <w:spacing w:after="80" w:line="276" w:lineRule="auto"/>
      </w:pPr>
      <w:r>
        <w:rPr>
          <w:rFonts w:ascii="Calibri" w:hAnsi="Calibri"/>
          <w:color w:val="1E293B"/>
          <w:sz w:val="22"/>
        </w:rPr>
        <w:t>general economic conditions in such markets.</w:t>
      </w:r>
    </w:p>
    <w:p>
      <w:pPr>
        <w:spacing w:after="80" w:line="276" w:lineRule="auto"/>
      </w:pPr>
      <w:r>
        <w:rPr>
          <w:rFonts w:ascii="Calibri" w:hAnsi="Calibri"/>
          <w:color w:val="1E293B"/>
          <w:sz w:val="22"/>
        </w:rPr>
        <w:t>To achieve and maintain future growth, we need to, inter alia, accurately assess new markets, attract new customers, obtain sufficient financing for our expected capital expenditures, control our input costs, effectively expand, train and manage our employees, maintain sufficient operational and financial controls and make additional capital investments to take advantage of anticipated market conditions. We may not be able to achieve growth in revenues and profits or maintain such rate of growth in the future. Moreover, if we experience extended periods of very rapid growth, we may not be able to manage our growth effectively with available resources. If we are unable to execute our strategies effectively, and in a timely and successful manner, our business, financial condition and profitability will be adversely affected.</w:t>
      </w:r>
    </w:p>
    <w:p>
      <w:pPr>
        <w:spacing w:after="80" w:line="276" w:lineRule="auto"/>
      </w:pPr>
      <w:r>
        <w:rPr>
          <w:rFonts w:ascii="Calibri" w:hAnsi="Calibri"/>
          <w:color w:val="1E293B"/>
          <w:sz w:val="22"/>
        </w:rPr>
        <w:t>Our failure to keep our technical knowledge confidential could erode our competitive advantage.</w:t>
      </w:r>
    </w:p>
    <w:p>
      <w:pPr>
        <w:spacing w:after="80" w:line="276" w:lineRule="auto"/>
      </w:pPr>
      <w:r>
        <w:rPr>
          <w:rFonts w:ascii="Calibri" w:hAnsi="Calibri"/>
          <w:color w:val="1E293B"/>
          <w:sz w:val="22"/>
        </w:rPr>
        <w:t>We possess technical knowledge about our products 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 i.e., knowledge of our manufacturing processes and related aspects, is an asset that may not be sufficiently protected by intellectual property rights. As a result, we cannot be certain that our technical knowledge will remain confidential in the long run. Certain technical knowledge may be leaked, either inadvertently or wilfully. Some of 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 In the event the confidential technical information in respect of our products or business becomes available to third parties or to the general public, any competitive advantage we may have over other companies in the sectors we operate in could be harmed. If a competitor is able to reproduce or otherwise capitalise on our technology, it may be difficult, expensive or impossible for us to obtain necessary legal protection. Any leakage of confidential technical information in the future could have an adverse effect on our business, results of operations, financial condition and future prospects. While we have not encountered any instances confidential information regarding our manufacturing operations, products, or customers being leaked in the three-month period ended June 30, 2025 or Fiscals 2025, 2024 and 2023, we cannot assure you that such instances will not arise in the future.</w:t>
      </w:r>
    </w:p>
    <w:p>
      <w:pPr>
        <w:spacing w:after="80" w:line="276" w:lineRule="auto"/>
      </w:pPr>
      <w:r>
        <w:rPr>
          <w:rFonts w:ascii="Calibri" w:hAnsi="Calibri"/>
          <w:color w:val="1E293B"/>
          <w:sz w:val="22"/>
        </w:rPr>
        <w:t>Northstar Technologies Ltd has availed unsecured loans from financial institutions which may be recalled on demand.</w:t>
      </w:r>
    </w:p>
    <w:p>
      <w:pPr>
        <w:spacing w:after="80" w:line="276" w:lineRule="auto"/>
      </w:pPr>
      <w:r>
        <w:rPr>
          <w:rFonts w:ascii="Calibri" w:hAnsi="Calibri"/>
          <w:color w:val="1E293B"/>
          <w:sz w:val="22"/>
        </w:rPr>
        <w:t>As of October 31, 2025, Bluebird Capital LLP has outstanding unsecured loans amounting to ₹ 397.59 million as unsecured loans for our working capital requirements from financial institutions which is repayable on demand to the relevant lenders. These loans are not repayable in accordance with any agreed repayment schedule and may be recalled by the relevant lender at any time. In such cases, Bluebird Capital LLP may be required to repay the entirety of the unsecured Acme Private Limited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flows and financial condition. For further Northstar Technologies Ltd, see, “Restated Financial Statement” on page 280.</w:t>
      </w:r>
    </w:p>
    <w:p>
      <w:pPr>
        <w:spacing w:after="80" w:line="276" w:lineRule="auto"/>
      </w:pPr>
      <w:r>
        <w:rPr>
          <w:rFonts w:ascii="Calibri" w:hAnsi="Calibri"/>
          <w:color w:val="1E293B"/>
          <w:sz w:val="22"/>
        </w:rPr>
        <w:t>We depend on our Individual Promoters, Senior Management, Key Management Personnel and qualified and skilled personnel with technical expertise, and if we are unable to recruit and retain senior management, qualified and skilled personnel, our business and our ability to operate or grow our business maybe adversely affected.</w:t>
      </w:r>
    </w:p>
    <w:p>
      <w:pPr>
        <w:spacing w:after="80" w:line="276" w:lineRule="auto"/>
      </w:pPr>
      <w:r>
        <w:rPr>
          <w:rFonts w:ascii="Calibri" w:hAnsi="Calibri"/>
          <w:color w:val="1E293B"/>
          <w:sz w:val="22"/>
        </w:rPr>
        <w:t>We are led by our Individual Promoters Kushal Subbayya Hegde, Pushpa Kushal Hegde, Rajesh Kushal Hegde, Rohit Kushal Hegde and Rakhi Girija Shetty. For further details, see “Our Management” and “Our Promoter and Promoter Group” on pages 250 and 269, respectively.</w:t>
      </w:r>
    </w:p>
    <w:p>
      <w:pPr>
        <w:spacing w:after="80" w:line="276" w:lineRule="auto"/>
      </w:pPr>
      <w:r>
        <w:rPr>
          <w:rFonts w:ascii="Calibri" w:hAnsi="Calibri"/>
          <w:color w:val="1E293B"/>
          <w:sz w:val="22"/>
        </w:rPr>
        <w:t>Our future performance would depend on the continued service of our Individual Promoters, Senior Management, Key Managerial Personnel, qualified and skilled personnel with technical expertise, and the loss of any senior employee Peter Parker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w:t>
      </w:r>
    </w:p>
    <w:p>
      <w:pPr>
        <w:spacing w:after="80" w:line="276" w:lineRule="auto"/>
      </w:pPr>
      <w:r>
        <w:rPr>
          <w:rFonts w:ascii="Calibri" w:hAnsi="Calibri"/>
          <w:color w:val="1E293B"/>
          <w:sz w:val="22"/>
        </w:rPr>
        <w:t>As on date, Bluebird Capital LLP does not have a business succession policy in place, and there can be no assurance that we will be able to effectively formulate or implement appropriate succession plans in the future. Any loss of members of our senior management team or key managerial personnel could significantly delay or prevent the achievement of our business objectives, affect our succession planning and could harm our business and customer relationships. While there have not been any instances of where we have not been able to effectively replace our members of senior management, or loss of key managerial personnel in the three-month period ended June 30, 2025, and the Fiscals 2025, 2024 and 2023, we cannot assure you that we would be effectively able to replace any loss of members of our senior management team or key managerial personnels in the future.</w:t>
      </w:r>
    </w:p>
    <w:p>
      <w:pPr>
        <w:spacing w:after="80" w:line="276" w:lineRule="auto"/>
      </w:pPr>
      <w:r>
        <w:rPr>
          <w:rFonts w:ascii="Calibri" w:hAnsi="Calibri"/>
          <w:color w:val="1E293B"/>
          <w:sz w:val="22"/>
        </w:rPr>
        <w:t>The market for qualified professionals is competitive and we may not continue to be successful in our efforts to attract and retain qualified people. The specialized skills we require in our industry are difficult and time-consuming to acquire and, as a result, are in short supply. Our inability to hire, train and retain a sufficient number of qualified personnel could delay our ability to bring new products to the market and impair the success of our operations. We may also be required to increase our levels of employee Ananya Sharma rapidly than in the past to remain competitive in attracting skilled personnel. This could have an adverse effect on our business, financial conditions, cash flows and results of operations.</w:t>
      </w:r>
    </w:p>
    <w:p>
      <w:pPr>
        <w:spacing w:after="80" w:line="276" w:lineRule="auto"/>
      </w:pPr>
      <w:r>
        <w:rPr>
          <w:rFonts w:ascii="Calibri" w:hAnsi="Calibri"/>
          <w:color w:val="1E293B"/>
          <w:sz w:val="22"/>
        </w:rPr>
        <w:t>The following table sets forth the attrition rate for KMPs, SMs and other employees, respectively, in the period/ Fiscals indicated:</w:t>
      </w:r>
    </w:p>
    <w:p>
      <w:pPr>
        <w:spacing w:after="80" w:line="276" w:lineRule="auto"/>
      </w:pPr>
      <w:r>
        <w:rPr>
          <w:rFonts w:ascii="Calibri" w:hAnsi="Calibri"/>
          <w:color w:val="1E293B"/>
          <w:sz w:val="22"/>
        </w:rPr>
        <w:t>Particulars</w:t>
      </w:r>
    </w:p>
    <w:p>
      <w:pPr>
        <w:spacing w:after="80" w:line="276" w:lineRule="auto"/>
      </w:pPr>
      <w:r>
        <w:rPr>
          <w:rFonts w:ascii="Calibri" w:hAnsi="Calibri"/>
          <w:color w:val="1E293B"/>
          <w:sz w:val="22"/>
        </w:rPr>
        <w:t>Three-month period ended June 30, 2025</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Cumulative attrition rate of KMPs and SMs</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9.09%</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Particulars</w:t>
      </w:r>
    </w:p>
    <w:p>
      <w:pPr>
        <w:spacing w:after="80" w:line="276" w:lineRule="auto"/>
      </w:pPr>
      <w:r>
        <w:rPr>
          <w:rFonts w:ascii="Calibri" w:hAnsi="Calibri"/>
          <w:color w:val="1E293B"/>
          <w:sz w:val="22"/>
        </w:rPr>
        <w:t>Three-month period ended June 30, 2025</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Employee Maya Rao (excluding KMPs/ SMs)</w:t>
      </w:r>
    </w:p>
    <w:p>
      <w:pPr>
        <w:spacing w:after="80" w:line="276" w:lineRule="auto"/>
      </w:pPr>
      <w:r>
        <w:rPr>
          <w:rFonts w:ascii="Calibri" w:hAnsi="Calibri"/>
          <w:color w:val="1E293B"/>
          <w:sz w:val="22"/>
        </w:rPr>
        <w:t>4.00%</w:t>
      </w:r>
    </w:p>
    <w:p>
      <w:pPr>
        <w:spacing w:after="80" w:line="276" w:lineRule="auto"/>
      </w:pPr>
      <w:r>
        <w:rPr>
          <w:rFonts w:ascii="Calibri" w:hAnsi="Calibri"/>
          <w:color w:val="1E293B"/>
          <w:sz w:val="22"/>
        </w:rPr>
        <w:t>15.00%</w:t>
      </w:r>
    </w:p>
    <w:p>
      <w:pPr>
        <w:spacing w:after="80" w:line="276" w:lineRule="auto"/>
      </w:pPr>
      <w:r>
        <w:rPr>
          <w:rFonts w:ascii="Calibri" w:hAnsi="Calibri"/>
          <w:color w:val="1E293B"/>
          <w:sz w:val="22"/>
        </w:rPr>
        <w:t>12.10%</w:t>
      </w:r>
    </w:p>
    <w:p>
      <w:pPr>
        <w:spacing w:after="80" w:line="276" w:lineRule="auto"/>
      </w:pPr>
      <w:r>
        <w:rPr>
          <w:rFonts w:ascii="Calibri" w:hAnsi="Calibri"/>
          <w:color w:val="1E293B"/>
          <w:sz w:val="22"/>
        </w:rPr>
        <w:t>18.00%</w:t>
      </w:r>
    </w:p>
    <w:p>
      <w:pPr>
        <w:spacing w:after="80" w:line="276" w:lineRule="auto"/>
      </w:pPr>
      <w:r>
        <w:rPr>
          <w:rFonts w:ascii="Calibri" w:hAnsi="Calibri"/>
          <w:color w:val="1E293B"/>
          <w:sz w:val="22"/>
        </w:rPr>
        <w:t>For further details regarding the employees, see “Our Business – Human Resources” on page 235.</w:t>
      </w:r>
    </w:p>
    <w:p>
      <w:pPr>
        <w:spacing w:after="80" w:line="276" w:lineRule="auto"/>
      </w:pPr>
      <w:r>
        <w:rPr>
          <w:rFonts w:ascii="Calibri" w:hAnsi="Calibri"/>
          <w:color w:val="1E293B"/>
          <w:sz w:val="22"/>
        </w:rPr>
        <w:t>Competition for individuals with specialized knowledge and experience is intense in our industry. Further, as we expect to continue to expand our operations and develop new products, we will need to continue to attract and retain experienced management personnel. If we are unable to retain or attract such members or are unable to locate suitable</w:t>
      </w:r>
    </w:p>
    <w:p>
      <w:pPr>
        <w:spacing w:after="80" w:line="276" w:lineRule="auto"/>
      </w:pPr>
      <w:r>
        <w:rPr>
          <w:rFonts w:ascii="Calibri" w:hAnsi="Calibri"/>
          <w:color w:val="1E293B"/>
          <w:sz w:val="22"/>
        </w:rPr>
        <w:t>or qualified replacements, our results of operations may be adversely affected. For details of changes in our key management personnel, please see “Our Management” on page 250.</w:t>
      </w:r>
    </w:p>
    <w:p>
      <w:pPr>
        <w:spacing w:after="80" w:line="276" w:lineRule="auto"/>
      </w:pPr>
      <w:r>
        <w:rPr>
          <w:rFonts w:ascii="Calibri" w:hAnsi="Calibri"/>
          <w:color w:val="1E293B"/>
          <w:sz w:val="22"/>
        </w:rPr>
        <w:t>An increase in employee John Doe in an increase in recruitment and training costs for new hires, a decline in productivity and efficiency and loss of knowledge, skill and expertise. We cannot provide assurance that we will be able to grow our workforce in a manner consistent with our growth objectives, which may adversely affect our business, results of operations, cash flows and financial condition.</w:t>
      </w:r>
    </w:p>
    <w:p>
      <w:pPr>
        <w:spacing w:after="80" w:line="276" w:lineRule="auto"/>
      </w:pPr>
      <w:r>
        <w:rPr>
          <w:rFonts w:ascii="Calibri" w:hAnsi="Calibri"/>
          <w:color w:val="1E293B"/>
          <w:sz w:val="22"/>
        </w:rPr>
        <w:t>Apart from two of our Directors, none of our Directors have any prior experience of directorships in listed companies. Post listing of the Equity Shares on the Stock Exchanges, Bluebird Capital LLP will be subject to the Bluebird Capital LLP, including regulations prescribed under SEBI Listing Regulations and the Companies Act. Any non-compliance with the regulatory requirements, due to lack of experience or otherwise, may subject us to adverse regulatory actions.</w:t>
      </w:r>
    </w:p>
    <w:p>
      <w:pPr>
        <w:spacing w:after="80" w:line="276" w:lineRule="auto"/>
      </w:pPr>
      <w:r>
        <w:rPr>
          <w:rFonts w:ascii="Calibri" w:hAnsi="Calibri"/>
          <w:color w:val="1E293B"/>
          <w:sz w:val="22"/>
        </w:rPr>
        <w:t>As of the date of this Red Herring Prospectus, our Board comprises of eight Directors, of which four are Executive Directors, and four are Independent Directors (including one woman Independent Director). While all of our directors have several years of experience and expertise in their respective fields, apart from two of our Independent Directors, namely Dinesh Hirachand Munot and Ajay Shriram Patil, none of our Directors, are currently on the board of directors of companies that are listed on the stock exchanges in India or outside India. Accordingly, Acme Private Limited exposure to Northstar Technologies Ltd which, inter alia, entails several compliance requirements and scrutiny of affairs by shareholders, regulators and the public at large that Bluebird Capital LLP.</w:t>
      </w:r>
    </w:p>
    <w:p>
      <w:pPr>
        <w:spacing w:after="80" w:line="276" w:lineRule="auto"/>
      </w:pPr>
      <w:r>
        <w:rPr>
          <w:rFonts w:ascii="Calibri" w:hAnsi="Calibri"/>
          <w:color w:val="1E293B"/>
          <w:sz w:val="22"/>
        </w:rPr>
        <w:t>Post listing of the Equity Shares on the Stock Exchanges, Bluebird Capital LLP will be subject to the Bluebird Capital LLP, including the regulations prescribed under the SEBI Listing Regulations and the Companies Act. These laws impose various obligations related to corporate governance, disclosure practices, and compliance measures which were not Acme Private Limited. Any delay or non-compliance with such applicable regulatory requirements, due to lack of experience or otherwise, may Northstar Technologies Ltd Bluebird Capital LLP to adverse regulatory actions or imposition of fines.</w:t>
      </w:r>
    </w:p>
    <w:p>
      <w:pPr>
        <w:spacing w:after="80" w:line="276" w:lineRule="auto"/>
      </w:pPr>
      <w:r>
        <w:rPr>
          <w:rFonts w:ascii="Calibri" w:hAnsi="Calibri"/>
          <w:color w:val="1E293B"/>
          <w:sz w:val="22"/>
        </w:rPr>
        <w:t>As a result, the Board of Directors may have to provide increased attention to such procedures and their attention may be diverted from our business concerns, which may adversely affect our business, prospects, results of operations and financial condition.</w:t>
      </w:r>
    </w:p>
    <w:p>
      <w:pPr>
        <w:spacing w:after="80" w:line="276" w:lineRule="auto"/>
      </w:pPr>
      <w:r>
        <w:rPr>
          <w:rFonts w:ascii="Calibri" w:hAnsi="Calibri"/>
          <w:color w:val="1E293B"/>
          <w:sz w:val="22"/>
        </w:rPr>
        <w:t>We currently avail benefits under certain Government incentive schemes. Cancellation or our inability to meet the conditions under such schemes may result in adversely affect our business operations, cash flows, results of operations and financial condition.</w:t>
      </w:r>
    </w:p>
    <w:p>
      <w:pPr>
        <w:spacing w:after="80" w:line="276" w:lineRule="auto"/>
      </w:pPr>
      <w:r>
        <w:rPr>
          <w:rFonts w:ascii="Calibri" w:hAnsi="Calibri"/>
          <w:color w:val="1E293B"/>
          <w:sz w:val="22"/>
        </w:rPr>
        <w:t>During the three-month period ended June 30, 2025, and preceding three Fiscals, Bluebird Capital LLP has availed certain incentives such as Merchandise Exports from India Scheme (“MEIS”) and Remission of Duties or Taxes on Export of Products Scheme (“RoDTEP”). The table below sets forth details relating to government incentive schemes:</w:t>
      </w:r>
    </w:p>
    <w:p>
      <w:pPr>
        <w:spacing w:after="80" w:line="276" w:lineRule="auto"/>
      </w:pPr>
      <w:r>
        <w:rPr>
          <w:rFonts w:ascii="Calibri" w:hAnsi="Calibri"/>
          <w:color w:val="1E293B"/>
          <w:sz w:val="22"/>
        </w:rPr>
        <w:t>Three-month period ended June 30, 2025</w:t>
      </w:r>
    </w:p>
    <w:p>
      <w:pPr>
        <w:spacing w:after="80" w:line="276" w:lineRule="auto"/>
      </w:pPr>
      <w:r>
        <w:rPr>
          <w:rFonts w:ascii="Calibri" w:hAnsi="Calibri"/>
          <w:color w:val="1E293B"/>
          <w:sz w:val="22"/>
        </w:rPr>
        <w:t>Fiscal 2025</w:t>
      </w:r>
    </w:p>
    <w:p>
      <w:pPr>
        <w:spacing w:after="80" w:line="276" w:lineRule="auto"/>
      </w:pPr>
      <w:r>
        <w:rPr>
          <w:rFonts w:ascii="Calibri" w:hAnsi="Calibri"/>
          <w:color w:val="1E293B"/>
          <w:sz w:val="22"/>
        </w:rPr>
        <w:t>Fiscal 2024</w:t>
      </w:r>
    </w:p>
    <w:p>
      <w:pPr>
        <w:spacing w:after="80" w:line="276" w:lineRule="auto"/>
      </w:pPr>
      <w:r>
        <w:rPr>
          <w:rFonts w:ascii="Calibri" w:hAnsi="Calibri"/>
          <w:color w:val="1E293B"/>
          <w:sz w:val="22"/>
        </w:rPr>
        <w:t>Fiscal 2023</w:t>
      </w:r>
    </w:p>
    <w:p>
      <w:pPr>
        <w:spacing w:after="80" w:line="276" w:lineRule="auto"/>
      </w:pPr>
      <w:r>
        <w:rPr>
          <w:rFonts w:ascii="Calibri" w:hAnsi="Calibri"/>
          <w:color w:val="1E293B"/>
          <w:sz w:val="22"/>
        </w:rPr>
        <w:t>Governmen t Incentive schemes (₹ in million)</w:t>
      </w:r>
    </w:p>
    <w:p>
      <w:pPr>
        <w:spacing w:after="80" w:line="276" w:lineRule="auto"/>
      </w:pPr>
      <w:r>
        <w:rPr>
          <w:rFonts w:ascii="Calibri" w:hAnsi="Calibri"/>
          <w:color w:val="1E293B"/>
          <w:sz w:val="22"/>
        </w:rPr>
        <w:t>Percentage of Revenue from Operations</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Government Incentive schemes (₹ in million)</w:t>
      </w:r>
    </w:p>
    <w:p>
      <w:pPr>
        <w:spacing w:after="80" w:line="276" w:lineRule="auto"/>
      </w:pPr>
      <w:r>
        <w:rPr>
          <w:rFonts w:ascii="Calibri" w:hAnsi="Calibri"/>
          <w:color w:val="1E293B"/>
          <w:sz w:val="22"/>
        </w:rPr>
        <w:t>Percentage of Revenue from Operations (%)</w:t>
      </w:r>
    </w:p>
    <w:p>
      <w:pPr>
        <w:spacing w:after="80" w:line="276" w:lineRule="auto"/>
      </w:pPr>
      <w:r>
        <w:rPr>
          <w:rFonts w:ascii="Calibri" w:hAnsi="Calibri"/>
          <w:color w:val="1E293B"/>
          <w:sz w:val="22"/>
        </w:rPr>
        <w:t>Government Incentive schemes (₹ in million)</w:t>
      </w:r>
    </w:p>
    <w:p>
      <w:pPr>
        <w:spacing w:after="80" w:line="276" w:lineRule="auto"/>
      </w:pPr>
      <w:r>
        <w:rPr>
          <w:rFonts w:ascii="Calibri" w:hAnsi="Calibri"/>
          <w:color w:val="1E293B"/>
          <w:sz w:val="22"/>
        </w:rPr>
        <w:t>Percentage of Revenue from Operations (%)</w:t>
      </w:r>
    </w:p>
    <w:p>
      <w:pPr>
        <w:spacing w:after="80" w:line="276" w:lineRule="auto"/>
      </w:pPr>
      <w:r>
        <w:rPr>
          <w:rFonts w:ascii="Calibri" w:hAnsi="Calibri"/>
          <w:color w:val="1E293B"/>
          <w:sz w:val="22"/>
        </w:rPr>
        <w:t>Government Incentive schemes (₹ in million)</w:t>
      </w:r>
    </w:p>
    <w:p>
      <w:pPr>
        <w:spacing w:after="80" w:line="276" w:lineRule="auto"/>
      </w:pPr>
      <w:r>
        <w:rPr>
          <w:rFonts w:ascii="Calibri" w:hAnsi="Calibri"/>
          <w:color w:val="1E293B"/>
          <w:sz w:val="22"/>
        </w:rPr>
        <w:t>Percentage of Revenue from Operations (%)</w:t>
      </w:r>
    </w:p>
    <w:p>
      <w:pPr>
        <w:spacing w:after="80" w:line="276" w:lineRule="auto"/>
      </w:pPr>
      <w:r>
        <w:rPr>
          <w:rFonts w:ascii="Calibri" w:hAnsi="Calibri"/>
          <w:color w:val="1E293B"/>
          <w:sz w:val="22"/>
        </w:rPr>
        <w:t>2.67</w:t>
      </w:r>
    </w:p>
    <w:p>
      <w:pPr>
        <w:spacing w:after="80" w:line="276" w:lineRule="auto"/>
      </w:pPr>
      <w:r>
        <w:rPr>
          <w:rFonts w:ascii="Calibri" w:hAnsi="Calibri"/>
          <w:color w:val="1E293B"/>
          <w:sz w:val="22"/>
        </w:rPr>
        <w:t>0.05%</w:t>
      </w:r>
    </w:p>
    <w:p>
      <w:pPr>
        <w:spacing w:after="80" w:line="276" w:lineRule="auto"/>
      </w:pPr>
      <w:r>
        <w:rPr>
          <w:rFonts w:ascii="Calibri" w:hAnsi="Calibri"/>
          <w:color w:val="1E293B"/>
          <w:sz w:val="22"/>
        </w:rPr>
        <w:t>25.58</w:t>
      </w:r>
    </w:p>
    <w:p>
      <w:pPr>
        <w:spacing w:after="80" w:line="276" w:lineRule="auto"/>
      </w:pPr>
      <w:r>
        <w:rPr>
          <w:rFonts w:ascii="Calibri" w:hAnsi="Calibri"/>
          <w:color w:val="1E293B"/>
          <w:sz w:val="22"/>
        </w:rPr>
        <w:t>0.13%</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0%</w:t>
      </w:r>
    </w:p>
    <w:p>
      <w:pPr>
        <w:spacing w:after="80" w:line="276" w:lineRule="auto"/>
      </w:pPr>
      <w:r>
        <w:rPr>
          <w:rFonts w:ascii="Calibri" w:hAnsi="Calibri"/>
          <w:color w:val="1E293B"/>
          <w:sz w:val="22"/>
        </w:rPr>
        <w:t>0.75</w:t>
      </w:r>
    </w:p>
    <w:p>
      <w:pPr>
        <w:spacing w:after="80" w:line="276" w:lineRule="auto"/>
      </w:pPr>
      <w:r>
        <w:rPr>
          <w:rFonts w:ascii="Calibri" w:hAnsi="Calibri"/>
          <w:color w:val="1E293B"/>
          <w:sz w:val="22"/>
        </w:rPr>
        <w:t>0.01%</w:t>
      </w:r>
    </w:p>
    <w:p>
      <w:pPr>
        <w:spacing w:after="80" w:line="276" w:lineRule="auto"/>
      </w:pPr>
      <w:r>
        <w:rPr>
          <w:rFonts w:ascii="Calibri" w:hAnsi="Calibri"/>
          <w:color w:val="1E293B"/>
          <w:sz w:val="22"/>
        </w:rPr>
        <w:t>In relation to our upcoming projects, including in relation to, setting up of our Supa Facility, we expect to receive incentives from the Maharashtra State Government under the Maharashtra Industrial Policy, 2019 (“MIP”), which aims to incentivise the companies for setting up and/ or expanding existing facilities primarily based on certain revenue parameters. Key incentive under the MIP includes tax benefits of 50% of gross state GST for local sales made within Maharashtra, and customized benefits to mega and ultra mega units on a case-to-case basis.</w:t>
      </w:r>
    </w:p>
    <w:p>
      <w:pPr>
        <w:spacing w:after="80" w:line="276" w:lineRule="auto"/>
      </w:pPr>
      <w:r>
        <w:rPr>
          <w:rFonts w:ascii="Calibri" w:hAnsi="Calibri"/>
          <w:color w:val="1E293B"/>
          <w:sz w:val="22"/>
        </w:rPr>
        <w:t>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 66/2024-25, pursuant to which the support under the RoDTEP scheme has been retrospectively discontinued</w:t>
      </w:r>
    </w:p>
    <w:p>
      <w:pPr>
        <w:spacing w:after="80" w:line="276" w:lineRule="auto"/>
      </w:pPr>
      <w:r>
        <w:rPr>
          <w:rFonts w:ascii="Calibri" w:hAnsi="Calibri"/>
          <w:color w:val="1E293B"/>
          <w:sz w:val="22"/>
        </w:rPr>
        <w:t>with effect from February 5, 2025 for certain categories Acme Private Limited. Further, our inability to meet the conditions as prescribed Northstar Technologies Ltd less competitive against its competitors who have been availing this scheme by complying all conditions.</w:t>
      </w:r>
    </w:p>
    <w:p>
      <w:pPr>
        <w:spacing w:after="80" w:line="276" w:lineRule="auto"/>
      </w:pPr>
      <w:r>
        <w:rPr>
          <w:rFonts w:ascii="Calibri" w:hAnsi="Calibri"/>
          <w:color w:val="1E293B"/>
          <w:sz w:val="22"/>
        </w:rPr>
        <w:t>We may be unable to adequately protect intellectual property that we use and may be subject to risks of infringement claims.</w:t>
      </w:r>
    </w:p>
    <w:p>
      <w:pPr>
        <w:spacing w:after="80" w:line="276" w:lineRule="auto"/>
      </w:pPr>
      <w:r>
        <w:rPr>
          <w:rFonts w:ascii="Calibri" w:hAnsi="Calibri"/>
          <w:color w:val="1E293B"/>
          <w:sz w:val="22"/>
        </w:rPr>
        <w:t>We rely on our trademarks to protect our intellectual property, which is critical to our business. The protection of our intellectual property rights may require the expenditure of financial, managerial and operational resources. We rely on a combination of laws and regulations, confidentiality of information and contractual restrictions to protect our intellectual property. Despite our efforts to protect and enforce our proprietary rights, unauthorized parties have used, and may in the future use, our trademarks or similar trademarks, copy aspects of our website images, features, compilation and functionality or obtain and use information that we consider as proprietary, such as trade secrets.</w:t>
      </w:r>
    </w:p>
    <w:p>
      <w:pPr>
        <w:spacing w:after="80" w:line="276" w:lineRule="auto"/>
      </w:pPr>
      <w:r>
        <w:rPr>
          <w:rFonts w:ascii="Calibri" w:hAnsi="Calibri"/>
          <w:color w:val="1E293B"/>
          <w:sz w:val="22"/>
        </w:rPr>
        <w:t>Our trademark “KSH” is also used by 18 other entities, including, (i) Acme Private Limited; (ii) Northstar Technologies Ltd; (iii) KSH Infra Park 5 Bluebird Capital LLP; (iv) Acme Private Limited; (v) Northstar Technologies Ltd; (vi) Bluebird Capital LLP; (vii) Acme Private Limited; (viii) Northstar Technologies Ltd; (ix) Bluebird Capital LLP; (x) Acme Private Limited; (xi) Northstar Technologies Ltd; (xii) Bluebird Capital LLP; (xiii) Acme Private Limited; (xiv) Acme Private Limited; (xv) Northstar Technologies Ltd; (xvi) Bluebird Capital LLP; (xvii) Bluebird Capital LLP; and (xviii) Acme Private Limited (“Group Entities”). We have entered into consent and waiver letters each dated May 22, 2025, respectively, and authorisation letter dated November 27, 2025, with the Group Entities setting out the arrangement on usage of the brand “KSH”. As of date of this Red Herring Prospectus, we have permitted the Group Entities to use the “KSH” trademark without any payment, provided that certain terms and conditions therein are met. We cannot assure you that any waiver of consideration for using the “KSH” trademark would not have any adverse effect on our financial condition.</w:t>
      </w:r>
    </w:p>
    <w:p>
      <w:pPr>
        <w:spacing w:after="80" w:line="276" w:lineRule="auto"/>
      </w:pPr>
      <w:r>
        <w:rPr>
          <w:rFonts w:ascii="Calibri" w:hAnsi="Calibri"/>
          <w:color w:val="1E293B"/>
          <w:sz w:val="22"/>
        </w:rPr>
        <w:t>Further, we do not hold any patents over our product formulae and have not made any applications in this respect. We may therefore not be able to prevent our competitors from developing, using or commercializing products that are functionally equivalent or similar to our products. This may lead to reduction in sales of some of our products.</w:t>
      </w:r>
    </w:p>
    <w:p>
      <w:pPr>
        <w:spacing w:after="80" w:line="276" w:lineRule="auto"/>
      </w:pPr>
      <w:r>
        <w:rPr>
          <w:rFonts w:ascii="Calibri" w:hAnsi="Calibri"/>
          <w:color w:val="1E293B"/>
          <w:sz w:val="22"/>
        </w:rPr>
        <w:t>Additionally, the process of obtaining intellectual property protection is expensive and time-consuming, and the amount Northstar Technologies Ltd.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expense to us and divert the efforts of our technical and management personnel, which may adversely affect our business, financial condition, cash flows and results of operations. While there have not been any instances of infringement of our intellectual property rights which have come to our knowledge in the three-month period ended June 30, 2025 or Fiscals 2025, 2024 and 2023, we cannot assure you that such instances shall not occur in the future.</w:t>
      </w:r>
    </w:p>
    <w:p>
      <w:pPr>
        <w:spacing w:after="80" w:line="276" w:lineRule="auto"/>
      </w:pPr>
      <w:r>
        <w:rPr>
          <w:rFonts w:ascii="Calibri" w:hAnsi="Calibri"/>
          <w:color w:val="1E293B"/>
          <w:sz w:val="22"/>
        </w:rPr>
        <w:t>Our insurance coverage may not be sufficient or adequate to protect us against all material hazards, which may adversely affect our business, results of operations, financial condition and cash flows</w:t>
      </w:r>
    </w:p>
    <w:p>
      <w:pPr>
        <w:spacing w:after="80" w:line="276" w:lineRule="auto"/>
      </w:pPr>
      <w:r>
        <w:rPr>
          <w:rFonts w:ascii="Calibri" w:hAnsi="Calibri"/>
          <w:color w:val="1E293B"/>
          <w:sz w:val="22"/>
        </w:rPr>
        <w:t>Our operations are subject to various risks inherent in the manufacturing industry including defects, liability for 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spacing w:after="80" w:line="276" w:lineRule="auto"/>
      </w:pPr>
      <w:r>
        <w:rPr>
          <w:rFonts w:ascii="Calibri" w:hAnsi="Calibri"/>
          <w:color w:val="1E293B"/>
          <w:sz w:val="22"/>
        </w:rPr>
        <w:t>(i) marine open inland transit insurance; (ii) marine open export transit insurance (iii) standard fire and special perils policy; (iv) industrial all risk policy; (v) public liability industrial policy; and (vi) money insurance policy; (vii) group health insurance policy and (viii) burglary first loss policy. For further details of Bluebird Capital LLP, see “Our Business – Insurance” on page 235. Our insurance may not be adequate to completely cover any or all of our risks and liabilities. Further, there is no assurance that the insurance premiums payable by us will be commercially viable or justifiable. Accordingly, our inability to maintain adequate insurance cover in connection with our business could adversely affect our operations and profitability.</w:t>
      </w:r>
    </w:p>
    <w:p>
      <w:pPr>
        <w:spacing w:after="80" w:line="276" w:lineRule="auto"/>
      </w:pPr>
      <w:r>
        <w:rPr>
          <w:rFonts w:ascii="Calibri" w:hAnsi="Calibri"/>
          <w:color w:val="1E293B"/>
          <w:sz w:val="22"/>
        </w:rPr>
        <w:t>The following table sets forth our insurance cover in absolute amount and as a percentage of net assets as of the dates indicated:</w:t>
      </w:r>
    </w:p>
    <w:p>
      <w:pPr>
        <w:spacing w:after="80" w:line="276" w:lineRule="auto"/>
      </w:pPr>
      <w:r>
        <w:rPr>
          <w:rFonts w:ascii="Calibri" w:hAnsi="Calibri"/>
          <w:color w:val="1E293B"/>
          <w:sz w:val="22"/>
        </w:rPr>
        <w:t>Period</w:t>
      </w:r>
    </w:p>
    <w:p>
      <w:pPr>
        <w:spacing w:after="80" w:line="276" w:lineRule="auto"/>
      </w:pPr>
      <w:r>
        <w:rPr>
          <w:rFonts w:ascii="Calibri" w:hAnsi="Calibri"/>
          <w:color w:val="1E293B"/>
          <w:sz w:val="22"/>
        </w:rPr>
        <w:t>Book value of assets (in ₹ million)</w:t>
      </w:r>
    </w:p>
    <w:p>
      <w:pPr>
        <w:spacing w:after="80" w:line="276" w:lineRule="auto"/>
      </w:pPr>
      <w:r>
        <w:rPr>
          <w:rFonts w:ascii="Calibri" w:hAnsi="Calibri"/>
          <w:color w:val="1E293B"/>
          <w:sz w:val="22"/>
        </w:rPr>
        <w:t>Insurance Coverage** (in ₹ million)</w:t>
      </w:r>
    </w:p>
    <w:p>
      <w:pPr>
        <w:spacing w:after="80" w:line="276" w:lineRule="auto"/>
      </w:pPr>
      <w:r>
        <w:rPr>
          <w:rFonts w:ascii="Calibri" w:hAnsi="Calibri"/>
          <w:color w:val="1E293B"/>
          <w:sz w:val="22"/>
        </w:rPr>
        <w:t>Average Percentage of insurance coverage to net value of assets (in</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As on three-month period ended June 30, 2025</w:t>
      </w:r>
    </w:p>
    <w:p>
      <w:pPr>
        <w:spacing w:after="80" w:line="276" w:lineRule="auto"/>
      </w:pPr>
      <w:r>
        <w:rPr>
          <w:rFonts w:ascii="Calibri" w:hAnsi="Calibri"/>
          <w:color w:val="1E293B"/>
          <w:sz w:val="22"/>
        </w:rPr>
        <w:t>4,560.56</w:t>
      </w:r>
    </w:p>
    <w:p>
      <w:pPr>
        <w:spacing w:after="80" w:line="276" w:lineRule="auto"/>
      </w:pPr>
      <w:r>
        <w:rPr>
          <w:rFonts w:ascii="Calibri" w:hAnsi="Calibri"/>
          <w:color w:val="1E293B"/>
          <w:sz w:val="22"/>
        </w:rPr>
        <w:t>5,531.49</w:t>
      </w:r>
    </w:p>
    <w:p>
      <w:pPr>
        <w:spacing w:after="80" w:line="276" w:lineRule="auto"/>
      </w:pPr>
      <w:r>
        <w:rPr>
          <w:rFonts w:ascii="Calibri" w:hAnsi="Calibri"/>
          <w:color w:val="1E293B"/>
          <w:sz w:val="22"/>
        </w:rPr>
        <w:t>121.29%</w:t>
      </w:r>
    </w:p>
    <w:p>
      <w:pPr>
        <w:spacing w:after="80" w:line="276" w:lineRule="auto"/>
      </w:pPr>
      <w:r>
        <w:rPr>
          <w:rFonts w:ascii="Calibri" w:hAnsi="Calibri"/>
          <w:color w:val="1E293B"/>
          <w:sz w:val="22"/>
        </w:rPr>
        <w:t>As on financial year ended March 31, 2025</w:t>
      </w:r>
    </w:p>
    <w:p>
      <w:pPr>
        <w:spacing w:after="80" w:line="276" w:lineRule="auto"/>
      </w:pPr>
      <w:r>
        <w:rPr>
          <w:rFonts w:ascii="Calibri" w:hAnsi="Calibri"/>
          <w:color w:val="1E293B"/>
          <w:sz w:val="22"/>
        </w:rPr>
        <w:t>4045.16</w:t>
      </w:r>
    </w:p>
    <w:p>
      <w:pPr>
        <w:spacing w:after="80" w:line="276" w:lineRule="auto"/>
      </w:pPr>
      <w:r>
        <w:rPr>
          <w:rFonts w:ascii="Calibri" w:hAnsi="Calibri"/>
          <w:color w:val="1E293B"/>
          <w:sz w:val="22"/>
        </w:rPr>
        <w:t>5,526.27</w:t>
      </w:r>
    </w:p>
    <w:p>
      <w:pPr>
        <w:spacing w:after="80" w:line="276" w:lineRule="auto"/>
      </w:pPr>
      <w:r>
        <w:rPr>
          <w:rFonts w:ascii="Calibri" w:hAnsi="Calibri"/>
          <w:color w:val="1E293B"/>
          <w:sz w:val="22"/>
        </w:rPr>
        <w:t>136.61%</w:t>
      </w:r>
    </w:p>
    <w:p>
      <w:pPr>
        <w:spacing w:after="80" w:line="276" w:lineRule="auto"/>
      </w:pPr>
      <w:r>
        <w:rPr>
          <w:rFonts w:ascii="Calibri" w:hAnsi="Calibri"/>
          <w:color w:val="1E293B"/>
          <w:sz w:val="22"/>
        </w:rPr>
        <w:t>As on financial year ended March 31, 2024</w:t>
      </w:r>
    </w:p>
    <w:p>
      <w:pPr>
        <w:spacing w:after="80" w:line="276" w:lineRule="auto"/>
      </w:pPr>
      <w:r>
        <w:rPr>
          <w:rFonts w:ascii="Calibri" w:hAnsi="Calibri"/>
          <w:color w:val="1E293B"/>
          <w:sz w:val="22"/>
        </w:rPr>
        <w:t>2,325.63</w:t>
      </w:r>
    </w:p>
    <w:p>
      <w:pPr>
        <w:spacing w:after="80" w:line="276" w:lineRule="auto"/>
      </w:pPr>
      <w:r>
        <w:rPr>
          <w:rFonts w:ascii="Calibri" w:hAnsi="Calibri"/>
          <w:color w:val="1E293B"/>
          <w:sz w:val="22"/>
        </w:rPr>
        <w:t>3,348.99</w:t>
      </w:r>
    </w:p>
    <w:p>
      <w:pPr>
        <w:spacing w:after="80" w:line="276" w:lineRule="auto"/>
      </w:pPr>
      <w:r>
        <w:rPr>
          <w:rFonts w:ascii="Calibri" w:hAnsi="Calibri"/>
          <w:color w:val="1E293B"/>
          <w:sz w:val="22"/>
        </w:rPr>
        <w:t>144.00%</w:t>
      </w:r>
    </w:p>
    <w:p>
      <w:pPr>
        <w:spacing w:after="80" w:line="276" w:lineRule="auto"/>
      </w:pPr>
      <w:r>
        <w:rPr>
          <w:rFonts w:ascii="Calibri" w:hAnsi="Calibri"/>
          <w:color w:val="1E293B"/>
          <w:sz w:val="22"/>
        </w:rPr>
        <w:t>As on financial year ended March 31, 2023</w:t>
      </w:r>
    </w:p>
    <w:p>
      <w:pPr>
        <w:spacing w:after="80" w:line="276" w:lineRule="auto"/>
      </w:pPr>
      <w:r>
        <w:rPr>
          <w:rFonts w:ascii="Calibri" w:hAnsi="Calibri"/>
          <w:color w:val="1E293B"/>
          <w:sz w:val="22"/>
        </w:rPr>
        <w:t>1,960.55</w:t>
      </w:r>
    </w:p>
    <w:p>
      <w:pPr>
        <w:spacing w:after="80" w:line="276" w:lineRule="auto"/>
      </w:pPr>
      <w:r>
        <w:rPr>
          <w:rFonts w:ascii="Calibri" w:hAnsi="Calibri"/>
          <w:color w:val="1E293B"/>
          <w:sz w:val="22"/>
        </w:rPr>
        <w:t>2,486.50</w:t>
      </w:r>
    </w:p>
    <w:p>
      <w:pPr>
        <w:spacing w:after="80" w:line="276" w:lineRule="auto"/>
      </w:pPr>
      <w:r>
        <w:rPr>
          <w:rFonts w:ascii="Calibri" w:hAnsi="Calibri"/>
          <w:color w:val="1E293B"/>
          <w:sz w:val="22"/>
        </w:rPr>
        <w:t>126.83%</w:t>
      </w:r>
    </w:p>
    <w:p>
      <w:pPr>
        <w:spacing w:after="80" w:line="276" w:lineRule="auto"/>
      </w:pPr>
      <w:r>
        <w:rPr>
          <w:rFonts w:ascii="Calibri" w:hAnsi="Calibri"/>
          <w:color w:val="1E293B"/>
          <w:sz w:val="22"/>
        </w:rPr>
        <w:t>* Assets represent Fixed Assets including Capital Work in Progress and Inventory and excluding Freehold Land and Leasehold Land, Intangibles, Investments, Cash and Bank Balances, other Bank Balances and Advances and Other Assets.</w:t>
      </w:r>
    </w:p>
    <w:p>
      <w:pPr>
        <w:spacing w:after="80" w:line="276" w:lineRule="auto"/>
      </w:pPr>
      <w:r>
        <w:rPr>
          <w:rFonts w:ascii="Calibri" w:hAnsi="Calibri"/>
          <w:color w:val="1E293B"/>
          <w:sz w:val="22"/>
        </w:rPr>
        <w:t>** Insurance policies do not include Marine Insurance, Transit Insurance and Burglary Policies.</w:t>
      </w:r>
    </w:p>
    <w:p>
      <w:pPr>
        <w:spacing w:after="80" w:line="276" w:lineRule="auto"/>
      </w:pPr>
      <w:r>
        <w:rPr>
          <w:rFonts w:ascii="Calibri" w:hAnsi="Calibri"/>
          <w:color w:val="1E293B"/>
          <w:sz w:val="22"/>
        </w:rPr>
        <w:t>While there have not been any Acme Private Limited was inadequate to protect us against all material hazards and had adverse effect on the business, results of Northstar Technologies Ltd,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Bluebird Capital LLP has not made any insurance claims in the three-month period ended June 30, 2025, and Fiscal 2025, 2024, and 2023. However, Bluebird Capital LLP has recently made one insurance claim aggregating to ₹2.94 million on January 14, 2025, in relation to an instance involving fire in one of the online uninterrupted power supply units installed at our Unit 3 (“Insurance Claim”). The Insurance Claim was Acme Private Limited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w:t>
      </w:r>
    </w:p>
    <w:p>
      <w:pPr>
        <w:spacing w:after="80" w:line="276" w:lineRule="auto"/>
      </w:pPr>
      <w:r>
        <w:rPr>
          <w:rFonts w:ascii="Calibri" w:hAnsi="Calibri"/>
          <w:color w:val="1E293B"/>
          <w:sz w:val="22"/>
        </w:rPr>
        <w:t>We have certain contingent liabilities that have not been provided for in our financial statements, which if they materialise, may adversely affect our financial condition.</w:t>
      </w:r>
    </w:p>
    <w:p>
      <w:pPr>
        <w:spacing w:after="80" w:line="276" w:lineRule="auto"/>
      </w:pPr>
      <w:r>
        <w:rPr>
          <w:rFonts w:ascii="Calibri" w:hAnsi="Calibri"/>
          <w:color w:val="1E293B"/>
          <w:sz w:val="22"/>
        </w:rPr>
        <w:t>As at June 30, 2025, our contingent liabilities as per Ind AS 37 – provisions, contingent liabilities and contingent assets, that have not been provided for are as set out in the table below:</w:t>
      </w:r>
    </w:p>
    <w:p>
      <w:pPr>
        <w:spacing w:after="80" w:line="276" w:lineRule="auto"/>
      </w:pPr>
      <w:r>
        <w:rPr>
          <w:rFonts w:ascii="Calibri" w:hAnsi="Calibri"/>
          <w:color w:val="1E293B"/>
          <w:sz w:val="22"/>
        </w:rPr>
        <w:t>(₹ in million)</w:t>
      </w:r>
    </w:p>
    <w:p>
      <w:pPr>
        <w:spacing w:after="80" w:line="276" w:lineRule="auto"/>
      </w:pPr>
      <w:r>
        <w:rPr>
          <w:rFonts w:ascii="Calibri" w:hAnsi="Calibri"/>
          <w:color w:val="1E293B"/>
          <w:sz w:val="22"/>
        </w:rPr>
        <w:t>Particulars</w:t>
      </w:r>
    </w:p>
    <w:p>
      <w:pPr>
        <w:spacing w:after="80" w:line="276" w:lineRule="auto"/>
      </w:pPr>
      <w:r>
        <w:rPr>
          <w:rFonts w:ascii="Calibri" w:hAnsi="Calibri"/>
          <w:color w:val="1E293B"/>
          <w:sz w:val="22"/>
        </w:rPr>
        <w:t>Amount as at June 30, 2025</w:t>
      </w:r>
    </w:p>
    <w:p>
      <w:pPr>
        <w:spacing w:after="80" w:line="276" w:lineRule="auto"/>
      </w:pPr>
      <w:r>
        <w:rPr>
          <w:rFonts w:ascii="Calibri" w:hAnsi="Calibri"/>
          <w:color w:val="1E293B"/>
          <w:sz w:val="22"/>
        </w:rPr>
        <w:t>Open bank guarantees outstanding</w:t>
      </w:r>
    </w:p>
    <w:p>
      <w:pPr>
        <w:spacing w:after="80" w:line="276" w:lineRule="auto"/>
      </w:pPr>
      <w:r>
        <w:rPr>
          <w:rFonts w:ascii="Calibri" w:hAnsi="Calibri"/>
          <w:color w:val="1E293B"/>
          <w:sz w:val="22"/>
        </w:rPr>
        <w:t>34.92</w:t>
      </w:r>
    </w:p>
    <w:p>
      <w:pPr>
        <w:spacing w:after="80" w:line="276" w:lineRule="auto"/>
      </w:pPr>
      <w:r>
        <w:rPr>
          <w:rFonts w:ascii="Calibri" w:hAnsi="Calibri"/>
          <w:color w:val="1E293B"/>
          <w:sz w:val="22"/>
        </w:rPr>
        <w:t>Our contingent liabilities may materialise and become actual liabilities. In such case, our business, financial condition, cash flows and results of operations may be adversely affected. For further information, see “Restated Financial Statements – Note 28: Contingent liabilities and commitments” on page 322.</w:t>
      </w:r>
    </w:p>
    <w:p>
      <w:pPr>
        <w:spacing w:after="80" w:line="276" w:lineRule="auto"/>
      </w:pPr>
      <w:r>
        <w:rPr>
          <w:rFonts w:ascii="Calibri" w:hAnsi="Calibri"/>
          <w:color w:val="1E293B"/>
          <w:sz w:val="22"/>
        </w:rPr>
        <w:t>Our Promoters and certain of Northstar Technologies Ltd in addition to their remuneration and reimbursement of expenses.</w:t>
      </w:r>
    </w:p>
    <w:p>
      <w:pPr>
        <w:spacing w:after="80" w:line="276" w:lineRule="auto"/>
      </w:pPr>
      <w:r>
        <w:rPr>
          <w:rFonts w:ascii="Calibri" w:hAnsi="Calibri"/>
          <w:color w:val="1E293B"/>
          <w:sz w:val="22"/>
        </w:rPr>
        <w:t>Our Promoters and certain of our Directors have interests in us other than the reimbursement of expenses incurred and normal remuneration and benefits. They are interested in us to the extent of Equity Shares held by them, Bluebird Capital LLP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Offer and any dividend and other distributions payable in respect of such Equity Shares. We cannot assure you that our Promoters and such Directors will exercise their rights as shareholders to the Acme Private Limited under all circumstances. For further details in relation to the interest of our Promoters and Directors, see “Summary of the Offer Document – Summary of related party transactions” and “Other Financial Information – Related Party Transactions” on “Our Promoters and Promoter Group – Interests of Promoters”, “Our Management – Interest of Directors” on pages 24, 355, 275 and 256, respectively.</w:t>
      </w:r>
    </w:p>
    <w:p>
      <w:pPr>
        <w:spacing w:after="80" w:line="276" w:lineRule="auto"/>
      </w:pPr>
      <w:r>
        <w:rPr>
          <w:rFonts w:ascii="Calibri" w:hAnsi="Calibri"/>
          <w:color w:val="1E293B"/>
          <w:sz w:val="22"/>
        </w:rPr>
        <w:t>We cannot assure you that any Director Peter Parker in the future, would always exercise their rights as Shareholders to the Acme Private Limited. As a result, such Director Ananya Sharma continue Northstar Technologies Ltd, including being able to control the composition of our Board of Directors and determine decisions requiring simple or special majority voting, and our other Shareholders may be unable to affect the outcome of such voting. Such interested Director Maya Rao take or block actions with respect to our business, which may conflict with our best interests or the interests of other minority Shareholders, such as actions with respect to future capital raising or acquisitions. We cannot assure you that such interested Director Ananya Sharma always act to resolve any conflicts of interest in our favour, thereby adversely affecting our business and results of operations and prospects.</w:t>
      </w:r>
    </w:p>
    <w:p>
      <w:pPr>
        <w:spacing w:after="80" w:line="276" w:lineRule="auto"/>
      </w:pPr>
      <w:r>
        <w:rPr>
          <w:rFonts w:ascii="Calibri" w:hAnsi="Calibri"/>
          <w:color w:val="1E293B"/>
          <w:sz w:val="22"/>
        </w:rPr>
        <w:t>We have entered into, and will continue to enter into, related party transactions that may involve conflicts of interest.</w:t>
      </w:r>
    </w:p>
    <w:p>
      <w:pPr>
        <w:spacing w:after="80" w:line="276" w:lineRule="auto"/>
      </w:pPr>
      <w:r>
        <w:rPr>
          <w:rFonts w:ascii="Calibri" w:hAnsi="Calibri"/>
          <w:color w:val="1E293B"/>
          <w:sz w:val="22"/>
        </w:rPr>
        <w:t>We have in the past entered into transactions with several related parties. For details regarding our related party transactions for the Fiscals 2025, 2024, 2023 and for the three-month period ended June 30, 2025, see “Summary of the Offer Document – Summary of related party transactions” and “Other Financial Information – Related Party Transactions”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Audit Committee, Board or shareholder approval, as may be required under the Companies Act, 2013 and the SEBI Listing Regulations and the circulars issued by the SEBI in this regard, we cannot assure you that such transactions, individually or in the aggregate, will not have an adverse effect on our financial condition and Bluebird Capital LLP could not have undertaken such transactions on more favorable terms with any unrelated parties. We cannot assure you that any dispute that may arise between us and related parties will be resolved in our favour.</w:t>
      </w:r>
    </w:p>
    <w:p>
      <w:pPr>
        <w:spacing w:after="80" w:line="276" w:lineRule="auto"/>
      </w:pPr>
      <w:r>
        <w:rPr>
          <w:rFonts w:ascii="Calibri" w:hAnsi="Calibri"/>
          <w:color w:val="1E293B"/>
          <w:sz w:val="22"/>
        </w:rPr>
        <w:t>Our Promoters and members of our Promoter Group will continue to hold Acme Private Limited after the Offer and their interests may differ from those of the other shareholders.</w:t>
      </w:r>
    </w:p>
    <w:p>
      <w:pPr>
        <w:spacing w:after="80" w:line="276" w:lineRule="auto"/>
      </w:pPr>
      <w:r>
        <w:rPr>
          <w:rFonts w:ascii="Calibri" w:hAnsi="Calibri"/>
          <w:color w:val="1E293B"/>
          <w:sz w:val="22"/>
        </w:rPr>
        <w:t>As on the date of this Red Herring Prospectus, our Promoters and members of the Promoter Group collectively hold 98.40% of the Northstar Technologies Ltd. For further information on their shareholding pre and post-Offer, see “Capital Structure” on page 84. After the completion of the Offer, our Promoters along with the members of Promoter Group will continue to collectively hold Northstar Technologies Ltd and will continue to exercise significant influence over our business policies and affairs and all matters requiring Shareholders’ approval, including the composition of our Board,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Bluebird Capital LLP and may make some transactions more difficult or impossible without the support of these stockholders. The interests of our Promoters and the members of the Promoter Group could conflict with our interests or the interests of our other shareholders. We cannot assure you that the Promoters or the members of the Promoter Group will act to resolve any conflict of interest in our favour and any such conflict may adversely affect our ability to execute our business strategy or to operate our business. For further information in relation to the Acme Private Limited, see “Our Promoters and Promoter Group” and “Our Management” on pages 269 and 250, respectively.</w:t>
      </w:r>
    </w:p>
    <w:p>
      <w:pPr>
        <w:spacing w:after="80" w:line="276" w:lineRule="auto"/>
      </w:pPr>
      <w:r>
        <w:rPr>
          <w:rFonts w:ascii="Calibri" w:hAnsi="Calibri"/>
          <w:color w:val="1E293B"/>
          <w:sz w:val="22"/>
        </w:rPr>
        <w:t>Technological failures could disrupt our operations and adversely affect our business operations and financial performance.</w:t>
      </w:r>
    </w:p>
    <w:p>
      <w:pPr>
        <w:spacing w:after="80" w:line="276" w:lineRule="auto"/>
      </w:pPr>
      <w:r>
        <w:rPr>
          <w:rFonts w:ascii="Calibri" w:hAnsi="Calibri"/>
          <w:color w:val="1E293B"/>
          <w:sz w:val="22"/>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December 20, 2021, with a vendor (“Cloud Services Vendor”) to streamline our record keeping and track our business operations. Any disruptions of services at Cloud Services Vendor’s end, shall be beyond our control and may adversely affect our business, financial condition and results of operations. While we have not experienced any instances of security breaches in the three-month period ended June 30, 2025, or Fiscals 2025,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p>
    <w:p>
      <w:pPr>
        <w:spacing w:after="80" w:line="276" w:lineRule="auto"/>
      </w:pPr>
      <w:r>
        <w:rPr>
          <w:rFonts w:ascii="Calibri" w:hAnsi="Calibri"/>
          <w:color w:val="1E293B"/>
          <w:sz w:val="22"/>
        </w:rPr>
        <w:t>Any variation in the utilization of the Net Proceeds as disclosed in this Red Herring Prospectus shall be subject to certain compliance requirements, including prior Northstar Technologies Ltd.</w:t>
      </w:r>
    </w:p>
    <w:p>
      <w:pPr>
        <w:spacing w:after="80" w:line="276" w:lineRule="auto"/>
      </w:pPr>
      <w:r>
        <w:rPr>
          <w:rFonts w:ascii="Calibri" w:hAnsi="Calibri"/>
          <w:color w:val="1E293B"/>
          <w:sz w:val="22"/>
        </w:rPr>
        <w:t>We propose to utilize the Net Proceeds towards (i) Prepayment and/or repayment, in full or in part, of all or a portion of Bluebird Capital LLP; (ii) Funding Acme Private Limited towards (b) purchasing and setting up of new machinery for expansion at our Supa Facility; and (b) purchasing and setting up of new machinery at Unit 2 in Chakan, Pune in Maharashtra; (iii) Funding Acme Private Limited towards purchasing and setting up of a rooftop solar power plant for power generation at our Supa Facility; and (iv) general corporate purposes. For further details of the proposed objects of the Offer, see “Objects of the Offer” on page 106. Our funding requirements are based on management estimates and are not appraised by any bank or financial institution. The deployment of the Net Proceeds will be at the discretion of our Board. However, the deployment of the Gross Proceeds will be monitored by a monitoring agency appointed pursuant to the SEBI ICDR Regulations. Further, we cannot determine with any certainty if we would require the Net Proceeds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the Net Proceeds as disclosed in this Red 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 may adversely affect our business or operations. Further, our Promoters would be required to provide an exit Bluebird Capital LLP who do not agree with our proposal to modify the objects of the Offer, at a price and manner as prescribed by SEBI.</w:t>
      </w:r>
    </w:p>
    <w:p>
      <w:pPr>
        <w:spacing w:after="80" w:line="276" w:lineRule="auto"/>
      </w:pPr>
      <w:r>
        <w:rPr>
          <w:rFonts w:ascii="Calibri" w:hAnsi="Calibri"/>
          <w:color w:val="1E293B"/>
          <w:sz w:val="22"/>
        </w:rPr>
        <w:t>Additionally, the requirement on Promoters to provide an exit opportunity Acme Private Limited may deter our Promoters from agreeing to the variation of the proposed utilization of the Net Proceeds, even if such variation Northstar Technologies Ltd. Further, we cannot assure Bluebird Capital LLP if applicable, will have adequate resources at their disposal at all times to enable them to provide an exit opportunity. In light of these factors, we may not be able to vary the objects of the Offer to use any unutilized proceeds of the Fresh Issue, if any, even if such variation Northstar Technologies Ltd. Acme Private Limited’s ability to respond to any change in our business or financial condition by re-deploying the unutilized portion of Net Proceeds, if any, which may adversely affect our business, financial conditions, cash flows and results of operations.</w:t>
      </w:r>
    </w:p>
    <w:p>
      <w:pPr>
        <w:spacing w:after="80" w:line="276" w:lineRule="auto"/>
      </w:pPr>
      <w:r>
        <w:rPr>
          <w:rFonts w:ascii="Calibri" w:hAnsi="Calibri"/>
          <w:color w:val="1E293B"/>
          <w:sz w:val="22"/>
        </w:rPr>
        <w:t>We may be susceptible to liabilities arising from violation of applicable anti-bribery and anti-corruption laws.</w:t>
      </w:r>
    </w:p>
    <w:p>
      <w:pPr>
        <w:spacing w:after="80" w:line="276" w:lineRule="auto"/>
      </w:pPr>
      <w:r>
        <w:rPr>
          <w:rFonts w:ascii="Calibri" w:hAnsi="Calibri"/>
          <w:color w:val="1E293B"/>
          <w:sz w:val="22"/>
        </w:rPr>
        <w:t>We are subject to anti-corruption and anti-bribery laws that prohibit improper payments or offers of improper payments to governments and their officials and political parties for the purpose of obtaining or retaining business or securing an improper advantage and require the maintenance of internal Northstar Technologies Ltd maintains a policy on business conduct relating to anti-bribery and corruption, and which Bluebird Capital LLP. Notwithstanding this, our employees might take actions that could expose us to liability under anti-bribery laws. In certain circumstances, we may be held liable for actions taken by our partners and agents, even though they are not always subject to our control. While there have been no such violations in the past, any violation of anti-corruption laws could result in penalties, both financial and non-financial, that could have a material adverse effect on our business and reputation.</w:t>
      </w:r>
    </w:p>
    <w:p>
      <w:pPr>
        <w:spacing w:after="80" w:line="276" w:lineRule="auto"/>
      </w:pPr>
      <w:r>
        <w:rPr>
          <w:rFonts w:ascii="Calibri" w:hAnsi="Calibri"/>
          <w:color w:val="1E293B"/>
          <w:sz w:val="22"/>
        </w:rPr>
        <w:t>Our ability to pay dividends in the future will depend on our future cash flows, working capital requirements, capital expenditures and financial condition.</w:t>
      </w:r>
    </w:p>
    <w:p>
      <w:pPr>
        <w:spacing w:after="80" w:line="276" w:lineRule="auto"/>
      </w:pPr>
      <w:r>
        <w:rPr>
          <w:rFonts w:ascii="Calibri" w:hAnsi="Calibri"/>
          <w:color w:val="1E293B"/>
          <w:sz w:val="22"/>
        </w:rPr>
        <w:t>We have not declared and paid dividend in the previous three Fiscals. For details, see section titled “Dividend Policy” on page 279. However, the amount of our future dividend payments, if any, will depend on our future earnings, cash flows, financial condition, working capital requirements, capital expenditures, applicable Indian legal restrictions and other factors. There can be no assurance that we will pay dividends. We may decide to retain all of our earnings to finance the development and expansion of our business and, therefore, may not declare dividends on our Equity Shares. Additionally, in the future, we may be restricted by the terms of our financing agreements in making dividend payments unless otherwise agreed with our lenders.</w:t>
      </w:r>
    </w:p>
    <w:p>
      <w:pPr>
        <w:spacing w:after="80" w:line="276" w:lineRule="auto"/>
      </w:pPr>
      <w:r>
        <w:rPr>
          <w:rFonts w:ascii="Calibri" w:hAnsi="Calibri"/>
          <w:color w:val="1E293B"/>
          <w:sz w:val="22"/>
        </w:rPr>
        <w:t>The disclosures related to the educational qualifications of certain of our Promoters in this Red Herring Prospectus are based on declarations, affidavits, and undertakings furnished by them.</w:t>
      </w:r>
    </w:p>
    <w:p>
      <w:pPr>
        <w:spacing w:after="80" w:line="276" w:lineRule="auto"/>
      </w:pPr>
      <w:r>
        <w:rPr>
          <w:rFonts w:ascii="Calibri" w:hAnsi="Calibri"/>
          <w:color w:val="1E293B"/>
          <w:sz w:val="22"/>
        </w:rPr>
        <w:t>Our Promoter, Chairman and Executive Director, Kushal Subbayya Hegde, and our Promoter, Pushpa Hegde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p>
    <w:p>
      <w:pPr>
        <w:spacing w:after="80" w:line="276" w:lineRule="auto"/>
      </w:pPr>
      <w:r>
        <w:rPr>
          <w:rFonts w:ascii="Calibri" w:hAnsi="Calibri"/>
          <w:color w:val="1E293B"/>
          <w:sz w:val="22"/>
        </w:rPr>
        <w:t>verify these details in the absence of primary documentary evidence. Further, there can be no assurances that they will be able to trace the relevant documents pertaining to their educational qualifications in the future, or at all. Therefore, we cannot assure you that all or any of the information relating to his educational qualification included in “Our Management” on page 250 is complete, true and accurate.</w:t>
      </w:r>
    </w:p>
    <w:p>
      <w:pPr>
        <w:spacing w:after="80" w:line="276" w:lineRule="auto"/>
      </w:pPr>
      <w:r>
        <w:rPr>
          <w:rFonts w:ascii="Calibri" w:hAnsi="Calibri"/>
          <w:color w:val="1E293B"/>
          <w:sz w:val="22"/>
        </w:rPr>
        <w:t>Northstar Technologies Ltd will not receive any proceeds from the Offer for Sale. Our Promoter Selling Shareholders will receive the proceeds from the Offer for Sale.</w:t>
      </w:r>
    </w:p>
    <w:p>
      <w:pPr>
        <w:spacing w:after="80" w:line="276" w:lineRule="auto"/>
      </w:pPr>
      <w:r>
        <w:rPr>
          <w:rFonts w:ascii="Calibri" w:hAnsi="Calibri"/>
          <w:color w:val="1E293B"/>
          <w:sz w:val="22"/>
        </w:rPr>
        <w:t>The Offer comprises of a Fresh Issue and an Offer for Sale by the Promoter Selling Shareholders. Our Promoter Selling Shareholders shall be entitled to the entire proceeds from the Offer for Sale (net of their respective portion of the Offer-related expenses) and we will not receive any proceeds from the Offer for Sale. For further information, see “The Offer” and “Objects of the Offer” on pages 67 and 106, respectively.</w:t>
      </w:r>
    </w:p>
    <w:p>
      <w:pPr>
        <w:spacing w:after="80" w:line="276" w:lineRule="auto"/>
      </w:pPr>
      <w:r>
        <w:rPr>
          <w:rFonts w:ascii="Calibri" w:hAnsi="Calibri"/>
          <w:color w:val="1E293B"/>
          <w:sz w:val="22"/>
        </w:rPr>
        <w:t>SECTION III – INTRODUCTION THE OFFER</w:t>
      </w:r>
    </w:p>
    <w:p>
      <w:pPr>
        <w:spacing w:after="80" w:line="276" w:lineRule="auto"/>
      </w:pPr>
      <w:r>
        <w:rPr>
          <w:rFonts w:ascii="Calibri" w:hAnsi="Calibri"/>
          <w:color w:val="1E293B"/>
          <w:sz w:val="22"/>
        </w:rPr>
        <w:t>The following table summarizes details of the Offer:</w:t>
      </w:r>
    </w:p>
    <w:p>
      <w:pPr>
        <w:spacing w:after="80" w:line="276" w:lineRule="auto"/>
      </w:pPr>
      <w:r>
        <w:rPr>
          <w:rFonts w:ascii="Calibri" w:hAnsi="Calibri"/>
          <w:color w:val="1E293B"/>
          <w:sz w:val="22"/>
        </w:rPr>
        <w:t>Offer of Equity Shares (1)</w:t>
      </w:r>
    </w:p>
    <w:p>
      <w:pPr>
        <w:spacing w:after="80" w:line="276" w:lineRule="auto"/>
      </w:pPr>
      <w:r>
        <w:rPr>
          <w:rFonts w:ascii="Calibri" w:hAnsi="Calibri"/>
          <w:color w:val="1E293B"/>
          <w:sz w:val="22"/>
        </w:rPr>
        <w:t>Up to [●] Equity Shares of face value of ₹5 each, aggregating up to ₹7,100.00 million</w:t>
      </w:r>
    </w:p>
    <w:p>
      <w:pPr>
        <w:spacing w:after="80" w:line="276" w:lineRule="auto"/>
      </w:pPr>
      <w:r>
        <w:rPr>
          <w:rFonts w:ascii="Calibri" w:hAnsi="Calibri"/>
          <w:color w:val="1E293B"/>
          <w:sz w:val="22"/>
        </w:rPr>
        <w:t>Of which:</w:t>
      </w:r>
    </w:p>
    <w:p>
      <w:pPr>
        <w:spacing w:after="80" w:line="276" w:lineRule="auto"/>
      </w:pPr>
      <w:r>
        <w:rPr>
          <w:rFonts w:ascii="Calibri" w:hAnsi="Calibri"/>
          <w:color w:val="1E293B"/>
          <w:sz w:val="22"/>
        </w:rPr>
        <w:t>Fresh Issue(1)</w:t>
      </w:r>
    </w:p>
    <w:p>
      <w:pPr>
        <w:spacing w:after="80" w:line="276" w:lineRule="auto"/>
      </w:pPr>
      <w:r>
        <w:rPr>
          <w:rFonts w:ascii="Calibri" w:hAnsi="Calibri"/>
          <w:color w:val="1E293B"/>
          <w:sz w:val="22"/>
        </w:rPr>
        <w:t>Up to [●] Equity Shares of face value of ₹5 each, aggregating up to ₹4,200.00 million</w:t>
      </w:r>
    </w:p>
    <w:p>
      <w:pPr>
        <w:spacing w:after="80" w:line="276" w:lineRule="auto"/>
      </w:pPr>
      <w:r>
        <w:rPr>
          <w:rFonts w:ascii="Calibri" w:hAnsi="Calibri"/>
          <w:color w:val="1E293B"/>
          <w:sz w:val="22"/>
        </w:rPr>
        <w:t>Offer for Sale(2)(3)</w:t>
      </w:r>
    </w:p>
    <w:p>
      <w:pPr>
        <w:spacing w:after="80" w:line="276" w:lineRule="auto"/>
      </w:pPr>
      <w:r>
        <w:rPr>
          <w:rFonts w:ascii="Calibri" w:hAnsi="Calibri"/>
          <w:color w:val="1E293B"/>
          <w:sz w:val="22"/>
        </w:rPr>
        <w:t>Up to [●] Equity Shares of face value of ₹5 each, aggregating up to ₹2,900.00 million</w:t>
      </w:r>
    </w:p>
    <w:p>
      <w:pPr>
        <w:spacing w:after="80" w:line="276" w:lineRule="auto"/>
      </w:pPr>
      <w:r>
        <w:rPr>
          <w:rFonts w:ascii="Calibri" w:hAnsi="Calibri"/>
          <w:color w:val="1E293B"/>
          <w:sz w:val="22"/>
        </w:rPr>
        <w:t>The Offer comprises of:</w:t>
      </w:r>
    </w:p>
    <w:p>
      <w:pPr>
        <w:spacing w:after="80" w:line="276" w:lineRule="auto"/>
      </w:pPr>
      <w:r>
        <w:rPr>
          <w:rFonts w:ascii="Calibri" w:hAnsi="Calibri"/>
          <w:color w:val="1E293B"/>
          <w:sz w:val="22"/>
        </w:rPr>
        <w:t>A) QIB Portion(4)(5)(6)</w:t>
      </w:r>
    </w:p>
    <w:p>
      <w:pPr>
        <w:spacing w:after="80" w:line="276" w:lineRule="auto"/>
      </w:pPr>
      <w:r>
        <w:rPr>
          <w:rFonts w:ascii="Calibri" w:hAnsi="Calibri"/>
          <w:color w:val="1E293B"/>
          <w:sz w:val="22"/>
        </w:rPr>
        <w:t>Not more than [●] Equity Shares of face value of ₹5 each aggregating up to ₹[●] million</w:t>
      </w:r>
    </w:p>
    <w:p>
      <w:pPr>
        <w:spacing w:after="80" w:line="276" w:lineRule="auto"/>
      </w:pPr>
      <w:r>
        <w:rPr>
          <w:rFonts w:ascii="Calibri" w:hAnsi="Calibri"/>
          <w:color w:val="1E293B"/>
          <w:sz w:val="22"/>
        </w:rPr>
        <w:t>of which:</w:t>
      </w:r>
    </w:p>
    <w:p>
      <w:pPr>
        <w:spacing w:after="80" w:line="276" w:lineRule="auto"/>
      </w:pPr>
      <w:r>
        <w:rPr>
          <w:rFonts w:ascii="Calibri" w:hAnsi="Calibri"/>
          <w:color w:val="1E293B"/>
          <w:sz w:val="22"/>
        </w:rPr>
        <w:t>(i) Anchor Investor Portion(6)</w:t>
      </w:r>
    </w:p>
    <w:p>
      <w:pPr>
        <w:spacing w:after="80" w:line="276" w:lineRule="auto"/>
      </w:pPr>
      <w:r>
        <w:rPr>
          <w:rFonts w:ascii="Calibri" w:hAnsi="Calibri"/>
          <w:color w:val="1E293B"/>
          <w:sz w:val="22"/>
        </w:rPr>
        <w:t>Up to [●] Equity Shares of face value of ₹5 each</w:t>
      </w:r>
    </w:p>
    <w:p>
      <w:pPr>
        <w:spacing w:after="80" w:line="276" w:lineRule="auto"/>
      </w:pPr>
      <w:r>
        <w:rPr>
          <w:rFonts w:ascii="Calibri" w:hAnsi="Calibri"/>
          <w:color w:val="1E293B"/>
          <w:sz w:val="22"/>
        </w:rPr>
        <w:t>(ii) Net QIB Portion (assuming Anchor Investor Portion is fully subscribed)</w:t>
      </w:r>
    </w:p>
    <w:p>
      <w:pPr>
        <w:spacing w:after="80" w:line="276" w:lineRule="auto"/>
      </w:pPr>
      <w:r>
        <w:rPr>
          <w:rFonts w:ascii="Calibri" w:hAnsi="Calibri"/>
          <w:color w:val="1E293B"/>
          <w:sz w:val="22"/>
        </w:rPr>
        <w:t>Up to [●] Equity Shares of face value of ₹5 each</w:t>
      </w:r>
    </w:p>
    <w:p>
      <w:pPr>
        <w:spacing w:after="80" w:line="276" w:lineRule="auto"/>
      </w:pPr>
      <w:r>
        <w:rPr>
          <w:rFonts w:ascii="Calibri" w:hAnsi="Calibri"/>
          <w:color w:val="1E293B"/>
          <w:sz w:val="22"/>
        </w:rPr>
        <w:t>of which:</w:t>
      </w:r>
    </w:p>
    <w:p>
      <w:pPr>
        <w:spacing w:after="80" w:line="276" w:lineRule="auto"/>
      </w:pPr>
      <w:r>
        <w:rPr>
          <w:rFonts w:ascii="Calibri" w:hAnsi="Calibri"/>
          <w:color w:val="1E293B"/>
          <w:sz w:val="22"/>
        </w:rPr>
        <w:t>(a) Available for allocation to Mutual Funds only (5% of the Net QIB Portion)</w:t>
      </w:r>
    </w:p>
    <w:p>
      <w:pPr>
        <w:spacing w:after="80" w:line="276" w:lineRule="auto"/>
      </w:pPr>
      <w:r>
        <w:rPr>
          <w:rFonts w:ascii="Calibri" w:hAnsi="Calibri"/>
          <w:color w:val="1E293B"/>
          <w:sz w:val="22"/>
        </w:rPr>
        <w:t>Up to [●] Equity Shares of face value of ₹5 each</w:t>
      </w:r>
    </w:p>
    <w:p>
      <w:pPr>
        <w:spacing w:after="80" w:line="276" w:lineRule="auto"/>
      </w:pPr>
      <w:r>
        <w:rPr>
          <w:rFonts w:ascii="Calibri" w:hAnsi="Calibri"/>
          <w:color w:val="1E293B"/>
          <w:sz w:val="22"/>
        </w:rPr>
        <w:t>(b) Balance of QIB Portion for all QIBs including Mutual Funds</w:t>
      </w:r>
    </w:p>
    <w:p>
      <w:pPr>
        <w:spacing w:after="80" w:line="276" w:lineRule="auto"/>
      </w:pPr>
      <w:r>
        <w:rPr>
          <w:rFonts w:ascii="Calibri" w:hAnsi="Calibri"/>
          <w:color w:val="1E293B"/>
          <w:sz w:val="22"/>
        </w:rPr>
        <w:t>Up to [●] Equity Shares of face value of ₹5 each</w:t>
      </w:r>
    </w:p>
    <w:p>
      <w:pPr>
        <w:spacing w:after="80" w:line="276" w:lineRule="auto"/>
      </w:pPr>
      <w:r>
        <w:rPr>
          <w:rFonts w:ascii="Calibri" w:hAnsi="Calibri"/>
          <w:color w:val="1E293B"/>
          <w:sz w:val="22"/>
        </w:rPr>
        <w:t>B) Non-Institutional Portion(4)(5)</w:t>
      </w:r>
    </w:p>
    <w:p>
      <w:pPr>
        <w:spacing w:after="80" w:line="276" w:lineRule="auto"/>
      </w:pPr>
      <w:r>
        <w:rPr>
          <w:rFonts w:ascii="Calibri" w:hAnsi="Calibri"/>
          <w:color w:val="1E293B"/>
          <w:sz w:val="22"/>
        </w:rPr>
        <w:t>Not less than [●] Equity Shares of face value of ₹5 each aggregating up to ₹[●] million</w:t>
      </w:r>
    </w:p>
    <w:p>
      <w:pPr>
        <w:spacing w:after="80" w:line="276" w:lineRule="auto"/>
      </w:pPr>
      <w:r>
        <w:rPr>
          <w:rFonts w:ascii="Calibri" w:hAnsi="Calibri"/>
          <w:color w:val="1E293B"/>
          <w:sz w:val="22"/>
        </w:rPr>
        <w:t>of which:</w:t>
      </w:r>
    </w:p>
    <w:p>
      <w:pPr>
        <w:spacing w:after="80" w:line="276" w:lineRule="auto"/>
      </w:pPr>
      <w:r>
        <w:rPr>
          <w:rFonts w:ascii="Calibri" w:hAnsi="Calibri"/>
          <w:color w:val="1E293B"/>
          <w:sz w:val="22"/>
        </w:rPr>
        <w:t>(i) One-third available for allocation to Bidders with an application size of more than ₹0.20 million and up to ₹1.00 million</w:t>
      </w:r>
    </w:p>
    <w:p>
      <w:pPr>
        <w:spacing w:after="80" w:line="276" w:lineRule="auto"/>
      </w:pPr>
      <w:r>
        <w:rPr>
          <w:rFonts w:ascii="Calibri" w:hAnsi="Calibri"/>
          <w:color w:val="1E293B"/>
          <w:sz w:val="22"/>
        </w:rPr>
        <w:t>Up to [●] Equity Shares of face value of ₹5 each</w:t>
      </w:r>
    </w:p>
    <w:p>
      <w:pPr>
        <w:spacing w:after="80" w:line="276" w:lineRule="auto"/>
      </w:pPr>
      <w:r>
        <w:rPr>
          <w:rFonts w:ascii="Calibri" w:hAnsi="Calibri"/>
          <w:color w:val="1E293B"/>
          <w:sz w:val="22"/>
        </w:rPr>
        <w:t>(ii) Two-third available for allocation to Bidders with an application size of more than ₹1.00 million</w:t>
      </w:r>
    </w:p>
    <w:p>
      <w:pPr>
        <w:spacing w:after="80" w:line="276" w:lineRule="auto"/>
      </w:pPr>
      <w:r>
        <w:rPr>
          <w:rFonts w:ascii="Calibri" w:hAnsi="Calibri"/>
          <w:color w:val="1E293B"/>
          <w:sz w:val="22"/>
        </w:rPr>
        <w:t>Up to [●] Equity Shares of face value of ₹5 each</w:t>
      </w:r>
    </w:p>
    <w:p>
      <w:pPr>
        <w:spacing w:after="80" w:line="276" w:lineRule="auto"/>
      </w:pPr>
      <w:r>
        <w:rPr>
          <w:rFonts w:ascii="Calibri" w:hAnsi="Calibri"/>
          <w:color w:val="1E293B"/>
          <w:sz w:val="22"/>
        </w:rPr>
        <w:t>C) Retail Portion(4)(5)</w:t>
      </w:r>
    </w:p>
    <w:p>
      <w:pPr>
        <w:spacing w:after="80" w:line="276" w:lineRule="auto"/>
      </w:pPr>
      <w:r>
        <w:rPr>
          <w:rFonts w:ascii="Calibri" w:hAnsi="Calibri"/>
          <w:color w:val="1E293B"/>
          <w:sz w:val="22"/>
        </w:rPr>
        <w:t>Not less than [●] Equity Shares of face value of ₹5 each aggregating up to ₹[●] million</w:t>
      </w:r>
    </w:p>
    <w:p>
      <w:pPr>
        <w:spacing w:after="80" w:line="276" w:lineRule="auto"/>
      </w:pPr>
      <w:r>
        <w:rPr>
          <w:rFonts w:ascii="Calibri" w:hAnsi="Calibri"/>
          <w:color w:val="1E293B"/>
          <w:sz w:val="22"/>
        </w:rPr>
        <w:t>Pre- and post-Offer Equity Shares</w:t>
      </w:r>
    </w:p>
    <w:p>
      <w:pPr>
        <w:spacing w:after="80" w:line="276" w:lineRule="auto"/>
      </w:pPr>
      <w:r>
        <w:rPr>
          <w:rFonts w:ascii="Calibri" w:hAnsi="Calibri"/>
          <w:color w:val="1E293B"/>
          <w:sz w:val="22"/>
        </w:rPr>
        <w:t>Equity Shares outstanding prior to the Offer (as on the date of this Red Herring Prospectus)</w:t>
      </w:r>
    </w:p>
    <w:p>
      <w:pPr>
        <w:spacing w:after="80" w:line="276" w:lineRule="auto"/>
      </w:pPr>
      <w:r>
        <w:rPr>
          <w:rFonts w:ascii="Calibri" w:hAnsi="Calibri"/>
          <w:color w:val="1E293B"/>
          <w:sz w:val="22"/>
        </w:rPr>
        <w:t>56,818,200 Equity Shares of face value of ₹5 each</w:t>
      </w:r>
    </w:p>
    <w:p>
      <w:pPr>
        <w:spacing w:after="80" w:line="276" w:lineRule="auto"/>
      </w:pPr>
      <w:r>
        <w:rPr>
          <w:rFonts w:ascii="Calibri" w:hAnsi="Calibri"/>
          <w:color w:val="1E293B"/>
          <w:sz w:val="22"/>
        </w:rPr>
        <w:t>Equity Shares outstanding after the Offer*</w:t>
      </w:r>
    </w:p>
    <w:p>
      <w:pPr>
        <w:spacing w:after="80" w:line="276" w:lineRule="auto"/>
      </w:pPr>
      <w:r>
        <w:rPr>
          <w:rFonts w:ascii="Calibri" w:hAnsi="Calibri"/>
          <w:color w:val="1E293B"/>
          <w:sz w:val="22"/>
        </w:rPr>
        <w:t>[●] Equity Shares of face value of ₹5 each</w:t>
      </w:r>
    </w:p>
    <w:p>
      <w:pPr>
        <w:spacing w:after="80" w:line="276" w:lineRule="auto"/>
      </w:pPr>
      <w:r>
        <w:rPr>
          <w:rFonts w:ascii="Calibri" w:hAnsi="Calibri"/>
          <w:color w:val="1E293B"/>
          <w:sz w:val="22"/>
        </w:rPr>
        <w:t>Use of Net Proceeds of the Offer</w:t>
      </w:r>
    </w:p>
    <w:p>
      <w:pPr>
        <w:spacing w:after="80" w:line="276" w:lineRule="auto"/>
      </w:pPr>
      <w:r>
        <w:rPr>
          <w:rFonts w:ascii="Calibri" w:hAnsi="Calibri"/>
          <w:color w:val="1E293B"/>
          <w:sz w:val="22"/>
        </w:rPr>
        <w:t>See “Objects of the Offer” on page 106 for information about the use of the Acme Private Limited will not receive any proceeds from the Offer for Sale.</w:t>
      </w:r>
    </w:p>
    <w:p>
      <w:pPr>
        <w:spacing w:after="80" w:line="276" w:lineRule="auto"/>
      </w:pPr>
      <w:r>
        <w:rPr>
          <w:rFonts w:ascii="Calibri" w:hAnsi="Calibri"/>
          <w:color w:val="1E293B"/>
          <w:sz w:val="22"/>
        </w:rPr>
        <w:t>*To be updated upon finalization of the Offer Price.</w:t>
      </w:r>
    </w:p>
    <w:p>
      <w:pPr>
        <w:spacing w:after="80" w:line="276" w:lineRule="auto"/>
      </w:pPr>
      <w:r>
        <w:rPr>
          <w:rFonts w:ascii="Calibri" w:hAnsi="Calibri"/>
          <w:color w:val="1E293B"/>
          <w:sz w:val="22"/>
        </w:rPr>
        <w:t>The Offer has been authorized pursuant to the resolution passed by our Board dated May 6, 2025. The Fresh Issue has been authorized by our Shareholders by a special resolution dated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w:t>
      </w:r>
    </w:p>
    <w:p>
      <w:pPr>
        <w:spacing w:after="80" w:line="276" w:lineRule="auto"/>
      </w:pPr>
      <w:r>
        <w:rPr>
          <w:rFonts w:ascii="Calibri" w:hAnsi="Calibri"/>
          <w:color w:val="1E293B"/>
          <w:sz w:val="22"/>
        </w:rPr>
        <w:t>Our Promoter Selling Shareholders have confirmed and authorised their participation in the Offer for Sale as set out below:</w:t>
      </w:r>
    </w:p>
    <w:p>
      <w:pPr>
        <w:spacing w:after="80" w:line="276" w:lineRule="auto"/>
      </w:pPr>
      <w:r>
        <w:rPr>
          <w:rFonts w:ascii="Calibri" w:hAnsi="Calibri"/>
          <w:color w:val="1E293B"/>
          <w:sz w:val="22"/>
        </w:rPr>
        <w:t>S. No.</w:t>
      </w:r>
    </w:p>
    <w:p>
      <w:pPr>
        <w:spacing w:after="80" w:line="276" w:lineRule="auto"/>
      </w:pPr>
      <w:r>
        <w:rPr>
          <w:rFonts w:ascii="Calibri" w:hAnsi="Calibri"/>
          <w:color w:val="1E293B"/>
          <w:sz w:val="22"/>
        </w:rPr>
        <w:t>Promoter Selling Shareholder</w:t>
      </w:r>
    </w:p>
    <w:p>
      <w:pPr>
        <w:spacing w:after="80" w:line="276" w:lineRule="auto"/>
      </w:pPr>
      <w:r>
        <w:rPr>
          <w:rFonts w:ascii="Calibri" w:hAnsi="Calibri"/>
          <w:color w:val="1E293B"/>
          <w:sz w:val="22"/>
        </w:rPr>
        <w:t>Maximum number of Equity Shares offered in the Offer for Sale</w:t>
      </w:r>
    </w:p>
    <w:p>
      <w:pPr>
        <w:spacing w:after="80" w:line="276" w:lineRule="auto"/>
      </w:pPr>
      <w:r>
        <w:rPr>
          <w:rFonts w:ascii="Calibri" w:hAnsi="Calibri"/>
          <w:color w:val="1E293B"/>
          <w:sz w:val="22"/>
        </w:rPr>
        <w:t>Aggregate amount of Offer for Sale (₹ in million)</w:t>
      </w:r>
    </w:p>
    <w:p>
      <w:pPr>
        <w:spacing w:after="80" w:line="276" w:lineRule="auto"/>
      </w:pPr>
      <w:r>
        <w:rPr>
          <w:rFonts w:ascii="Calibri" w:hAnsi="Calibri"/>
          <w:color w:val="1E293B"/>
          <w:sz w:val="22"/>
        </w:rPr>
        <w:t>Date of consent letter</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Kushal Subbayya Hegde</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Up to ₹1,528.00 million</w:t>
      </w:r>
    </w:p>
    <w:p>
      <w:pPr>
        <w:spacing w:after="80" w:line="276" w:lineRule="auto"/>
      </w:pPr>
      <w:r>
        <w:rPr>
          <w:rFonts w:ascii="Calibri" w:hAnsi="Calibri"/>
          <w:color w:val="1E293B"/>
          <w:sz w:val="22"/>
        </w:rPr>
        <w:t>December 6, 2025</w:t>
      </w:r>
    </w:p>
    <w:p>
      <w:pPr>
        <w:spacing w:after="80" w:line="276" w:lineRule="auto"/>
      </w:pPr>
      <w:r>
        <w:rPr>
          <w:rFonts w:ascii="Calibri" w:hAnsi="Calibri"/>
          <w:color w:val="1E293B"/>
          <w:sz w:val="22"/>
        </w:rPr>
        <w:t>2.</w:t>
      </w:r>
    </w:p>
    <w:p>
      <w:pPr>
        <w:spacing w:after="80" w:line="276" w:lineRule="auto"/>
      </w:pPr>
      <w:r>
        <w:rPr>
          <w:rFonts w:ascii="Calibri" w:hAnsi="Calibri"/>
          <w:color w:val="1E293B"/>
          <w:sz w:val="22"/>
        </w:rPr>
        <w:t>Pushpa Kushal Hegde</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Up to ₹422.00 million</w:t>
      </w:r>
    </w:p>
    <w:p>
      <w:pPr>
        <w:spacing w:after="80" w:line="276" w:lineRule="auto"/>
      </w:pPr>
      <w:r>
        <w:rPr>
          <w:rFonts w:ascii="Calibri" w:hAnsi="Calibri"/>
          <w:color w:val="1E293B"/>
          <w:sz w:val="22"/>
        </w:rPr>
        <w:t>December 6, 2025</w:t>
      </w:r>
    </w:p>
    <w:p>
      <w:pPr>
        <w:spacing w:after="80" w:line="276" w:lineRule="auto"/>
      </w:pPr>
      <w:r>
        <w:rPr>
          <w:rFonts w:ascii="Calibri" w:hAnsi="Calibri"/>
          <w:color w:val="1E293B"/>
          <w:sz w:val="22"/>
        </w:rPr>
        <w:t>3.</w:t>
      </w:r>
    </w:p>
    <w:p>
      <w:pPr>
        <w:spacing w:after="80" w:line="276" w:lineRule="auto"/>
      </w:pPr>
      <w:r>
        <w:rPr>
          <w:rFonts w:ascii="Calibri" w:hAnsi="Calibri"/>
          <w:color w:val="1E293B"/>
          <w:sz w:val="22"/>
        </w:rPr>
        <w:t>Rajesh Kushal Hegde</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Up to ₹475.00 million</w:t>
      </w:r>
    </w:p>
    <w:p>
      <w:pPr>
        <w:spacing w:after="80" w:line="276" w:lineRule="auto"/>
      </w:pPr>
      <w:r>
        <w:rPr>
          <w:rFonts w:ascii="Calibri" w:hAnsi="Calibri"/>
          <w:color w:val="1E293B"/>
          <w:sz w:val="22"/>
        </w:rPr>
        <w:t>December 6, 2025</w:t>
      </w:r>
    </w:p>
    <w:p>
      <w:pPr>
        <w:spacing w:after="80" w:line="276" w:lineRule="auto"/>
      </w:pPr>
      <w:r>
        <w:rPr>
          <w:rFonts w:ascii="Calibri" w:hAnsi="Calibri"/>
          <w:color w:val="1E293B"/>
          <w:sz w:val="22"/>
        </w:rPr>
        <w:t>4.</w:t>
      </w:r>
    </w:p>
    <w:p>
      <w:pPr>
        <w:spacing w:after="80" w:line="276" w:lineRule="auto"/>
      </w:pPr>
      <w:r>
        <w:rPr>
          <w:rFonts w:ascii="Calibri" w:hAnsi="Calibri"/>
          <w:color w:val="1E293B"/>
          <w:sz w:val="22"/>
        </w:rPr>
        <w:t>Rohit Kushal Hegde</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Up to ₹475.00 million</w:t>
      </w:r>
    </w:p>
    <w:p>
      <w:pPr>
        <w:spacing w:after="80" w:line="276" w:lineRule="auto"/>
      </w:pPr>
      <w:r>
        <w:rPr>
          <w:rFonts w:ascii="Calibri" w:hAnsi="Calibri"/>
          <w:color w:val="1E293B"/>
          <w:sz w:val="22"/>
        </w:rPr>
        <w:t>December 6, 2025</w:t>
      </w:r>
    </w:p>
    <w:p>
      <w:pPr>
        <w:spacing w:after="80" w:line="276" w:lineRule="auto"/>
      </w:pPr>
      <w:r>
        <w:rPr>
          <w:rFonts w:ascii="Calibri" w:hAnsi="Calibri"/>
          <w:color w:val="1E293B"/>
          <w:sz w:val="22"/>
        </w:rPr>
        <w:t>The Equity Shares held by the respective Promoter Selling Shareholders and being offered by the Promoter Selling Shareholders are eligible to form a part of the Offer for Sale in terms of the SEBI ICDR Regulations. Each of the Promoter Selling Shareholders, severally and not jointly, confirms that the Equity Shares being offered by it are eligible for being offered for sale pursuant to the Offer in terms of Regulation 8 of the SEBI ICDR Regulations. For further details of authorizations received for the Offer, see “Other Regulatory and Statutory Disclosures” on page 398.</w:t>
      </w:r>
    </w:p>
    <w:p>
      <w:pPr>
        <w:spacing w:after="80" w:line="276" w:lineRule="auto"/>
      </w:pPr>
      <w:r>
        <w:rPr>
          <w:rFonts w:ascii="Calibri" w:hAnsi="Calibri"/>
          <w:color w:val="1E293B"/>
          <w:sz w:val="22"/>
        </w:rPr>
        <w:t>Subject to valid bids being received at or above the Offer Price, under subscription, if any, in any category, except in the QIB Portion, would be allowed to be met with spill-over from any other category or combination of categories of Bidders, as applicable, Northstar Technologies Ltd, in consultation with the BRLMs and the Designated Stock Exchange, subject to applicable laws. Undersubscription in the Offer, if any, subject to receiving minimum subscription for 90% of the Fresh Issue and compliance with Rule 19(2)(b) of the Securities Contracts (Regulation) Rules, 1957, the Allotment for the valid Bids will be made in the first instance towards subscription for 90% of the Fresh Issue. For further details, see “Offer Structure” on page 417.</w:t>
      </w:r>
    </w:p>
    <w:p>
      <w:pPr>
        <w:spacing w:after="80" w:line="276" w:lineRule="auto"/>
      </w:pPr>
      <w:r>
        <w:rPr>
          <w:rFonts w:ascii="Calibri" w:hAnsi="Calibri"/>
          <w:color w:val="1E293B"/>
          <w:sz w:val="22"/>
        </w:rPr>
        <w:t>Allocation to Bidders in all categories, except Anchor Investors, if any, Non-Institutional Investors and Retail Individual Investors, shall be made on a proportionate basis subject to valid Bids received at or above the Offer Price. The allocation to each Retail Individual Investors shall not be less than the minimum Bid Lot, subject to availability of Equity Shares in the Retail Portion and the remaining available Equity Shares, if any, shall be allocated on a proportionate basis. Not less than 15% of the Offer shall be available for allocation to Non-Institutional Investors of which one-third of the Non-Institutional Portion will be available for allocation to Bidders with an application size of more than ₹0.20 million and up to ₹1.00 million and two-thirds of the Non-Institutional Portion will be available for allocation to Bidders with an application size of more than ₹1.00 million and under-subscription in either of these two sub-categories of Non-Institutional Portion may be allocated to Bidders in the other sub-category of Non-Institutional Portion. The 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spacing w:after="80" w:line="276" w:lineRule="auto"/>
      </w:pPr>
      <w:r>
        <w:rPr>
          <w:rFonts w:ascii="Calibri" w:hAnsi="Calibri"/>
          <w:color w:val="1E293B"/>
          <w:sz w:val="22"/>
        </w:rPr>
        <w:t>Northstar Technologies Ltd, in consultation with the BRLMs, may allocate up to 60% of the QIB Portion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in the Anchor Investor Portion, the remaining Equity Shares shall be added to the Net QIB Portion. Further, 5% of the Net QIB Portion shall be available for allocation on a proportionate basis to Mutual Funds only, and the remainder of the Net QIB Portion shall be available for allocation on a proportionate basis to all QIB Bidders (other than Anchor Investors), including Mutual Funds, subject to valid Bids being received at or above the Offer Price. However, if the aggregate demand from Mutual Funds is less than as specified above, the balance Equity Shares available for Allotment in the Mutual Fund Portion will be added to the Net QIB Portion and allocated proportionately to the QIB Bidders (other than Anchor Investors) in proportion to their Bids. For further information, see “Offer Procedure” on page 420.</w:t>
      </w:r>
    </w:p>
    <w:p>
      <w:pPr>
        <w:spacing w:after="80" w:line="276" w:lineRule="auto"/>
      </w:pPr>
      <w:r>
        <w:rPr>
          <w:rFonts w:ascii="Calibri" w:hAnsi="Calibri"/>
          <w:color w:val="1E293B"/>
          <w:sz w:val="22"/>
        </w:rPr>
        <w:t>For further details including in relation to grounds for rejection of Bids, see “Offer Structure”, “Offer Procedure” and “Terms of the Offer” on pages 417, 420 and 411.</w:t>
      </w:r>
    </w:p>
    <w:p>
      <w:pPr>
        <w:spacing w:after="80" w:line="276" w:lineRule="auto"/>
      </w:pPr>
      <w:r>
        <w:rPr>
          <w:rFonts w:ascii="Calibri" w:hAnsi="Calibri"/>
          <w:color w:val="1E293B"/>
          <w:sz w:val="22"/>
        </w:rPr>
        <w:t>SUMMARY FINANCIAL STATEMENTS</w:t>
      </w:r>
    </w:p>
    <w:p>
      <w:pPr>
        <w:spacing w:after="80" w:line="276" w:lineRule="auto"/>
      </w:pPr>
      <w:r>
        <w:rPr>
          <w:rFonts w:ascii="Calibri" w:hAnsi="Calibri"/>
          <w:color w:val="1E293B"/>
          <w:sz w:val="22"/>
        </w:rPr>
        <w:t>The following tables set forth the summary financial information derived from the Restated Financial Statements. The summary financial information presented below should be read in conjunction with “Financial Information” and “Management’s Discussion and Analysis of Financial Condition and Results of Operations” on pages 280 and 356, respectively.</w:t>
      </w:r>
    </w:p>
    <w:p>
      <w:pPr>
        <w:spacing w:after="80" w:line="276" w:lineRule="auto"/>
      </w:pPr>
      <w:r>
        <w:rPr>
          <w:rFonts w:ascii="Calibri" w:hAnsi="Calibri"/>
          <w:color w:val="1E293B"/>
          <w:sz w:val="22"/>
        </w:rPr>
        <w:t>(The remainder of the page has intentionally been left blank)</w:t>
      </w:r>
    </w:p>
    <w:p>
      <w:pPr>
        <w:spacing w:after="80" w:line="276" w:lineRule="auto"/>
      </w:pPr>
      <w:r>
        <w:rPr>
          <w:rFonts w:ascii="Calibri" w:hAnsi="Calibri"/>
          <w:color w:val="1E293B"/>
          <w:sz w:val="22"/>
        </w:rPr>
        <w:t>GENERAL INFORMATION</w:t>
      </w:r>
    </w:p>
    <w:p>
      <w:pPr>
        <w:spacing w:after="80" w:line="276" w:lineRule="auto"/>
      </w:pPr>
      <w:r>
        <w:rPr>
          <w:rFonts w:ascii="Calibri" w:hAnsi="Calibri"/>
          <w:color w:val="1E293B"/>
          <w:sz w:val="22"/>
        </w:rPr>
        <w:t>Bluebird Capital LLP Bluebird Capital LLP</w:t>
      </w:r>
    </w:p>
    <w:p>
      <w:pPr>
        <w:spacing w:after="80" w:line="276" w:lineRule="auto"/>
      </w:pPr>
      <w:r>
        <w:rPr>
          <w:rFonts w:ascii="Calibri" w:hAnsi="Calibri"/>
          <w:color w:val="1E293B"/>
          <w:sz w:val="22"/>
        </w:rPr>
        <w:t>11/3, 11/4 and 11/5, Village Birdewadi Chakan, Taluka-Khed</w:t>
      </w:r>
    </w:p>
    <w:p>
      <w:pPr>
        <w:spacing w:after="80" w:line="276" w:lineRule="auto"/>
      </w:pPr>
      <w:r>
        <w:rPr>
          <w:rFonts w:ascii="Calibri" w:hAnsi="Calibri"/>
          <w:color w:val="1E293B"/>
          <w:sz w:val="22"/>
        </w:rPr>
        <w:t>Pune – 410 501</w:t>
      </w:r>
    </w:p>
    <w:p>
      <w:pPr>
        <w:spacing w:after="80" w:line="276" w:lineRule="auto"/>
      </w:pPr>
      <w:r>
        <w:rPr>
          <w:rFonts w:ascii="Calibri" w:hAnsi="Calibri"/>
          <w:color w:val="1E293B"/>
          <w:sz w:val="22"/>
        </w:rPr>
        <w:t>Maharashtra, India</w:t>
      </w:r>
    </w:p>
    <w:p>
      <w:pPr>
        <w:spacing w:after="80" w:line="276" w:lineRule="auto"/>
      </w:pPr>
      <w:r>
        <w:rPr>
          <w:rFonts w:ascii="Calibri" w:hAnsi="Calibri"/>
          <w:color w:val="1E293B"/>
          <w:sz w:val="22"/>
        </w:rPr>
        <w:t>For details of change in our registered office, see “History and Certain Corporate Matters – Changes in our Registered Office” on page 243.</w:t>
      </w:r>
    </w:p>
    <w:p>
      <w:pPr>
        <w:spacing w:after="80" w:line="276" w:lineRule="auto"/>
      </w:pPr>
      <w:r>
        <w:rPr>
          <w:rFonts w:ascii="Calibri" w:hAnsi="Calibri"/>
          <w:color w:val="1E293B"/>
          <w:sz w:val="22"/>
        </w:rPr>
        <w:t>Acme Private Limited Bluebird Capital LLP</w:t>
      </w:r>
    </w:p>
    <w:p>
      <w:pPr>
        <w:spacing w:after="80" w:line="276" w:lineRule="auto"/>
      </w:pPr>
      <w:r>
        <w:rPr>
          <w:rFonts w:ascii="Calibri" w:hAnsi="Calibri"/>
          <w:color w:val="1E293B"/>
          <w:sz w:val="22"/>
        </w:rPr>
        <w:t>201, Tower-2, Montreal Business Centre Off Pallod Farms, Baner</w:t>
      </w:r>
    </w:p>
    <w:p>
      <w:pPr>
        <w:spacing w:after="80" w:line="276" w:lineRule="auto"/>
      </w:pPr>
      <w:r>
        <w:rPr>
          <w:rFonts w:ascii="Calibri" w:hAnsi="Calibri"/>
          <w:color w:val="1E293B"/>
          <w:sz w:val="22"/>
        </w:rPr>
        <w:t>Pune 411 045 Maharashtra, India</w:t>
      </w:r>
    </w:p>
    <w:p>
      <w:pPr>
        <w:spacing w:after="80" w:line="276" w:lineRule="auto"/>
      </w:pPr>
      <w:r>
        <w:rPr>
          <w:rFonts w:ascii="Calibri" w:hAnsi="Calibri"/>
          <w:color w:val="1E293B"/>
          <w:sz w:val="22"/>
        </w:rPr>
        <w:t>Company registration number and corporate identity number</w:t>
      </w:r>
    </w:p>
    <w:p>
      <w:pPr>
        <w:spacing w:after="80" w:line="276" w:lineRule="auto"/>
      </w:pPr>
      <w:r>
        <w:rPr>
          <w:rFonts w:ascii="Calibri" w:hAnsi="Calibri"/>
          <w:color w:val="1E293B"/>
          <w:sz w:val="22"/>
        </w:rPr>
        <w:t>Registration number: 141032</w:t>
      </w:r>
    </w:p>
    <w:p>
      <w:pPr>
        <w:spacing w:after="80" w:line="276" w:lineRule="auto"/>
      </w:pPr>
      <w:r>
        <w:rPr>
          <w:rFonts w:ascii="Calibri" w:hAnsi="Calibri"/>
          <w:color w:val="1E293B"/>
          <w:sz w:val="22"/>
        </w:rPr>
        <w:t>Corporate identity number: U28129PN1979PLC141032</w:t>
      </w:r>
    </w:p>
    <w:p>
      <w:pPr>
        <w:spacing w:after="80" w:line="276" w:lineRule="auto"/>
      </w:pPr>
      <w:r>
        <w:rPr>
          <w:rFonts w:ascii="Calibri" w:hAnsi="Calibri"/>
          <w:color w:val="1E293B"/>
          <w:sz w:val="22"/>
        </w:rPr>
        <w:t>Address 742 Evergreen Terrace, Springfield 49007</w:t>
      </w:r>
    </w:p>
    <w:p>
      <w:pPr>
        <w:spacing w:after="80" w:line="276" w:lineRule="auto"/>
      </w:pPr>
      <w:r>
        <w:rPr>
          <w:rFonts w:ascii="Calibri" w:hAnsi="Calibri"/>
          <w:color w:val="1E293B"/>
          <w:sz w:val="22"/>
        </w:rPr>
        <w:t>Northstar Technologies Ltd is registered with the Registrar of Companies, Maharashtra at Pune, which is situated at the following address:</w:t>
      </w:r>
    </w:p>
    <w:p>
      <w:pPr>
        <w:spacing w:after="80" w:line="276" w:lineRule="auto"/>
      </w:pPr>
      <w:r>
        <w:rPr>
          <w:rFonts w:ascii="Calibri" w:hAnsi="Calibri"/>
          <w:color w:val="1E293B"/>
          <w:sz w:val="22"/>
        </w:rPr>
        <w:t>Registrar of Companies, Maharashtra at Pune</w:t>
      </w:r>
    </w:p>
    <w:p>
      <w:pPr>
        <w:spacing w:after="80" w:line="276" w:lineRule="auto"/>
      </w:pPr>
      <w:r>
        <w:rPr>
          <w:rFonts w:ascii="Calibri" w:hAnsi="Calibri"/>
          <w:color w:val="1E293B"/>
          <w:sz w:val="22"/>
        </w:rPr>
        <w:t>PCNTDA Green Building Block A 1st and 2nd floor Near Akurdi Railway Station Akurdi, Pune – 411 044 Maharashtra, India</w:t>
      </w:r>
    </w:p>
    <w:p>
      <w:pPr>
        <w:spacing w:after="80" w:line="276" w:lineRule="auto"/>
      </w:pPr>
      <w:r>
        <w:rPr>
          <w:rFonts w:ascii="Calibri" w:hAnsi="Calibri"/>
          <w:color w:val="1E293B"/>
          <w:sz w:val="22"/>
        </w:rPr>
        <w:t>Northstar Technologies Ltd</w:t>
      </w:r>
    </w:p>
    <w:p>
      <w:pPr>
        <w:spacing w:after="80" w:line="276" w:lineRule="auto"/>
      </w:pPr>
      <w:r>
        <w:rPr>
          <w:rFonts w:ascii="Calibri" w:hAnsi="Calibri"/>
          <w:color w:val="1E293B"/>
          <w:sz w:val="22"/>
        </w:rPr>
        <w:t>The following table sets out the brief details of our Board of Directors as on the date of this Red Herring Prospectus:</w:t>
      </w:r>
    </w:p>
    <w:p>
      <w:pPr>
        <w:spacing w:after="80" w:line="276" w:lineRule="auto"/>
      </w:pPr>
      <w:r>
        <w:rPr>
          <w:rFonts w:ascii="Calibri" w:hAnsi="Calibri"/>
          <w:color w:val="1E293B"/>
          <w:sz w:val="22"/>
        </w:rPr>
        <w:t>Name</w:t>
      </w:r>
    </w:p>
    <w:p>
      <w:pPr>
        <w:spacing w:after="80" w:line="276" w:lineRule="auto"/>
      </w:pPr>
      <w:r>
        <w:rPr>
          <w:rFonts w:ascii="Calibri" w:hAnsi="Calibri"/>
          <w:color w:val="1E293B"/>
          <w:sz w:val="22"/>
        </w:rPr>
        <w:t>Designation</w:t>
      </w:r>
    </w:p>
    <w:p>
      <w:pPr>
        <w:spacing w:after="80" w:line="276" w:lineRule="auto"/>
      </w:pPr>
      <w:r>
        <w:rPr>
          <w:rFonts w:ascii="Calibri" w:hAnsi="Calibri"/>
          <w:color w:val="1E293B"/>
          <w:sz w:val="22"/>
        </w:rPr>
        <w:t>DIN</w:t>
      </w:r>
    </w:p>
    <w:p>
      <w:pPr>
        <w:spacing w:after="80" w:line="276" w:lineRule="auto"/>
      </w:pPr>
      <w:r>
        <w:rPr>
          <w:rFonts w:ascii="Calibri" w:hAnsi="Calibri"/>
          <w:color w:val="1E293B"/>
          <w:sz w:val="22"/>
        </w:rPr>
        <w:t>Address</w:t>
      </w:r>
    </w:p>
    <w:p>
      <w:pPr>
        <w:spacing w:after="80" w:line="276" w:lineRule="auto"/>
      </w:pPr>
      <w:r>
        <w:rPr>
          <w:rFonts w:ascii="Calibri" w:hAnsi="Calibri"/>
          <w:color w:val="1E293B"/>
          <w:sz w:val="22"/>
        </w:rPr>
        <w:t>Kushal Subbayya Hegde</w:t>
      </w:r>
    </w:p>
    <w:p>
      <w:pPr>
        <w:spacing w:after="80" w:line="276" w:lineRule="auto"/>
      </w:pPr>
      <w:r>
        <w:rPr>
          <w:rFonts w:ascii="Calibri" w:hAnsi="Calibri"/>
          <w:color w:val="1E293B"/>
          <w:sz w:val="22"/>
        </w:rPr>
        <w:t>ChairmanandExecutive Director</w:t>
      </w:r>
    </w:p>
    <w:p>
      <w:pPr>
        <w:spacing w:after="80" w:line="276" w:lineRule="auto"/>
      </w:pPr>
      <w:r>
        <w:rPr>
          <w:rFonts w:ascii="Calibri" w:hAnsi="Calibri"/>
          <w:color w:val="1E293B"/>
          <w:sz w:val="22"/>
        </w:rPr>
        <w:t>00135070</w:t>
      </w:r>
    </w:p>
    <w:p>
      <w:pPr>
        <w:spacing w:after="80" w:line="276" w:lineRule="auto"/>
      </w:pPr>
      <w:r>
        <w:rPr>
          <w:rFonts w:ascii="Calibri" w:hAnsi="Calibri"/>
          <w:color w:val="1E293B"/>
          <w:sz w:val="22"/>
        </w:rPr>
        <w:t>S. no. 245/ 104, Pushpakamal, Deccan Gymkhana Society, lane no. 3 Prabhat Road, opposite PYC basketball court, Deccan Gymkhana, Pune – 411 004 Maharashtra, India</w:t>
      </w:r>
    </w:p>
    <w:p>
      <w:pPr>
        <w:spacing w:after="80" w:line="276" w:lineRule="auto"/>
      </w:pPr>
      <w:r>
        <w:rPr>
          <w:rFonts w:ascii="Calibri" w:hAnsi="Calibri"/>
          <w:color w:val="1E293B"/>
          <w:sz w:val="22"/>
        </w:rPr>
        <w:t>Rajesh Kushal Hegde</w:t>
      </w:r>
    </w:p>
    <w:p>
      <w:pPr>
        <w:spacing w:after="80" w:line="276" w:lineRule="auto"/>
      </w:pPr>
      <w:r>
        <w:rPr>
          <w:rFonts w:ascii="Calibri" w:hAnsi="Calibri"/>
          <w:color w:val="1E293B"/>
          <w:sz w:val="22"/>
        </w:rPr>
        <w:t>Managing Director</w:t>
      </w:r>
    </w:p>
    <w:p>
      <w:pPr>
        <w:spacing w:after="80" w:line="276" w:lineRule="auto"/>
      </w:pPr>
      <w:r>
        <w:rPr>
          <w:rFonts w:ascii="Calibri" w:hAnsi="Calibri"/>
          <w:color w:val="1E293B"/>
          <w:sz w:val="22"/>
        </w:rPr>
        <w:t>00114193</w:t>
      </w:r>
    </w:p>
    <w:p>
      <w:pPr>
        <w:spacing w:after="80" w:line="276" w:lineRule="auto"/>
      </w:pPr>
      <w:r>
        <w:rPr>
          <w:rFonts w:ascii="Calibri" w:hAnsi="Calibri"/>
          <w:color w:val="1E293B"/>
          <w:sz w:val="22"/>
        </w:rPr>
        <w:t>12 Buena Monte, NCL co-operative housing society, Panchvati, Pashan, Pune – 411 008, Maharashtra, India</w:t>
      </w:r>
    </w:p>
    <w:p>
      <w:pPr>
        <w:spacing w:after="80" w:line="276" w:lineRule="auto"/>
      </w:pPr>
      <w:r>
        <w:rPr>
          <w:rFonts w:ascii="Calibri" w:hAnsi="Calibri"/>
          <w:color w:val="1E293B"/>
          <w:sz w:val="22"/>
        </w:rPr>
        <w:t>Rohit Kushal Hegde</w:t>
      </w:r>
    </w:p>
    <w:p>
      <w:pPr>
        <w:spacing w:after="80" w:line="276" w:lineRule="auto"/>
      </w:pPr>
      <w:r>
        <w:rPr>
          <w:rFonts w:ascii="Calibri" w:hAnsi="Calibri"/>
          <w:color w:val="1E293B"/>
          <w:sz w:val="22"/>
        </w:rPr>
        <w:t>Joint Managing Director</w:t>
      </w:r>
    </w:p>
    <w:p>
      <w:pPr>
        <w:spacing w:after="80" w:line="276" w:lineRule="auto"/>
      </w:pPr>
      <w:r>
        <w:rPr>
          <w:rFonts w:ascii="Calibri" w:hAnsi="Calibri"/>
          <w:color w:val="1E293B"/>
          <w:sz w:val="22"/>
        </w:rPr>
        <w:t>00134926</w:t>
      </w:r>
    </w:p>
    <w:p>
      <w:pPr>
        <w:spacing w:after="80" w:line="276" w:lineRule="auto"/>
      </w:pPr>
      <w:r>
        <w:rPr>
          <w:rFonts w:ascii="Calibri" w:hAnsi="Calibri"/>
          <w:color w:val="1E293B"/>
          <w:sz w:val="22"/>
        </w:rPr>
        <w:t>Pushpakamal Apartment, Flat – 1, S. no. 245/ 104, Prabhat Road Lane no. 3, Shivaji Nagar, Deccan Gymkhana, Pune – 411 004, Maharashtra, India</w:t>
      </w:r>
    </w:p>
    <w:p>
      <w:pPr>
        <w:spacing w:after="80" w:line="276" w:lineRule="auto"/>
      </w:pPr>
      <w:r>
        <w:rPr>
          <w:rFonts w:ascii="Calibri" w:hAnsi="Calibri"/>
          <w:color w:val="1E293B"/>
          <w:sz w:val="22"/>
        </w:rPr>
        <w:t>Rakhi Girija Shetty</w:t>
      </w:r>
    </w:p>
    <w:p>
      <w:pPr>
        <w:spacing w:after="80" w:line="276" w:lineRule="auto"/>
      </w:pPr>
      <w:r>
        <w:rPr>
          <w:rFonts w:ascii="Calibri" w:hAnsi="Calibri"/>
          <w:color w:val="1E293B"/>
          <w:sz w:val="22"/>
        </w:rPr>
        <w:t>Whole-time Director</w:t>
      </w:r>
    </w:p>
    <w:p>
      <w:pPr>
        <w:spacing w:after="80" w:line="276" w:lineRule="auto"/>
      </w:pPr>
      <w:r>
        <w:rPr>
          <w:rFonts w:ascii="Calibri" w:hAnsi="Calibri"/>
          <w:color w:val="1E293B"/>
          <w:sz w:val="22"/>
        </w:rPr>
        <w:t>03124510</w:t>
      </w:r>
    </w:p>
    <w:p>
      <w:pPr>
        <w:spacing w:after="80" w:line="276" w:lineRule="auto"/>
      </w:pPr>
      <w:r>
        <w:rPr>
          <w:rFonts w:ascii="Calibri" w:hAnsi="Calibri"/>
          <w:color w:val="1E293B"/>
          <w:sz w:val="22"/>
        </w:rPr>
        <w:t>S. no. 245/ 104, Pushpakamal, Deccan Gymkhana Society, lane no.</w:t>
      </w:r>
    </w:p>
    <w:p>
      <w:pPr>
        <w:spacing w:after="80" w:line="276" w:lineRule="auto"/>
      </w:pPr>
      <w:r>
        <w:rPr>
          <w:rFonts w:ascii="Calibri" w:hAnsi="Calibri"/>
          <w:color w:val="1E293B"/>
          <w:sz w:val="22"/>
        </w:rPr>
        <w:t>3 Prabhat Road, opposite PYC basketball court, Erandawane, Deccan Gymkhana, Pune – 411 004 Maharashtra, India</w:t>
      </w:r>
    </w:p>
    <w:p>
      <w:pPr>
        <w:spacing w:after="80" w:line="276" w:lineRule="auto"/>
      </w:pPr>
      <w:r>
        <w:rPr>
          <w:rFonts w:ascii="Calibri" w:hAnsi="Calibri"/>
          <w:color w:val="1E293B"/>
          <w:sz w:val="22"/>
        </w:rPr>
        <w:t>Dinesh Hirachand Munot</w:t>
      </w:r>
    </w:p>
    <w:p>
      <w:pPr>
        <w:spacing w:after="80" w:line="276" w:lineRule="auto"/>
      </w:pPr>
      <w:r>
        <w:rPr>
          <w:rFonts w:ascii="Calibri" w:hAnsi="Calibri"/>
          <w:color w:val="1E293B"/>
          <w:sz w:val="22"/>
        </w:rPr>
        <w:t>Independent Director</w:t>
      </w:r>
    </w:p>
    <w:p>
      <w:pPr>
        <w:spacing w:after="80" w:line="276" w:lineRule="auto"/>
      </w:pPr>
      <w:r>
        <w:rPr>
          <w:rFonts w:ascii="Calibri" w:hAnsi="Calibri"/>
          <w:color w:val="1E293B"/>
          <w:sz w:val="22"/>
        </w:rPr>
        <w:t>00049801</w:t>
      </w:r>
    </w:p>
    <w:p>
      <w:pPr>
        <w:spacing w:after="80" w:line="276" w:lineRule="auto"/>
      </w:pPr>
      <w:r>
        <w:rPr>
          <w:rFonts w:ascii="Calibri" w:hAnsi="Calibri"/>
          <w:color w:val="1E293B"/>
          <w:sz w:val="22"/>
        </w:rPr>
        <w:t>Pratik Bunglow, Senapati Bapat Road, behind Sahara Hotel, Shivajinagar, Model Colony, Pune – 411 016, Maharashtra, India</w:t>
      </w:r>
    </w:p>
    <w:p>
      <w:pPr>
        <w:spacing w:after="80" w:line="276" w:lineRule="auto"/>
      </w:pPr>
      <w:r>
        <w:rPr>
          <w:rFonts w:ascii="Calibri" w:hAnsi="Calibri"/>
          <w:color w:val="1E293B"/>
          <w:sz w:val="22"/>
        </w:rPr>
        <w:t>Ajay Shriram Patil</w:t>
      </w:r>
    </w:p>
    <w:p>
      <w:pPr>
        <w:spacing w:after="80" w:line="276" w:lineRule="auto"/>
      </w:pPr>
      <w:r>
        <w:rPr>
          <w:rFonts w:ascii="Calibri" w:hAnsi="Calibri"/>
          <w:color w:val="1E293B"/>
          <w:sz w:val="22"/>
        </w:rPr>
        <w:t>Independent Director</w:t>
      </w:r>
    </w:p>
    <w:p>
      <w:pPr>
        <w:spacing w:after="80" w:line="276" w:lineRule="auto"/>
      </w:pPr>
      <w:r>
        <w:rPr>
          <w:rFonts w:ascii="Calibri" w:hAnsi="Calibri"/>
          <w:color w:val="1E293B"/>
          <w:sz w:val="22"/>
        </w:rPr>
        <w:t>01217000</w:t>
      </w:r>
    </w:p>
    <w:p>
      <w:pPr>
        <w:spacing w:after="80" w:line="276" w:lineRule="auto"/>
      </w:pPr>
      <w:r>
        <w:rPr>
          <w:rFonts w:ascii="Calibri" w:hAnsi="Calibri"/>
          <w:color w:val="1E293B"/>
          <w:sz w:val="22"/>
        </w:rPr>
        <w:t>602, Gopalkrupa Apartment, Bhonde colony, Prabhat Road, Erandawane, Pune – 411 004, Maharashtra, India</w:t>
      </w:r>
    </w:p>
    <w:p>
      <w:pPr>
        <w:spacing w:after="80" w:line="276" w:lineRule="auto"/>
      </w:pPr>
      <w:r>
        <w:rPr>
          <w:rFonts w:ascii="Calibri" w:hAnsi="Calibri"/>
          <w:color w:val="1E293B"/>
          <w:sz w:val="22"/>
        </w:rPr>
        <w:t>Ram Kumar Tiwari</w:t>
      </w:r>
    </w:p>
    <w:p>
      <w:pPr>
        <w:spacing w:after="80" w:line="276" w:lineRule="auto"/>
      </w:pPr>
      <w:r>
        <w:rPr>
          <w:rFonts w:ascii="Calibri" w:hAnsi="Calibri"/>
          <w:color w:val="1E293B"/>
          <w:sz w:val="22"/>
        </w:rPr>
        <w:t>Independent Director</w:t>
      </w:r>
    </w:p>
    <w:p>
      <w:pPr>
        <w:spacing w:after="80" w:line="276" w:lineRule="auto"/>
      </w:pPr>
      <w:r>
        <w:rPr>
          <w:rFonts w:ascii="Calibri" w:hAnsi="Calibri"/>
          <w:color w:val="1E293B"/>
          <w:sz w:val="22"/>
        </w:rPr>
        <w:t>10938958</w:t>
      </w:r>
    </w:p>
    <w:p>
      <w:pPr>
        <w:spacing w:after="80" w:line="276" w:lineRule="auto"/>
      </w:pPr>
      <w:r>
        <w:rPr>
          <w:rFonts w:ascii="Calibri" w:hAnsi="Calibri"/>
          <w:color w:val="1E293B"/>
          <w:sz w:val="22"/>
        </w:rPr>
        <w:t>A-259, JK Road, Minal Residency, Huzur, Govindpura, Bhopal – 462 023, Madhya Pradesh, India</w:t>
      </w:r>
    </w:p>
    <w:p>
      <w:pPr>
        <w:spacing w:after="80" w:line="276" w:lineRule="auto"/>
      </w:pPr>
      <w:r>
        <w:rPr>
          <w:rFonts w:ascii="Calibri" w:hAnsi="Calibri"/>
          <w:color w:val="1E293B"/>
          <w:sz w:val="22"/>
        </w:rPr>
        <w:t>Indu Jacob</w:t>
      </w:r>
    </w:p>
    <w:p>
      <w:pPr>
        <w:spacing w:after="80" w:line="276" w:lineRule="auto"/>
      </w:pPr>
      <w:r>
        <w:rPr>
          <w:rFonts w:ascii="Calibri" w:hAnsi="Calibri"/>
          <w:color w:val="1E293B"/>
          <w:sz w:val="22"/>
        </w:rPr>
        <w:t>Independent Director</w:t>
      </w:r>
    </w:p>
    <w:p>
      <w:pPr>
        <w:spacing w:after="80" w:line="276" w:lineRule="auto"/>
      </w:pPr>
      <w:r>
        <w:rPr>
          <w:rFonts w:ascii="Calibri" w:hAnsi="Calibri"/>
          <w:color w:val="1E293B"/>
          <w:sz w:val="22"/>
        </w:rPr>
        <w:t>05293084</w:t>
      </w:r>
    </w:p>
    <w:p>
      <w:pPr>
        <w:spacing w:after="80" w:line="276" w:lineRule="auto"/>
      </w:pPr>
      <w:r>
        <w:rPr>
          <w:rFonts w:ascii="Calibri" w:hAnsi="Calibri"/>
          <w:color w:val="1E293B"/>
          <w:sz w:val="22"/>
        </w:rPr>
        <w:t>A29, Abhimanshree Society, Pashan Road, Pune – 411 008, Maharashtra, India</w:t>
      </w:r>
    </w:p>
    <w:p>
      <w:pPr>
        <w:spacing w:after="80" w:line="276" w:lineRule="auto"/>
      </w:pPr>
      <w:r>
        <w:rPr>
          <w:rFonts w:ascii="Calibri" w:hAnsi="Calibri"/>
          <w:color w:val="1E293B"/>
          <w:sz w:val="22"/>
        </w:rPr>
        <w:t>For brief profiles and further details of our Board of Directors, see “Our Management – Board of Directors” on page 250.</w:t>
      </w:r>
    </w:p>
    <w:p>
      <w:pPr>
        <w:spacing w:after="80" w:line="276" w:lineRule="auto"/>
      </w:pPr>
      <w:r>
        <w:rPr>
          <w:rFonts w:ascii="Calibri" w:hAnsi="Calibri"/>
          <w:color w:val="1E293B"/>
          <w:sz w:val="22"/>
        </w:rPr>
        <w:t>Company Secretary and Compliance Officer</w:t>
      </w:r>
    </w:p>
    <w:p>
      <w:pPr>
        <w:spacing w:after="80" w:line="276" w:lineRule="auto"/>
      </w:pPr>
      <w:r>
        <w:rPr>
          <w:rFonts w:ascii="Calibri" w:hAnsi="Calibri"/>
          <w:color w:val="1E293B"/>
          <w:sz w:val="22"/>
        </w:rPr>
        <w:t>Bluebird Capital LLP Secretary and Compliance Officer. His contact John Doe forth below: Gat No. 11/3, 11/4, 11/5, Village Birdewadi</w:t>
      </w:r>
    </w:p>
    <w:p>
      <w:pPr>
        <w:spacing w:after="80" w:line="276" w:lineRule="auto"/>
      </w:pPr>
      <w:r>
        <w:rPr>
          <w:rFonts w:ascii="Calibri" w:hAnsi="Calibri"/>
          <w:color w:val="1E293B"/>
          <w:sz w:val="22"/>
        </w:rPr>
        <w:t>Taluka Khed, District Pune – 410 501</w:t>
      </w:r>
    </w:p>
    <w:p>
      <w:pPr>
        <w:spacing w:after="80" w:line="276" w:lineRule="auto"/>
      </w:pPr>
      <w:r>
        <w:rPr>
          <w:rFonts w:ascii="Calibri" w:hAnsi="Calibri"/>
          <w:color w:val="1E293B"/>
          <w:sz w:val="22"/>
        </w:rPr>
        <w:t>Maharashtra, India</w:t>
      </w:r>
    </w:p>
    <w:p>
      <w:pPr>
        <w:spacing w:after="80" w:line="276" w:lineRule="auto"/>
      </w:pPr>
      <w:r>
        <w:rPr>
          <w:rFonts w:ascii="Calibri" w:hAnsi="Calibri"/>
          <w:color w:val="1E293B"/>
          <w:sz w:val="22"/>
        </w:rPr>
        <w:t>Telephone: + +91 1234567890</w:t>
      </w:r>
    </w:p>
    <w:p>
      <w:pPr>
        <w:spacing w:after="80" w:line="276" w:lineRule="auto"/>
      </w:pPr>
      <w:r>
        <w:rPr>
          <w:rFonts w:ascii="Calibri" w:hAnsi="Calibri"/>
          <w:color w:val="1E293B"/>
          <w:sz w:val="22"/>
        </w:rPr>
        <w:t>E-mail: john.doe@example.com</w:t>
      </w:r>
    </w:p>
    <w:p>
      <w:pPr>
        <w:spacing w:after="80" w:line="276" w:lineRule="auto"/>
      </w:pPr>
      <w:r>
        <w:rPr>
          <w:rFonts w:ascii="Calibri" w:hAnsi="Calibri"/>
          <w:color w:val="1E293B"/>
          <w:sz w:val="22"/>
        </w:rPr>
        <w:t>Investor grievances</w:t>
      </w:r>
    </w:p>
    <w:p>
      <w:pPr>
        <w:spacing w:after="80" w:line="276" w:lineRule="auto"/>
      </w:pPr>
      <w:r>
        <w:rPr>
          <w:rFonts w:ascii="Calibri" w:hAnsi="Calibri"/>
          <w:color w:val="1E293B"/>
          <w:sz w:val="22"/>
        </w:rPr>
        <w:t>Acme Private Limited Secretary and Compliance Officer, Book Running Lead Managers or Registrar to the Offer in case of any pre-Offer or post-Offer related queries, grievances and for redressal of complaints including non-receipt of letters of Allotment, non-credit of Allotted Equity Shares in the respective beneficiary account, non-receipt of refund orders or non-receipt of funds by electronic mode, etc.</w:t>
      </w:r>
    </w:p>
    <w:p>
      <w:pPr>
        <w:spacing w:after="80" w:line="276" w:lineRule="auto"/>
      </w:pPr>
      <w:r>
        <w:rPr>
          <w:rFonts w:ascii="Calibri" w:hAnsi="Calibri"/>
          <w:color w:val="1E293B"/>
          <w:sz w:val="22"/>
        </w:rPr>
        <w:t>All Offer-related grievances, other than that of Anchor Investors, may be addressed to the Registrar to the Offer with a copy to the relevant Designated Intermediary(ies) with whom the Bid cum Application Form was submitted, giving full details such as name Peter Parker First Bidder, Bid cum Application Form number, Bidder’s DP ID, Client ID, UPI ID, PAN, address 12 Park Avenue, Mumbai 400001</w:t>
      </w:r>
    </w:p>
    <w:p>
      <w:pPr>
        <w:spacing w:after="80" w:line="276" w:lineRule="auto"/>
      </w:pPr>
      <w:r>
        <w:rPr>
          <w:rFonts w:ascii="Calibri" w:hAnsi="Calibri"/>
          <w:color w:val="1E293B"/>
          <w:sz w:val="22"/>
        </w:rPr>
        <w:t>All Offer-related grievances of the Anchor Investors may be addressed to the Registrar to the Offer, giving full details such as the name Peter Parker First Bidder, Anchor Investor Application Form number, Bidders’ DP ID, Client ID, PAN, date of the Anchor Investor Application Form, address 221B Baker Street, London NW1 6XE</w:t>
      </w:r>
    </w:p>
    <w:p>
      <w:pPr>
        <w:spacing w:after="80" w:line="276" w:lineRule="auto"/>
      </w:pPr>
      <w:r>
        <w:rPr>
          <w:rFonts w:ascii="Calibri" w:hAnsi="Calibri"/>
          <w:color w:val="1E293B"/>
          <w:sz w:val="22"/>
        </w:rPr>
        <w:t>Book Running Lead Managers</w:t>
      </w:r>
    </w:p>
    <w:p>
      <w:pPr>
        <w:spacing w:after="80" w:line="276" w:lineRule="auto"/>
      </w:pPr>
      <w:r>
        <w:rPr>
          <w:rFonts w:ascii="Calibri" w:hAnsi="Calibri"/>
          <w:color w:val="1E293B"/>
          <w:sz w:val="22"/>
        </w:rPr>
        <w:t>Acme Private Limited</w:t>
      </w:r>
    </w:p>
    <w:p>
      <w:pPr>
        <w:spacing w:after="80" w:line="276" w:lineRule="auto"/>
      </w:pPr>
      <w:r>
        <w:rPr>
          <w:rFonts w:ascii="Calibri" w:hAnsi="Calibri"/>
          <w:color w:val="1E293B"/>
          <w:sz w:val="22"/>
        </w:rPr>
        <w:t>801-804, Wing A, Building No. 3 Inspire BKC G Block, Bandra Kurla Complex</w:t>
      </w:r>
    </w:p>
    <w:p>
      <w:pPr>
        <w:spacing w:after="80" w:line="276" w:lineRule="auto"/>
      </w:pPr>
      <w:r>
        <w:rPr>
          <w:rFonts w:ascii="Calibri" w:hAnsi="Calibri"/>
          <w:color w:val="1E293B"/>
          <w:sz w:val="22"/>
        </w:rPr>
        <w:t>Bandra East, Mumbai – 400 051 Maharashtra, India</w:t>
      </w:r>
    </w:p>
    <w:p>
      <w:pPr>
        <w:spacing w:after="80" w:line="276" w:lineRule="auto"/>
      </w:pPr>
      <w:r>
        <w:rPr>
          <w:rFonts w:ascii="Calibri" w:hAnsi="Calibri"/>
          <w:color w:val="1E293B"/>
          <w:sz w:val="22"/>
        </w:rPr>
        <w:t>Telephone: +91 9876501234 Email: peter.parker@example.com Website: www.nuvama.com</w:t>
      </w:r>
    </w:p>
    <w:p>
      <w:pPr>
        <w:spacing w:after="80" w:line="276" w:lineRule="auto"/>
      </w:pPr>
      <w:r>
        <w:rPr>
          <w:rFonts w:ascii="Calibri" w:hAnsi="Calibri"/>
          <w:color w:val="1E293B"/>
          <w:sz w:val="22"/>
        </w:rPr>
        <w:t>Investor grievance E-mail: peter.parker@example.com</w:t>
      </w:r>
    </w:p>
    <w:p>
      <w:pPr>
        <w:spacing w:after="80" w:line="276" w:lineRule="auto"/>
      </w:pPr>
      <w:r>
        <w:rPr>
          <w:rFonts w:ascii="Calibri" w:hAnsi="Calibri"/>
          <w:color w:val="1E293B"/>
          <w:sz w:val="22"/>
        </w:rPr>
        <w:t>Contact person: Lokesh Shah/ Soumavo Sarkar</w:t>
      </w:r>
    </w:p>
    <w:p>
      <w:pPr>
        <w:spacing w:after="80" w:line="276" w:lineRule="auto"/>
      </w:pPr>
      <w:r>
        <w:rPr>
          <w:rFonts w:ascii="Calibri" w:hAnsi="Calibri"/>
          <w:color w:val="1E293B"/>
          <w:sz w:val="22"/>
        </w:rPr>
        <w:t>SEBI registration no.: INM000013004</w:t>
      </w:r>
    </w:p>
    <w:p>
      <w:pPr>
        <w:spacing w:after="80" w:line="276" w:lineRule="auto"/>
      </w:pPr>
      <w:r>
        <w:rPr>
          <w:rFonts w:ascii="Calibri" w:hAnsi="Calibri"/>
          <w:color w:val="1E293B"/>
          <w:sz w:val="22"/>
        </w:rPr>
        <w:t>Northstar Technologies Ltd ICICI Venture House Appasaheb Marathe Marg Prabhadevi, Mumbai – 400 025 Maharashtra, India</w:t>
      </w:r>
    </w:p>
    <w:p>
      <w:pPr>
        <w:spacing w:after="80" w:line="276" w:lineRule="auto"/>
      </w:pPr>
      <w:r>
        <w:rPr>
          <w:rFonts w:ascii="Calibri" w:hAnsi="Calibri"/>
          <w:color w:val="1E293B"/>
          <w:sz w:val="22"/>
        </w:rPr>
        <w:t>Telephone: +1 202 555 0100 Email: ananya.sharma@example.com Website: www.icicisecurities.com Investor grievance E-mail: ananya.sharma@example.com</w:t>
      </w:r>
    </w:p>
    <w:p>
      <w:pPr>
        <w:spacing w:after="80" w:line="276" w:lineRule="auto"/>
      </w:pPr>
      <w:r>
        <w:rPr>
          <w:rFonts w:ascii="Calibri" w:hAnsi="Calibri"/>
          <w:color w:val="1E293B"/>
          <w:sz w:val="22"/>
        </w:rPr>
        <w:t>Contact person: Kishan Rastogi/Abhijit Diwan</w:t>
      </w:r>
    </w:p>
    <w:p>
      <w:pPr>
        <w:spacing w:after="80" w:line="276" w:lineRule="auto"/>
      </w:pPr>
      <w:r>
        <w:rPr>
          <w:rFonts w:ascii="Calibri" w:hAnsi="Calibri"/>
          <w:color w:val="1E293B"/>
          <w:sz w:val="22"/>
        </w:rPr>
        <w:t>SEBI registration no.: INM000011179</w:t>
      </w:r>
    </w:p>
    <w:p>
      <w:pPr>
        <w:spacing w:after="80" w:line="276" w:lineRule="auto"/>
      </w:pPr>
      <w:r>
        <w:rPr>
          <w:rFonts w:ascii="Calibri" w:hAnsi="Calibri"/>
          <w:color w:val="1E293B"/>
          <w:sz w:val="22"/>
        </w:rPr>
        <w:t>Statement of inter-se allocation of responsibilities among the BRLMs</w:t>
      </w:r>
    </w:p>
    <w:p>
      <w:pPr>
        <w:spacing w:after="80" w:line="276" w:lineRule="auto"/>
      </w:pPr>
      <w:r>
        <w:rPr>
          <w:rFonts w:ascii="Calibri" w:hAnsi="Calibri"/>
          <w:color w:val="1E293B"/>
          <w:sz w:val="22"/>
        </w:rPr>
        <w:t>The responsibilities and coordination by the BRLMs for various activities in the Offer are as follows:</w:t>
      </w:r>
    </w:p>
    <w:p>
      <w:pPr>
        <w:spacing w:after="80" w:line="276" w:lineRule="auto"/>
      </w:pPr>
      <w:r>
        <w:rPr>
          <w:rFonts w:ascii="Calibri" w:hAnsi="Calibri"/>
          <w:color w:val="1E293B"/>
          <w:sz w:val="22"/>
        </w:rPr>
        <w:t>S. No.</w:t>
      </w:r>
    </w:p>
    <w:p>
      <w:pPr>
        <w:spacing w:after="80" w:line="276" w:lineRule="auto"/>
      </w:pPr>
      <w:r>
        <w:rPr>
          <w:rFonts w:ascii="Calibri" w:hAnsi="Calibri"/>
          <w:color w:val="1E293B"/>
          <w:sz w:val="22"/>
        </w:rPr>
        <w:t>Activities</w:t>
      </w:r>
    </w:p>
    <w:p>
      <w:pPr>
        <w:spacing w:after="80" w:line="276" w:lineRule="auto"/>
      </w:pPr>
      <w:r>
        <w:rPr>
          <w:rFonts w:ascii="Calibri" w:hAnsi="Calibri"/>
          <w:color w:val="1E293B"/>
          <w:sz w:val="22"/>
        </w:rPr>
        <w:t>Responsibility</w:t>
      </w:r>
    </w:p>
    <w:p>
      <w:pPr>
        <w:spacing w:after="80" w:line="276" w:lineRule="auto"/>
      </w:pPr>
      <w:r>
        <w:rPr>
          <w:rFonts w:ascii="Calibri" w:hAnsi="Calibri"/>
          <w:color w:val="1E293B"/>
          <w:sz w:val="22"/>
        </w:rPr>
        <w:t>Coordinator</w:t>
      </w:r>
    </w:p>
    <w:p>
      <w:pPr>
        <w:spacing w:after="80" w:line="276" w:lineRule="auto"/>
      </w:pPr>
      <w:r>
        <w:rPr>
          <w:rFonts w:ascii="Calibri" w:hAnsi="Calibri"/>
          <w:color w:val="1E293B"/>
          <w:sz w:val="22"/>
        </w:rPr>
        <w:t>1.</w:t>
      </w:r>
    </w:p>
    <w:p>
      <w:pPr>
        <w:spacing w:after="80" w:line="276" w:lineRule="auto"/>
      </w:pPr>
      <w:r>
        <w:rPr>
          <w:rFonts w:ascii="Calibri" w:hAnsi="Calibri"/>
          <w:color w:val="1E293B"/>
          <w:sz w:val="22"/>
        </w:rPr>
        <w:t>Northstar Technologies Ltd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spacing w:after="80" w:line="276" w:lineRule="auto"/>
      </w:pPr>
      <w:r>
        <w:rPr>
          <w:rFonts w:ascii="Calibri" w:hAnsi="Calibri"/>
          <w:color w:val="1E293B"/>
          <w:sz w:val="22"/>
        </w:rPr>
        <w:t>Capital structuring with the relative components and formalities such as type of instruments, allocation between primary and secondary, etc.</w:t>
      </w:r>
    </w:p>
    <w:p>
      <w:pPr>
        <w:spacing w:after="80" w:line="276" w:lineRule="auto"/>
      </w:pPr>
      <w:r>
        <w:rPr>
          <w:rFonts w:ascii="Calibri" w:hAnsi="Calibri"/>
          <w:color w:val="1E293B"/>
          <w:sz w:val="22"/>
        </w:rPr>
        <w:t>BRLMs</w:t>
      </w:r>
    </w:p>
    <w:p>
      <w:pPr>
        <w:spacing w:after="80" w:line="276" w:lineRule="auto"/>
      </w:pPr>
      <w:r>
        <w:rPr>
          <w:rFonts w:ascii="Calibri" w:hAnsi="Calibri"/>
          <w:color w:val="1E293B"/>
          <w:sz w:val="22"/>
        </w:rPr>
        <w:t>Nuvama</w:t>
      </w:r>
    </w:p>
    <w:p>
      <w:pPr>
        <w:spacing w:after="80" w:line="276" w:lineRule="auto"/>
      </w:pPr>
      <w:r>
        <w:rPr>
          <w:rFonts w:ascii="Calibri" w:hAnsi="Calibri"/>
          <w:color w:val="1E293B"/>
          <w:sz w:val="22"/>
        </w:rPr>
        <w:t>2.</w:t>
      </w:r>
    </w:p>
    <w:p>
      <w:pPr>
        <w:spacing w:after="80" w:line="276" w:lineRule="auto"/>
      </w:pPr>
      <w:r>
        <w:rPr>
          <w:rFonts w:ascii="Calibri" w:hAnsi="Calibri"/>
          <w:color w:val="1E293B"/>
          <w:sz w:val="22"/>
        </w:rPr>
        <w:t>Drafting and approval of statutory advertisements</w:t>
      </w:r>
    </w:p>
    <w:p>
      <w:pPr>
        <w:spacing w:after="80" w:line="276" w:lineRule="auto"/>
      </w:pPr>
      <w:r>
        <w:rPr>
          <w:rFonts w:ascii="Calibri" w:hAnsi="Calibri"/>
          <w:color w:val="1E293B"/>
          <w:sz w:val="22"/>
        </w:rPr>
        <w:t>BRLMs</w:t>
      </w:r>
    </w:p>
    <w:p>
      <w:pPr>
        <w:spacing w:after="80" w:line="276" w:lineRule="auto"/>
      </w:pPr>
      <w:r>
        <w:rPr>
          <w:rFonts w:ascii="Calibri" w:hAnsi="Calibri"/>
          <w:color w:val="1E293B"/>
          <w:sz w:val="22"/>
        </w:rPr>
        <w:t>Nuvama</w:t>
      </w:r>
    </w:p>
    <w:p>
      <w:pPr>
        <w:spacing w:after="80" w:line="276" w:lineRule="auto"/>
      </w:pPr>
      <w:r>
        <w:rPr>
          <w:rFonts w:ascii="Calibri" w:hAnsi="Calibri"/>
          <w:color w:val="1E293B"/>
          <w:sz w:val="22"/>
        </w:rPr>
        <w:t>S. No.</w:t>
      </w:r>
    </w:p>
    <w:p>
      <w:pPr>
        <w:spacing w:after="80" w:line="276" w:lineRule="auto"/>
      </w:pPr>
      <w:r>
        <w:rPr>
          <w:rFonts w:ascii="Calibri" w:hAnsi="Calibri"/>
          <w:color w:val="1E293B"/>
          <w:sz w:val="22"/>
        </w:rPr>
        <w:t>Activities</w:t>
      </w:r>
    </w:p>
    <w:p>
      <w:pPr>
        <w:spacing w:after="80" w:line="276" w:lineRule="auto"/>
      </w:pPr>
      <w:r>
        <w:rPr>
          <w:rFonts w:ascii="Calibri" w:hAnsi="Calibri"/>
          <w:color w:val="1E293B"/>
          <w:sz w:val="22"/>
        </w:rPr>
        <w:t>Responsibility</w:t>
      </w:r>
    </w:p>
    <w:p>
      <w:pPr>
        <w:spacing w:after="80" w:line="276" w:lineRule="auto"/>
      </w:pPr>
      <w:r>
        <w:rPr>
          <w:rFonts w:ascii="Calibri" w:hAnsi="Calibri"/>
          <w:color w:val="1E293B"/>
          <w:sz w:val="22"/>
        </w:rPr>
        <w:t>Coordinator</w:t>
      </w:r>
    </w:p>
    <w:p>
      <w:pPr>
        <w:spacing w:after="80" w:line="276" w:lineRule="auto"/>
      </w:pPr>
      <w:r>
        <w:rPr>
          <w:rFonts w:ascii="Calibri" w:hAnsi="Calibri"/>
          <w:color w:val="1E293B"/>
          <w:sz w:val="22"/>
        </w:rPr>
        <w:t>3.</w:t>
      </w:r>
    </w:p>
    <w:p>
      <w:pPr>
        <w:spacing w:after="80" w:line="276" w:lineRule="auto"/>
      </w:pPr>
      <w:r>
        <w:rPr>
          <w:rFonts w:ascii="Calibri" w:hAnsi="Calibri"/>
          <w:color w:val="1E293B"/>
          <w:sz w:val="22"/>
        </w:rPr>
        <w:t>Drafting and approval of all publicity material other than statutory advertisement as mentioned above including corporate advertising, brochure, etc. and filing of media</w:t>
      </w:r>
    </w:p>
    <w:p>
      <w:pPr>
        <w:spacing w:after="80" w:line="276" w:lineRule="auto"/>
      </w:pPr>
      <w:r>
        <w:rPr>
          <w:rFonts w:ascii="Calibri" w:hAnsi="Calibri"/>
          <w:color w:val="1E293B"/>
          <w:sz w:val="22"/>
        </w:rPr>
        <w:t>compliance report with SEBI</w:t>
      </w:r>
    </w:p>
    <w:p>
      <w:pPr>
        <w:spacing w:after="80" w:line="276" w:lineRule="auto"/>
      </w:pPr>
      <w:r>
        <w:rPr>
          <w:rFonts w:ascii="Calibri" w:hAnsi="Calibri"/>
          <w:color w:val="1E293B"/>
          <w:sz w:val="22"/>
        </w:rPr>
        <w:t>BRLMs</w:t>
      </w:r>
    </w:p>
    <w:p>
      <w:pPr>
        <w:spacing w:after="80" w:line="276" w:lineRule="auto"/>
      </w:pPr>
      <w:r>
        <w:rPr>
          <w:rFonts w:ascii="Calibri" w:hAnsi="Calibri"/>
          <w:color w:val="1E293B"/>
          <w:sz w:val="22"/>
        </w:rPr>
        <w:t>I-Sec</w:t>
      </w:r>
    </w:p>
    <w:p>
      <w:pPr>
        <w:spacing w:after="80" w:line="276" w:lineRule="auto"/>
      </w:pPr>
      <w:r>
        <w:rPr>
          <w:rFonts w:ascii="Calibri" w:hAnsi="Calibri"/>
          <w:color w:val="1E293B"/>
          <w:sz w:val="22"/>
        </w:rPr>
        <w:t>4.</w:t>
      </w:r>
    </w:p>
    <w:p>
      <w:pPr>
        <w:spacing w:after="80" w:line="276" w:lineRule="auto"/>
      </w:pPr>
      <w:r>
        <w:rPr>
          <w:rFonts w:ascii="Calibri" w:hAnsi="Calibri"/>
          <w:color w:val="1E293B"/>
          <w:sz w:val="22"/>
        </w:rPr>
        <w:t>Appointment of all other intermediaries (e.g., Registrar(s), Printer(s), Monitoring Agency, Banker(s) to the Issue and Sponsor Banker to the Issue, Advertising agency</w:t>
      </w:r>
    </w:p>
    <w:p>
      <w:pPr>
        <w:spacing w:after="80" w:line="276" w:lineRule="auto"/>
      </w:pPr>
      <w:r>
        <w:rPr>
          <w:rFonts w:ascii="Calibri" w:hAnsi="Calibri"/>
          <w:color w:val="1E293B"/>
          <w:sz w:val="22"/>
        </w:rPr>
        <w:t>etc.) including coordinating all agreements to be entered with such parties</w:t>
      </w:r>
    </w:p>
    <w:p>
      <w:pPr>
        <w:spacing w:after="80" w:line="276" w:lineRule="auto"/>
      </w:pPr>
      <w:r>
        <w:rPr>
          <w:rFonts w:ascii="Calibri" w:hAnsi="Calibri"/>
          <w:color w:val="1E293B"/>
          <w:sz w:val="22"/>
        </w:rPr>
        <w:t>BRLMs</w:t>
      </w:r>
    </w:p>
    <w:p>
      <w:pPr>
        <w:spacing w:after="80" w:line="276" w:lineRule="auto"/>
      </w:pPr>
      <w:r>
        <w:rPr>
          <w:rFonts w:ascii="Calibri" w:hAnsi="Calibri"/>
          <w:color w:val="1E293B"/>
          <w:sz w:val="22"/>
        </w:rPr>
        <w:t>Nuvama</w:t>
      </w:r>
    </w:p>
    <w:p>
      <w:pPr>
        <w:spacing w:after="80" w:line="276" w:lineRule="auto"/>
      </w:pPr>
      <w:r>
        <w:rPr>
          <w:rFonts w:ascii="Calibri" w:hAnsi="Calibri"/>
          <w:color w:val="1E293B"/>
          <w:sz w:val="22"/>
        </w:rPr>
        <w:t>5.</w:t>
      </w:r>
    </w:p>
    <w:p>
      <w:pPr>
        <w:spacing w:after="80" w:line="276" w:lineRule="auto"/>
      </w:pPr>
      <w:r>
        <w:rPr>
          <w:rFonts w:ascii="Calibri" w:hAnsi="Calibri"/>
          <w:color w:val="1E293B"/>
          <w:sz w:val="22"/>
        </w:rPr>
        <w:t>Preparation of road show presentation and frequently asked questions</w:t>
      </w:r>
    </w:p>
    <w:p>
      <w:pPr>
        <w:spacing w:after="80" w:line="276" w:lineRule="auto"/>
      </w:pPr>
      <w:r>
        <w:rPr>
          <w:rFonts w:ascii="Calibri" w:hAnsi="Calibri"/>
          <w:color w:val="1E293B"/>
          <w:sz w:val="22"/>
        </w:rPr>
        <w:t>BRLMs</w:t>
      </w:r>
    </w:p>
    <w:p>
      <w:pPr>
        <w:spacing w:after="80" w:line="276" w:lineRule="auto"/>
      </w:pPr>
      <w:r>
        <w:rPr>
          <w:rFonts w:ascii="Calibri" w:hAnsi="Calibri"/>
          <w:color w:val="1E293B"/>
          <w:sz w:val="22"/>
        </w:rPr>
        <w:t>I-Sec</w:t>
      </w:r>
    </w:p>
    <w:p>
      <w:pPr>
        <w:spacing w:after="80" w:line="276" w:lineRule="auto"/>
      </w:pPr>
      <w:r>
        <w:rPr>
          <w:rFonts w:ascii="Calibri" w:hAnsi="Calibri"/>
          <w:color w:val="1E293B"/>
          <w:sz w:val="22"/>
        </w:rPr>
        <w:t>6.</w:t>
      </w:r>
    </w:p>
    <w:p>
      <w:pPr>
        <w:spacing w:after="80" w:line="276" w:lineRule="auto"/>
      </w:pPr>
      <w:r>
        <w:rPr>
          <w:rFonts w:ascii="Calibri" w:hAnsi="Calibri"/>
          <w:color w:val="1E293B"/>
          <w:sz w:val="22"/>
        </w:rPr>
        <w:t>International Institutional Marketing of the Issue, which will cover, inter alia:</w:t>
      </w:r>
    </w:p>
    <w:p>
      <w:pPr>
        <w:spacing w:after="80" w:line="276" w:lineRule="auto"/>
      </w:pPr>
      <w:r>
        <w:rPr>
          <w:rFonts w:ascii="Calibri" w:hAnsi="Calibri"/>
          <w:color w:val="1E293B"/>
          <w:sz w:val="22"/>
        </w:rPr>
        <w:t>Marketing strategy</w:t>
      </w:r>
    </w:p>
    <w:p>
      <w:pPr>
        <w:spacing w:after="80" w:line="276" w:lineRule="auto"/>
      </w:pPr>
      <w:r>
        <w:rPr>
          <w:rFonts w:ascii="Calibri" w:hAnsi="Calibri"/>
          <w:color w:val="1E293B"/>
          <w:sz w:val="22"/>
        </w:rPr>
        <w:t>Finalising the list and division of international investors for one-to-one meetings and</w:t>
      </w:r>
    </w:p>
    <w:p>
      <w:pPr>
        <w:spacing w:after="80" w:line="276" w:lineRule="auto"/>
      </w:pPr>
      <w:r>
        <w:rPr>
          <w:rFonts w:ascii="Calibri" w:hAnsi="Calibri"/>
          <w:color w:val="1E293B"/>
          <w:sz w:val="22"/>
        </w:rPr>
        <w:t>Finalizing road show and investor meeting schedules</w:t>
      </w:r>
    </w:p>
    <w:p>
      <w:pPr>
        <w:spacing w:after="80" w:line="276" w:lineRule="auto"/>
      </w:pPr>
      <w:r>
        <w:rPr>
          <w:rFonts w:ascii="Calibri" w:hAnsi="Calibri"/>
          <w:color w:val="1E293B"/>
          <w:sz w:val="22"/>
        </w:rPr>
        <w:t>BRLMs</w:t>
      </w:r>
    </w:p>
    <w:p>
      <w:pPr>
        <w:spacing w:after="80" w:line="276" w:lineRule="auto"/>
      </w:pPr>
      <w:r>
        <w:rPr>
          <w:rFonts w:ascii="Calibri" w:hAnsi="Calibri"/>
          <w:color w:val="1E293B"/>
          <w:sz w:val="22"/>
        </w:rPr>
        <w:t>I-Sec</w:t>
      </w:r>
    </w:p>
    <w:p>
      <w:pPr>
        <w:spacing w:after="80" w:line="276" w:lineRule="auto"/>
      </w:pPr>
      <w:r>
        <w:rPr>
          <w:rFonts w:ascii="Calibri" w:hAnsi="Calibri"/>
          <w:color w:val="1E293B"/>
          <w:sz w:val="22"/>
        </w:rPr>
        <w:t>7.</w:t>
      </w:r>
    </w:p>
    <w:p>
      <w:pPr>
        <w:spacing w:after="80" w:line="276" w:lineRule="auto"/>
      </w:pPr>
      <w:r>
        <w:rPr>
          <w:rFonts w:ascii="Calibri" w:hAnsi="Calibri"/>
          <w:color w:val="1E293B"/>
          <w:sz w:val="22"/>
        </w:rPr>
        <w:t>Domestic Institutional Marketing of the Issue, which will cover, inter alia:</w:t>
      </w:r>
    </w:p>
    <w:p>
      <w:pPr>
        <w:spacing w:after="80" w:line="276" w:lineRule="auto"/>
      </w:pPr>
      <w:r>
        <w:rPr>
          <w:rFonts w:ascii="Calibri" w:hAnsi="Calibri"/>
          <w:color w:val="1E293B"/>
          <w:sz w:val="22"/>
        </w:rPr>
        <w:t>Finalising the list and division of domestic investors for one-to-one meetings</w:t>
      </w:r>
    </w:p>
    <w:p>
      <w:pPr>
        <w:spacing w:after="80" w:line="276" w:lineRule="auto"/>
      </w:pPr>
      <w:r>
        <w:rPr>
          <w:rFonts w:ascii="Calibri" w:hAnsi="Calibri"/>
          <w:color w:val="1E293B"/>
          <w:sz w:val="22"/>
        </w:rPr>
        <w:t>Finalizing domestic road show schedules and investor meeting schedules</w:t>
      </w:r>
    </w:p>
    <w:p>
      <w:pPr>
        <w:spacing w:after="80" w:line="276" w:lineRule="auto"/>
      </w:pPr>
      <w:r>
        <w:rPr>
          <w:rFonts w:ascii="Calibri" w:hAnsi="Calibri"/>
          <w:color w:val="1E293B"/>
          <w:sz w:val="22"/>
        </w:rPr>
        <w:t>BRLMs</w:t>
      </w:r>
    </w:p>
    <w:p>
      <w:pPr>
        <w:spacing w:after="80" w:line="276" w:lineRule="auto"/>
      </w:pPr>
      <w:r>
        <w:rPr>
          <w:rFonts w:ascii="Calibri" w:hAnsi="Calibri"/>
          <w:color w:val="1E293B"/>
          <w:sz w:val="22"/>
        </w:rPr>
        <w:t>Nuvama</w:t>
      </w:r>
    </w:p>
    <w:p>
      <w:pPr>
        <w:spacing w:after="80" w:line="276" w:lineRule="auto"/>
      </w:pPr>
      <w:r>
        <w:rPr>
          <w:rFonts w:ascii="Calibri" w:hAnsi="Calibri"/>
          <w:color w:val="1E293B"/>
          <w:sz w:val="22"/>
        </w:rPr>
        <w:t>8.</w:t>
      </w:r>
    </w:p>
    <w:p>
      <w:pPr>
        <w:spacing w:after="80" w:line="276" w:lineRule="auto"/>
      </w:pPr>
      <w:r>
        <w:rPr>
          <w:rFonts w:ascii="Calibri" w:hAnsi="Calibri"/>
          <w:color w:val="1E293B"/>
          <w:sz w:val="22"/>
        </w:rPr>
        <w:t>Non-institutional marketing of the Issue, which will cover, inter alia,</w:t>
      </w:r>
    </w:p>
    <w:p>
      <w:pPr>
        <w:spacing w:after="80" w:line="276" w:lineRule="auto"/>
      </w:pPr>
      <w:r>
        <w:rPr>
          <w:rFonts w:ascii="Calibri" w:hAnsi="Calibri"/>
          <w:color w:val="1E293B"/>
          <w:sz w:val="22"/>
        </w:rPr>
        <w:t>Finalising media, marketing and public relations strategy including list of frequently asked questions at non-institutional road shows; and</w:t>
      </w:r>
    </w:p>
    <w:p>
      <w:pPr>
        <w:spacing w:after="80" w:line="276" w:lineRule="auto"/>
      </w:pPr>
      <w:r>
        <w:rPr>
          <w:rFonts w:ascii="Calibri" w:hAnsi="Calibri"/>
          <w:color w:val="1E293B"/>
          <w:sz w:val="22"/>
        </w:rPr>
        <w:t>Finalising centres for holding conferences for brokers, etc.;</w:t>
      </w:r>
    </w:p>
    <w:p>
      <w:pPr>
        <w:spacing w:after="80" w:line="276" w:lineRule="auto"/>
      </w:pPr>
      <w:r>
        <w:rPr>
          <w:rFonts w:ascii="Calibri" w:hAnsi="Calibri"/>
          <w:color w:val="1E293B"/>
          <w:sz w:val="22"/>
        </w:rPr>
        <w:t>BRLMs</w:t>
      </w:r>
    </w:p>
    <w:p>
      <w:pPr>
        <w:spacing w:after="80" w:line="276" w:lineRule="auto"/>
      </w:pPr>
      <w:r>
        <w:rPr>
          <w:rFonts w:ascii="Calibri" w:hAnsi="Calibri"/>
          <w:color w:val="1E293B"/>
          <w:sz w:val="22"/>
        </w:rPr>
        <w:t>Nuvama</w:t>
      </w:r>
    </w:p>
    <w:p>
      <w:pPr>
        <w:spacing w:after="80" w:line="276" w:lineRule="auto"/>
      </w:pPr>
      <w:r>
        <w:rPr>
          <w:rFonts w:ascii="Calibri" w:hAnsi="Calibri"/>
          <w:color w:val="1E293B"/>
          <w:sz w:val="22"/>
        </w:rPr>
        <w:t>9.</w:t>
      </w:r>
    </w:p>
    <w:p>
      <w:pPr>
        <w:spacing w:after="80" w:line="276" w:lineRule="auto"/>
      </w:pPr>
      <w:r>
        <w:rPr>
          <w:rFonts w:ascii="Calibri" w:hAnsi="Calibri"/>
          <w:color w:val="1E293B"/>
          <w:sz w:val="22"/>
        </w:rPr>
        <w:t>Retail Marketing of the Issue, which will cover, inter alia,</w:t>
      </w:r>
    </w:p>
    <w:p>
      <w:pPr>
        <w:spacing w:after="80" w:line="276" w:lineRule="auto"/>
      </w:pPr>
      <w:r>
        <w:rPr>
          <w:rFonts w:ascii="Calibri" w:hAnsi="Calibri"/>
          <w:color w:val="1E293B"/>
          <w:sz w:val="22"/>
        </w:rPr>
        <w:t>Formulating marketing strategies, preparation of publicity budget</w:t>
      </w:r>
    </w:p>
    <w:p>
      <w:pPr>
        <w:spacing w:after="80" w:line="276" w:lineRule="auto"/>
      </w:pPr>
      <w:r>
        <w:rPr>
          <w:rFonts w:ascii="Calibri" w:hAnsi="Calibri"/>
          <w:color w:val="1E293B"/>
          <w:sz w:val="22"/>
        </w:rPr>
        <w:t>Finalizing Media and PR strategy</w:t>
      </w:r>
    </w:p>
    <w:p>
      <w:pPr>
        <w:spacing w:after="80" w:line="276" w:lineRule="auto"/>
      </w:pPr>
      <w:r>
        <w:rPr>
          <w:rFonts w:ascii="Calibri" w:hAnsi="Calibri"/>
          <w:color w:val="1E293B"/>
          <w:sz w:val="22"/>
        </w:rPr>
        <w:t>Finalizing centres for holding conferences for brokers, etc.</w:t>
      </w:r>
    </w:p>
    <w:p>
      <w:pPr>
        <w:spacing w:after="80" w:line="276" w:lineRule="auto"/>
      </w:pPr>
      <w:r>
        <w:rPr>
          <w:rFonts w:ascii="Calibri" w:hAnsi="Calibri"/>
          <w:color w:val="1E293B"/>
          <w:sz w:val="22"/>
        </w:rPr>
        <w:t>Finalizing collection centres; and</w:t>
      </w:r>
    </w:p>
    <w:p>
      <w:pPr>
        <w:spacing w:after="80" w:line="276" w:lineRule="auto"/>
      </w:pPr>
      <w:r>
        <w:rPr>
          <w:rFonts w:ascii="Calibri" w:hAnsi="Calibri"/>
          <w:color w:val="1E293B"/>
          <w:sz w:val="22"/>
        </w:rPr>
        <w:t>Follow-up on distribution of publicity and Issue material including application form, prospectus and deciding on the quantum of the Issue material</w:t>
      </w:r>
    </w:p>
    <w:p>
      <w:pPr>
        <w:spacing w:after="80" w:line="276" w:lineRule="auto"/>
      </w:pPr>
      <w:r>
        <w:rPr>
          <w:rFonts w:ascii="Calibri" w:hAnsi="Calibri"/>
          <w:color w:val="1E293B"/>
          <w:sz w:val="22"/>
        </w:rPr>
        <w:t>BRLMs</w:t>
      </w:r>
    </w:p>
    <w:p>
      <w:pPr>
        <w:spacing w:after="80" w:line="276" w:lineRule="auto"/>
      </w:pPr>
      <w:r>
        <w:rPr>
          <w:rFonts w:ascii="Calibri" w:hAnsi="Calibri"/>
          <w:color w:val="1E293B"/>
          <w:sz w:val="22"/>
        </w:rPr>
        <w:t>I-Sec</w:t>
      </w:r>
    </w:p>
    <w:p>
      <w:pPr>
        <w:spacing w:after="80" w:line="276" w:lineRule="auto"/>
      </w:pPr>
      <w:r>
        <w:rPr>
          <w:rFonts w:ascii="Calibri" w:hAnsi="Calibri"/>
          <w:color w:val="1E293B"/>
          <w:sz w:val="22"/>
        </w:rPr>
        <w:t>10.</w:t>
      </w:r>
    </w:p>
    <w:p>
      <w:pPr>
        <w:spacing w:after="80" w:line="276" w:lineRule="auto"/>
      </w:pPr>
      <w:r>
        <w:rPr>
          <w:rFonts w:ascii="Calibri" w:hAnsi="Calibri"/>
          <w:color w:val="1E293B"/>
          <w:sz w:val="22"/>
        </w:rPr>
        <w:t>Coordination with Stock-Exchanges for book building software, bidding terminals, mock trading, anchor coordination, anchor CAN and intimation of anchor allocation</w:t>
      </w:r>
    </w:p>
    <w:p>
      <w:pPr>
        <w:spacing w:after="80" w:line="276" w:lineRule="auto"/>
      </w:pPr>
      <w:r>
        <w:rPr>
          <w:rFonts w:ascii="Calibri" w:hAnsi="Calibri"/>
          <w:color w:val="1E293B"/>
          <w:sz w:val="22"/>
        </w:rPr>
        <w:t>BRLMs</w:t>
      </w:r>
    </w:p>
    <w:p>
      <w:pPr>
        <w:spacing w:after="80" w:line="276" w:lineRule="auto"/>
      </w:pPr>
      <w:r>
        <w:rPr>
          <w:rFonts w:ascii="Calibri" w:hAnsi="Calibri"/>
          <w:color w:val="1E293B"/>
          <w:sz w:val="22"/>
        </w:rPr>
        <w:t>I-Sec</w:t>
      </w:r>
    </w:p>
    <w:p>
      <w:pPr>
        <w:spacing w:after="80" w:line="276" w:lineRule="auto"/>
      </w:pPr>
      <w:r>
        <w:rPr>
          <w:rFonts w:ascii="Calibri" w:hAnsi="Calibri"/>
          <w:color w:val="1E293B"/>
          <w:sz w:val="22"/>
        </w:rPr>
        <w:t>11.</w:t>
      </w:r>
    </w:p>
    <w:p>
      <w:pPr>
        <w:spacing w:after="80" w:line="276" w:lineRule="auto"/>
      </w:pPr>
      <w:r>
        <w:rPr>
          <w:rFonts w:ascii="Calibri" w:hAnsi="Calibri"/>
          <w:color w:val="1E293B"/>
          <w:sz w:val="22"/>
        </w:rPr>
        <w:t>Managing the book and finalization Bluebird Capital LLP</w:t>
      </w:r>
    </w:p>
    <w:p>
      <w:pPr>
        <w:spacing w:after="80" w:line="276" w:lineRule="auto"/>
      </w:pPr>
      <w:r>
        <w:rPr>
          <w:rFonts w:ascii="Calibri" w:hAnsi="Calibri"/>
          <w:color w:val="1E293B"/>
          <w:sz w:val="22"/>
        </w:rPr>
        <w:t>BRLMs</w:t>
      </w:r>
    </w:p>
    <w:p>
      <w:pPr>
        <w:spacing w:after="80" w:line="276" w:lineRule="auto"/>
      </w:pPr>
      <w:r>
        <w:rPr>
          <w:rFonts w:ascii="Calibri" w:hAnsi="Calibri"/>
          <w:color w:val="1E293B"/>
          <w:sz w:val="22"/>
        </w:rPr>
        <w:t>I-Sec</w:t>
      </w:r>
    </w:p>
    <w:p>
      <w:pPr>
        <w:spacing w:after="80" w:line="276" w:lineRule="auto"/>
      </w:pPr>
      <w:r>
        <w:rPr>
          <w:rFonts w:ascii="Calibri" w:hAnsi="Calibri"/>
          <w:color w:val="1E293B"/>
          <w:sz w:val="22"/>
        </w:rPr>
        <w:t>12.</w:t>
      </w:r>
    </w:p>
    <w:p>
      <w:pPr>
        <w:spacing w:after="80" w:line="276" w:lineRule="auto"/>
      </w:pPr>
      <w:r>
        <w:rPr>
          <w:rFonts w:ascii="Calibri" w:hAnsi="Calibri"/>
          <w:color w:val="1E293B"/>
          <w:sz w:val="22"/>
        </w:rPr>
        <w:t>Post-Offer activities, which shall involve essential follow-up with Bankers to the Issue and SCSBs to get Acme Private Limited about the closure of the Issue, based on correct figures, finalisation of the basis of allotment or weeding out of multiple applications, unblocking of application monies, listing of instruments, dispatch of certificates or demat credit and refunds, payment of 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spacing w:after="80" w:line="276" w:lineRule="auto"/>
      </w:pPr>
      <w:r>
        <w:rPr>
          <w:rFonts w:ascii="Calibri" w:hAnsi="Calibri"/>
          <w:color w:val="1E293B"/>
          <w:sz w:val="22"/>
        </w:rPr>
        <w:t>Coordinating with Stock Exchanges and SEBI for submission of all post-Issue reports including the initial and final post-Issue report to SEBI.</w:t>
      </w:r>
    </w:p>
    <w:p>
      <w:pPr>
        <w:spacing w:after="80" w:line="276" w:lineRule="auto"/>
      </w:pPr>
      <w:r>
        <w:rPr>
          <w:rFonts w:ascii="Calibri" w:hAnsi="Calibri"/>
          <w:color w:val="1E293B"/>
          <w:sz w:val="22"/>
        </w:rPr>
        <w:t>BRLMs</w:t>
      </w:r>
    </w:p>
    <w:p>
      <w:pPr>
        <w:spacing w:after="80" w:line="276" w:lineRule="auto"/>
      </w:pPr>
      <w:r>
        <w:rPr>
          <w:rFonts w:ascii="Calibri" w:hAnsi="Calibri"/>
          <w:color w:val="1E293B"/>
          <w:sz w:val="22"/>
        </w:rPr>
        <w:t>I-Sec</w:t>
      </w:r>
    </w:p>
    <w:p>
      <w:pPr>
        <w:spacing w:after="80" w:line="276" w:lineRule="auto"/>
      </w:pPr>
      <w:r>
        <w:rPr>
          <w:rFonts w:ascii="Calibri" w:hAnsi="Calibri"/>
          <w:color w:val="1E293B"/>
          <w:sz w:val="22"/>
        </w:rPr>
        <w:t>Syndicate Members</w:t>
      </w:r>
    </w:p>
    <w:p>
      <w:pPr>
        <w:spacing w:after="80" w:line="276" w:lineRule="auto"/>
      </w:pPr>
      <w:r>
        <w:rPr>
          <w:rFonts w:ascii="Calibri" w:hAnsi="Calibri"/>
          <w:color w:val="1E293B"/>
          <w:sz w:val="22"/>
        </w:rPr>
        <w:t>Acme Private Limited</w:t>
      </w:r>
    </w:p>
    <w:p>
      <w:pPr>
        <w:spacing w:after="80" w:line="276" w:lineRule="auto"/>
      </w:pPr>
      <w:r>
        <w:rPr>
          <w:rFonts w:ascii="Calibri" w:hAnsi="Calibri"/>
          <w:color w:val="1E293B"/>
          <w:sz w:val="22"/>
        </w:rPr>
        <w:t>801-804, Wing A, Building No 3 Inspire BKC, G Block</w:t>
      </w:r>
    </w:p>
    <w:p>
      <w:pPr>
        <w:spacing w:after="80" w:line="276" w:lineRule="auto"/>
      </w:pPr>
      <w:r>
        <w:rPr>
          <w:rFonts w:ascii="Calibri" w:hAnsi="Calibri"/>
          <w:color w:val="1E293B"/>
          <w:sz w:val="22"/>
        </w:rPr>
        <w:t>Bandra Kurla Complex, Bandra East Mumbai 400 051</w:t>
      </w:r>
    </w:p>
    <w:p>
      <w:pPr>
        <w:spacing w:after="80" w:line="276" w:lineRule="auto"/>
      </w:pPr>
      <w:r>
        <w:rPr>
          <w:rFonts w:ascii="Calibri" w:hAnsi="Calibri"/>
          <w:color w:val="1E293B"/>
          <w:sz w:val="22"/>
        </w:rPr>
        <w:t>Maharashtra, India</w:t>
      </w:r>
    </w:p>
    <w:p>
      <w:pPr>
        <w:spacing w:after="80" w:line="276" w:lineRule="auto"/>
      </w:pPr>
      <w:r>
        <w:rPr>
          <w:rFonts w:ascii="Calibri" w:hAnsi="Calibri"/>
          <w:color w:val="1E293B"/>
          <w:sz w:val="22"/>
        </w:rPr>
        <w:t>Telephone: + +1 202 555 0100</w:t>
      </w:r>
    </w:p>
    <w:p>
      <w:pPr>
        <w:spacing w:after="80" w:line="276" w:lineRule="auto"/>
      </w:pPr>
      <w:r>
        <w:rPr>
          <w:rFonts w:ascii="Calibri" w:hAnsi="Calibri"/>
          <w:color w:val="1E293B"/>
          <w:sz w:val="22"/>
        </w:rPr>
        <w:t>Email: peter.parker@example.com, peter.parker@example.com, and ananya.sharma@example.com</w:t>
      </w:r>
    </w:p>
    <w:p>
      <w:pPr>
        <w:spacing w:after="80" w:line="276" w:lineRule="auto"/>
      </w:pPr>
      <w:r>
        <w:rPr>
          <w:rFonts w:ascii="Calibri" w:hAnsi="Calibri"/>
          <w:color w:val="1E293B"/>
          <w:sz w:val="22"/>
        </w:rPr>
        <w:t>Website: www.nuvama.com</w:t>
      </w:r>
    </w:p>
    <w:p>
      <w:pPr>
        <w:spacing w:after="80" w:line="276" w:lineRule="auto"/>
      </w:pPr>
      <w:r>
        <w:rPr>
          <w:rFonts w:ascii="Calibri" w:hAnsi="Calibri"/>
          <w:color w:val="1E293B"/>
          <w:sz w:val="22"/>
        </w:rPr>
        <w:t>Contact Person: Prakash Boricha</w:t>
      </w:r>
    </w:p>
    <w:p>
      <w:pPr>
        <w:spacing w:after="80" w:line="276" w:lineRule="auto"/>
      </w:pPr>
      <w:r>
        <w:rPr>
          <w:rFonts w:ascii="Calibri" w:hAnsi="Calibri"/>
          <w:color w:val="1E293B"/>
          <w:sz w:val="22"/>
        </w:rPr>
        <w:t>SEBI Registration Number: INZ000166136</w:t>
      </w:r>
    </w:p>
    <w:p>
      <w:pPr>
        <w:spacing w:after="80" w:line="276" w:lineRule="auto"/>
      </w:pPr>
      <w:r>
        <w:rPr>
          <w:rFonts w:ascii="Calibri" w:hAnsi="Calibri"/>
          <w:color w:val="1E293B"/>
          <w:sz w:val="22"/>
        </w:rPr>
        <w:t>Northstar Technologies Ltd ICICI Venture House Appasaheb Marathe Marg Prabhadevi, Mumbai – 400 025 Maharashtra, India</w:t>
      </w:r>
    </w:p>
    <w:p>
      <w:pPr>
        <w:spacing w:after="80" w:line="276" w:lineRule="auto"/>
      </w:pPr>
      <w:r>
        <w:rPr>
          <w:rFonts w:ascii="Calibri" w:hAnsi="Calibri"/>
          <w:color w:val="1E293B"/>
          <w:sz w:val="22"/>
        </w:rPr>
        <w:t>Telephone: +1 202 555 0100 Email: ananya.sharma@example.com Website: www.icicisecurities.com</w:t>
      </w:r>
    </w:p>
    <w:p>
      <w:pPr>
        <w:spacing w:after="80" w:line="276" w:lineRule="auto"/>
      </w:pPr>
      <w:r>
        <w:rPr>
          <w:rFonts w:ascii="Calibri" w:hAnsi="Calibri"/>
          <w:color w:val="1E293B"/>
          <w:sz w:val="22"/>
        </w:rPr>
        <w:t>Investor grievance E-mail: ananya.sharma@example.com</w:t>
      </w:r>
    </w:p>
    <w:p>
      <w:pPr>
        <w:spacing w:after="80" w:line="276" w:lineRule="auto"/>
      </w:pPr>
      <w:r>
        <w:rPr>
          <w:rFonts w:ascii="Calibri" w:hAnsi="Calibri"/>
          <w:color w:val="1E293B"/>
          <w:sz w:val="22"/>
        </w:rPr>
        <w:t>Contact person: Kishan Rastogi/Abhijit Diwan</w:t>
      </w:r>
    </w:p>
    <w:p>
      <w:pPr>
        <w:spacing w:after="80" w:line="276" w:lineRule="auto"/>
      </w:pPr>
      <w:r>
        <w:rPr>
          <w:rFonts w:ascii="Calibri" w:hAnsi="Calibri"/>
          <w:color w:val="1E293B"/>
          <w:sz w:val="22"/>
        </w:rPr>
        <w:t>SEBI registration no.: INM000011179</w:t>
      </w:r>
    </w:p>
    <w:p>
      <w:pPr>
        <w:spacing w:after="80" w:line="276" w:lineRule="auto"/>
      </w:pPr>
      <w:r>
        <w:rPr>
          <w:rFonts w:ascii="Calibri" w:hAnsi="Calibri"/>
          <w:color w:val="1E293B"/>
          <w:sz w:val="22"/>
        </w:rPr>
        <w:t>Northstar Technologies Ltd as to Indian Law Trilegal</w:t>
      </w:r>
    </w:p>
    <w:p>
      <w:pPr>
        <w:spacing w:after="80" w:line="276" w:lineRule="auto"/>
      </w:pPr>
      <w:r>
        <w:rPr>
          <w:rFonts w:ascii="Calibri" w:hAnsi="Calibri"/>
          <w:color w:val="1E293B"/>
          <w:sz w:val="22"/>
        </w:rPr>
        <w:t>One World Centre</w:t>
      </w:r>
    </w:p>
    <w:p>
      <w:pPr>
        <w:spacing w:after="80" w:line="276" w:lineRule="auto"/>
      </w:pPr>
      <w:r>
        <w:rPr>
          <w:rFonts w:ascii="Calibri" w:hAnsi="Calibri"/>
          <w:color w:val="1E293B"/>
          <w:sz w:val="22"/>
        </w:rPr>
        <w:t>10th Floor, Tower 2A &amp; 2B</w:t>
      </w:r>
    </w:p>
    <w:p>
      <w:pPr>
        <w:spacing w:after="80" w:line="276" w:lineRule="auto"/>
      </w:pPr>
      <w:r>
        <w:rPr>
          <w:rFonts w:ascii="Calibri" w:hAnsi="Calibri"/>
          <w:color w:val="1E293B"/>
          <w:sz w:val="22"/>
        </w:rPr>
        <w:t>Senapati Bapat Marg, Lower Parel (West) Mumbai – 400 013</w:t>
      </w:r>
    </w:p>
    <w:p>
      <w:pPr>
        <w:spacing w:after="80" w:line="276" w:lineRule="auto"/>
      </w:pPr>
      <w:r>
        <w:rPr>
          <w:rFonts w:ascii="Calibri" w:hAnsi="Calibri"/>
          <w:color w:val="1E293B"/>
          <w:sz w:val="22"/>
        </w:rPr>
        <w:t>Maharashtra, India</w:t>
      </w:r>
    </w:p>
    <w:p>
      <w:pPr>
        <w:spacing w:after="80" w:line="276" w:lineRule="auto"/>
      </w:pPr>
      <w:r>
        <w:rPr>
          <w:rFonts w:ascii="Calibri" w:hAnsi="Calibri"/>
          <w:color w:val="1E293B"/>
          <w:sz w:val="22"/>
        </w:rPr>
        <w:t>Email: john.doe@example.com</w:t>
      </w:r>
    </w:p>
    <w:p>
      <w:pPr>
        <w:spacing w:after="80" w:line="276" w:lineRule="auto"/>
      </w:pPr>
      <w:r>
        <w:rPr>
          <w:rFonts w:ascii="Calibri" w:hAnsi="Calibri"/>
          <w:color w:val="1E293B"/>
          <w:sz w:val="22"/>
        </w:rPr>
        <w:t>Telephone: +91 1234567890</w:t>
      </w:r>
    </w:p>
    <w:p>
      <w:pPr>
        <w:spacing w:after="80" w:line="276" w:lineRule="auto"/>
      </w:pPr>
      <w:r>
        <w:rPr>
          <w:rFonts w:ascii="Calibri" w:hAnsi="Calibri"/>
          <w:color w:val="1E293B"/>
          <w:sz w:val="22"/>
        </w:rPr>
        <w:t>Registrar to the Offer</w:t>
      </w:r>
    </w:p>
    <w:p>
      <w:pPr>
        <w:spacing w:after="80" w:line="276" w:lineRule="auto"/>
      </w:pPr>
      <w:r>
        <w:rPr>
          <w:rFonts w:ascii="Calibri" w:hAnsi="Calibri"/>
          <w:color w:val="1E293B"/>
          <w:sz w:val="22"/>
        </w:rPr>
        <w:t>Bluebird Capital LLP (Acme Private Limited) C-101, Embassy 247</w:t>
      </w:r>
    </w:p>
    <w:p>
      <w:pPr>
        <w:spacing w:after="80" w:line="276" w:lineRule="auto"/>
      </w:pPr>
      <w:r>
        <w:rPr>
          <w:rFonts w:ascii="Calibri" w:hAnsi="Calibri"/>
          <w:color w:val="1E293B"/>
          <w:sz w:val="22"/>
        </w:rPr>
        <w:t>1st Floor, L B S Marg, Vikhroli (West) Mumbai 400083, (Maharashtra), India Telephone: +91 81081 14949</w:t>
      </w:r>
    </w:p>
    <w:p>
      <w:pPr>
        <w:spacing w:after="80" w:line="276" w:lineRule="auto"/>
      </w:pPr>
      <w:r>
        <w:rPr>
          <w:rFonts w:ascii="Calibri" w:hAnsi="Calibri"/>
          <w:color w:val="1E293B"/>
          <w:sz w:val="22"/>
        </w:rPr>
        <w:t>E-mail: john.doe@example.com</w:t>
      </w:r>
    </w:p>
    <w:p>
      <w:pPr>
        <w:spacing w:after="80" w:line="276" w:lineRule="auto"/>
      </w:pPr>
      <w:r>
        <w:rPr>
          <w:rFonts w:ascii="Calibri" w:hAnsi="Calibri"/>
          <w:color w:val="1E293B"/>
          <w:sz w:val="22"/>
        </w:rPr>
        <w:t>Investor grievance E-mail: john.doe@example.com</w:t>
      </w:r>
    </w:p>
    <w:p>
      <w:pPr>
        <w:spacing w:after="80" w:line="276" w:lineRule="auto"/>
      </w:pPr>
      <w:r>
        <w:rPr>
          <w:rFonts w:ascii="Calibri" w:hAnsi="Calibri"/>
          <w:color w:val="1E293B"/>
          <w:sz w:val="22"/>
        </w:rPr>
        <w:t>Website: www.in.mpms.mufg.com Contact Person: Shanti Gopalkrishnan SEBI Registration No.: INR000004058</w:t>
      </w:r>
    </w:p>
    <w:p>
      <w:pPr>
        <w:spacing w:after="80" w:line="276" w:lineRule="auto"/>
      </w:pPr>
      <w:r>
        <w:rPr>
          <w:rFonts w:ascii="Calibri" w:hAnsi="Calibri"/>
          <w:color w:val="1E293B"/>
          <w:sz w:val="22"/>
        </w:rPr>
        <w:t>URL of SEBI website: www.sebi.gov.in/sebiweb/other/OtherAction.do?doRecognisedFpi=yes&amp;intmId=10</w:t>
      </w:r>
    </w:p>
    <w:p>
      <w:pPr>
        <w:spacing w:after="80" w:line="276" w:lineRule="auto"/>
      </w:pPr>
      <w:r>
        <w:rPr>
          <w:rFonts w:ascii="Calibri" w:hAnsi="Calibri"/>
          <w:color w:val="1E293B"/>
          <w:sz w:val="22"/>
        </w:rPr>
        <w:t>CIN: U67190MH1999PTC118368</w:t>
      </w:r>
    </w:p>
    <w:p>
      <w:pPr>
        <w:spacing w:after="80" w:line="276" w:lineRule="auto"/>
      </w:pPr>
      <w:r>
        <w:rPr>
          <w:rFonts w:ascii="Calibri" w:hAnsi="Calibri"/>
          <w:color w:val="1E293B"/>
          <w:sz w:val="22"/>
        </w:rPr>
        <w:t>Bankers to the Bluebird Capital LLP</w:t>
      </w:r>
    </w:p>
    <w:p>
      <w:pPr>
        <w:spacing w:after="80" w:line="276" w:lineRule="auto"/>
      </w:pPr>
      <w:r>
        <w:rPr>
          <w:rFonts w:ascii="Calibri" w:hAnsi="Calibri"/>
          <w:color w:val="1E293B"/>
          <w:sz w:val="22"/>
        </w:rPr>
        <w:t>Acme Private Limited, FIG-OPS Department – Lodha I Think Techno Campus, O-3 Level</w:t>
      </w:r>
    </w:p>
    <w:p>
      <w:pPr>
        <w:spacing w:after="80" w:line="276" w:lineRule="auto"/>
      </w:pPr>
      <w:r>
        <w:rPr>
          <w:rFonts w:ascii="Calibri" w:hAnsi="Calibri"/>
          <w:color w:val="1E293B"/>
          <w:sz w:val="22"/>
        </w:rPr>
        <w:t>Next to Kanjurmarg Railway Station, Kanjurmarg (East) Mumbai – 400042, Maharashtra, India</w:t>
      </w:r>
    </w:p>
    <w:p>
      <w:pPr>
        <w:spacing w:after="80" w:line="276" w:lineRule="auto"/>
      </w:pPr>
      <w:r>
        <w:rPr>
          <w:rFonts w:ascii="Calibri" w:hAnsi="Calibri"/>
          <w:color w:val="1E293B"/>
          <w:sz w:val="22"/>
        </w:rPr>
        <w:t>Telephone: +91 9876501234, +1 202 555 0100 and +91 1234567890</w:t>
      </w:r>
    </w:p>
    <w:p>
      <w:pPr>
        <w:spacing w:after="80" w:line="276" w:lineRule="auto"/>
      </w:pPr>
      <w:r>
        <w:rPr>
          <w:rFonts w:ascii="Calibri" w:hAnsi="Calibri"/>
          <w:color w:val="1E293B"/>
          <w:sz w:val="22"/>
        </w:rPr>
        <w:t>Email: peter.parker@example.com, ananya.sharma@example.com john.doe@example.com, peter.parker@example.com, and ananya.sharma@example.com Website: www.hdfcbank.com</w:t>
      </w:r>
    </w:p>
    <w:p>
      <w:pPr>
        <w:spacing w:after="80" w:line="276" w:lineRule="auto"/>
      </w:pPr>
      <w:r>
        <w:rPr>
          <w:rFonts w:ascii="Calibri" w:hAnsi="Calibri"/>
          <w:color w:val="1E293B"/>
          <w:sz w:val="22"/>
        </w:rPr>
        <w:t>Contact Person: Eric Bacha/ Sachin Gawade/ Pravin Teli/ Siddharth Jadhav/ Tushar Gavankar</w:t>
      </w:r>
    </w:p>
    <w:p>
      <w:pPr>
        <w:spacing w:after="80" w:line="276" w:lineRule="auto"/>
      </w:pPr>
      <w:r>
        <w:rPr>
          <w:rFonts w:ascii="Calibri" w:hAnsi="Calibri"/>
          <w:color w:val="1E293B"/>
          <w:sz w:val="22"/>
        </w:rPr>
        <w:t>SEBI Registration No: INBI00000063</w:t>
      </w:r>
    </w:p>
    <w:p>
      <w:pPr>
        <w:spacing w:after="80" w:line="276" w:lineRule="auto"/>
      </w:pPr>
      <w:r>
        <w:rPr>
          <w:rFonts w:ascii="Calibri" w:hAnsi="Calibri"/>
          <w:color w:val="1E293B"/>
          <w:sz w:val="22"/>
        </w:rPr>
        <w:t>CIN: L65920MH1994PLC080618</w:t>
      </w:r>
    </w:p>
    <w:p>
      <w:pPr>
        <w:spacing w:after="80" w:line="276" w:lineRule="auto"/>
      </w:pPr>
      <w:r>
        <w:rPr>
          <w:rFonts w:ascii="Calibri" w:hAnsi="Calibri"/>
          <w:color w:val="1E293B"/>
          <w:sz w:val="22"/>
        </w:rPr>
        <w:t>Public Offer Account Bank</w:t>
      </w:r>
    </w:p>
    <w:p>
      <w:pPr>
        <w:spacing w:after="80" w:line="276" w:lineRule="auto"/>
      </w:pPr>
      <w:r>
        <w:rPr>
          <w:rFonts w:ascii="Calibri" w:hAnsi="Calibri"/>
          <w:color w:val="1E293B"/>
          <w:sz w:val="22"/>
        </w:rPr>
        <w:t>Northstar Technologies Ltd</w:t>
      </w:r>
    </w:p>
    <w:p>
      <w:pPr>
        <w:spacing w:after="80" w:line="276" w:lineRule="auto"/>
      </w:pPr>
      <w:r>
        <w:rPr>
          <w:rFonts w:ascii="Calibri" w:hAnsi="Calibri"/>
          <w:color w:val="1E293B"/>
          <w:sz w:val="22"/>
        </w:rPr>
        <w:t>Capital Market Division</w:t>
      </w:r>
    </w:p>
    <w:p>
      <w:pPr>
        <w:spacing w:after="80" w:line="276" w:lineRule="auto"/>
      </w:pPr>
      <w:r>
        <w:rPr>
          <w:rFonts w:ascii="Calibri" w:hAnsi="Calibri"/>
          <w:color w:val="1E293B"/>
          <w:sz w:val="22"/>
        </w:rPr>
        <w:t>163, 5th Floor, H.T.Parekh Marg Backbay Reclamation Churchgate, Mumbai – 400020 Telephone: +91 9876501234 Email: john.doe@example.com Website: www.icicibank.com Contact Person: Varun Badai</w:t>
      </w:r>
    </w:p>
    <w:p>
      <w:pPr>
        <w:spacing w:after="80" w:line="276" w:lineRule="auto"/>
      </w:pPr>
      <w:r>
        <w:rPr>
          <w:rFonts w:ascii="Calibri" w:hAnsi="Calibri"/>
          <w:color w:val="1E293B"/>
          <w:sz w:val="22"/>
        </w:rPr>
        <w:t>SEBI Registration No: INBI00000004</w:t>
      </w:r>
    </w:p>
    <w:p>
      <w:pPr>
        <w:spacing w:after="80" w:line="276" w:lineRule="auto"/>
      </w:pPr>
      <w:r>
        <w:rPr>
          <w:rFonts w:ascii="Calibri" w:hAnsi="Calibri"/>
          <w:color w:val="1E293B"/>
          <w:sz w:val="22"/>
        </w:rPr>
        <w:t>CIN: L65190GJ1994PLC021012</w:t>
      </w:r>
    </w:p>
    <w:p>
      <w:pPr>
        <w:spacing w:after="80" w:line="276" w:lineRule="auto"/>
      </w:pPr>
      <w:r>
        <w:rPr>
          <w:rFonts w:ascii="Calibri" w:hAnsi="Calibri"/>
          <w:color w:val="1E293B"/>
          <w:sz w:val="22"/>
        </w:rPr>
        <w:t>Acme Private Limited</w:t>
      </w:r>
    </w:p>
    <w:p>
      <w:pPr>
        <w:spacing w:after="80" w:line="276" w:lineRule="auto"/>
      </w:pPr>
      <w:r>
        <w:rPr>
          <w:rFonts w:ascii="Calibri" w:hAnsi="Calibri"/>
          <w:color w:val="1E293B"/>
          <w:sz w:val="22"/>
        </w:rPr>
        <w:t>Acme Private Limited, FIG-OPS Department – Lodha I Think Techno Campus, O-3 Level</w:t>
      </w:r>
    </w:p>
    <w:p>
      <w:pPr>
        <w:spacing w:after="80" w:line="276" w:lineRule="auto"/>
      </w:pPr>
      <w:r>
        <w:rPr>
          <w:rFonts w:ascii="Calibri" w:hAnsi="Calibri"/>
          <w:color w:val="1E293B"/>
          <w:sz w:val="22"/>
        </w:rPr>
        <w:t>Next to Kanjurmarg Railway Station, Kanjurmarg (East) Mumbai – 400042, Maharashtra, India</w:t>
      </w:r>
    </w:p>
    <w:p>
      <w:pPr>
        <w:spacing w:after="80" w:line="276" w:lineRule="auto"/>
      </w:pPr>
      <w:r>
        <w:rPr>
          <w:rFonts w:ascii="Calibri" w:hAnsi="Calibri"/>
          <w:color w:val="1E293B"/>
          <w:sz w:val="22"/>
        </w:rPr>
        <w:t>Telephone: +91 9876501234, +1 202 555 0100 and +91 1234567890</w:t>
      </w:r>
    </w:p>
    <w:p>
      <w:pPr>
        <w:spacing w:after="80" w:line="276" w:lineRule="auto"/>
      </w:pPr>
      <w:r>
        <w:rPr>
          <w:rFonts w:ascii="Calibri" w:hAnsi="Calibri"/>
          <w:color w:val="1E293B"/>
          <w:sz w:val="22"/>
        </w:rPr>
        <w:t>Email: peter.parker@example.com, ananya.sharma@example.com john.doe@example.com, peter.parker@example.com, and ananya.sharma@example.com Website: www.hdfcbank.com</w:t>
      </w:r>
    </w:p>
    <w:p>
      <w:pPr>
        <w:spacing w:after="80" w:line="276" w:lineRule="auto"/>
      </w:pPr>
      <w:r>
        <w:rPr>
          <w:rFonts w:ascii="Calibri" w:hAnsi="Calibri"/>
          <w:color w:val="1E293B"/>
          <w:sz w:val="22"/>
        </w:rPr>
        <w:t>Contact Person: Eric Bacha/ Sachin Gawade/ Pravin Teli/ Siddharth Jadhav/ Tushar Gavankar</w:t>
      </w:r>
    </w:p>
    <w:p>
      <w:pPr>
        <w:spacing w:after="80" w:line="276" w:lineRule="auto"/>
      </w:pPr>
      <w:r>
        <w:rPr>
          <w:rFonts w:ascii="Calibri" w:hAnsi="Calibri"/>
          <w:color w:val="1E293B"/>
          <w:sz w:val="22"/>
        </w:rPr>
        <w:t>SEBI Registration No: INBI00000063</w:t>
      </w:r>
    </w:p>
    <w:p>
      <w:pPr>
        <w:spacing w:after="80" w:line="276" w:lineRule="auto"/>
      </w:pPr>
      <w:r>
        <w:rPr>
          <w:rFonts w:ascii="Calibri" w:hAnsi="Calibri"/>
          <w:color w:val="1E293B"/>
          <w:sz w:val="22"/>
        </w:rPr>
        <w:t>CIN: L65920MH1994PLC080618</w:t>
      </w:r>
    </w:p>
    <w:p>
      <w:pPr>
        <w:spacing w:after="80" w:line="276" w:lineRule="auto"/>
      </w:pPr>
      <w:r>
        <w:rPr>
          <w:rFonts w:ascii="Calibri" w:hAnsi="Calibri"/>
          <w:color w:val="1E293B"/>
          <w:sz w:val="22"/>
        </w:rPr>
        <w:t>Sponsor Banks</w:t>
      </w:r>
    </w:p>
    <w:p>
      <w:pPr>
        <w:spacing w:after="80" w:line="276" w:lineRule="auto"/>
      </w:pPr>
      <w:r>
        <w:rPr>
          <w:rFonts w:ascii="Calibri" w:hAnsi="Calibri"/>
          <w:color w:val="1E293B"/>
          <w:sz w:val="22"/>
        </w:rPr>
        <w:t>Northstar Technologies Ltd</w:t>
      </w:r>
    </w:p>
    <w:p>
      <w:pPr>
        <w:spacing w:after="80" w:line="276" w:lineRule="auto"/>
      </w:pPr>
      <w:r>
        <w:rPr>
          <w:rFonts w:ascii="Calibri" w:hAnsi="Calibri"/>
          <w:color w:val="1E293B"/>
          <w:sz w:val="22"/>
        </w:rPr>
        <w:t>Capital Market Division</w:t>
      </w:r>
    </w:p>
    <w:p>
      <w:pPr>
        <w:spacing w:after="80" w:line="276" w:lineRule="auto"/>
      </w:pPr>
      <w:r>
        <w:rPr>
          <w:rFonts w:ascii="Calibri" w:hAnsi="Calibri"/>
          <w:color w:val="1E293B"/>
          <w:sz w:val="22"/>
        </w:rPr>
        <w:t>163, 5th Floor, H.T.Parekh Marg Backbay Reclamation Churchgate, Mumbai – 400020 Telephone: +91 9876501234 Email: john.doe@example.com Website: www.icicibank.com Contact Person: Varun Badai</w:t>
      </w:r>
    </w:p>
    <w:p>
      <w:pPr>
        <w:spacing w:after="80" w:line="276" w:lineRule="auto"/>
      </w:pPr>
      <w:r>
        <w:rPr>
          <w:rFonts w:ascii="Calibri" w:hAnsi="Calibri"/>
          <w:color w:val="1E293B"/>
          <w:sz w:val="22"/>
        </w:rPr>
        <w:t>SEBI Registration No: INBI00000004</w:t>
      </w:r>
    </w:p>
    <w:p>
      <w:pPr>
        <w:spacing w:after="80" w:line="276" w:lineRule="auto"/>
      </w:pPr>
      <w:r>
        <w:rPr>
          <w:rFonts w:ascii="Calibri" w:hAnsi="Calibri"/>
          <w:color w:val="1E293B"/>
          <w:sz w:val="22"/>
        </w:rPr>
        <w:t>CIN: L65190GJ1994PLC021012</w:t>
      </w:r>
    </w:p>
    <w:p>
      <w:pPr>
        <w:spacing w:after="80" w:line="276" w:lineRule="auto"/>
      </w:pPr>
      <w:r>
        <w:rPr>
          <w:rFonts w:ascii="Calibri" w:hAnsi="Calibri"/>
          <w:color w:val="1E293B"/>
          <w:sz w:val="22"/>
        </w:rPr>
        <w:t>Acme Private Limited</w:t>
      </w:r>
    </w:p>
    <w:p>
      <w:pPr>
        <w:spacing w:after="80" w:line="276" w:lineRule="auto"/>
      </w:pPr>
      <w:r>
        <w:rPr>
          <w:rFonts w:ascii="Calibri" w:hAnsi="Calibri"/>
          <w:color w:val="1E293B"/>
          <w:sz w:val="22"/>
        </w:rPr>
        <w:t>Acme Private Limited, FIG-OPS Department – Lodha I Think Techno Campus, O-3 Level</w:t>
      </w:r>
    </w:p>
    <w:p>
      <w:pPr>
        <w:spacing w:after="80" w:line="276" w:lineRule="auto"/>
      </w:pPr>
      <w:r>
        <w:rPr>
          <w:rFonts w:ascii="Calibri" w:hAnsi="Calibri"/>
          <w:color w:val="1E293B"/>
          <w:sz w:val="22"/>
        </w:rPr>
        <w:t>Next to Kanjurmarg Railway Station, Kanjurmarg (East) Mumbai – 400042, Maharashtra, India</w:t>
      </w:r>
    </w:p>
    <w:p>
      <w:pPr>
        <w:spacing w:after="80" w:line="276" w:lineRule="auto"/>
      </w:pPr>
      <w:r>
        <w:rPr>
          <w:rFonts w:ascii="Calibri" w:hAnsi="Calibri"/>
          <w:color w:val="1E293B"/>
          <w:sz w:val="22"/>
        </w:rPr>
        <w:t>Telephone: +91 9876501234, +1 202 555 0100 and +91 1234567890</w:t>
      </w:r>
    </w:p>
    <w:p>
      <w:pPr>
        <w:spacing w:after="80" w:line="276" w:lineRule="auto"/>
      </w:pPr>
      <w:r>
        <w:rPr>
          <w:rFonts w:ascii="Calibri" w:hAnsi="Calibri"/>
          <w:color w:val="1E293B"/>
          <w:sz w:val="22"/>
        </w:rPr>
        <w:t>Email: peter.parker@example.com, ananya.sharma@example.com john.doe@example.com, peter.parker@example.com, and ananya.sharma@example.com Website: www.hdfcbank.com</w:t>
      </w:r>
    </w:p>
    <w:p>
      <w:pPr>
        <w:spacing w:after="80" w:line="276" w:lineRule="auto"/>
      </w:pPr>
      <w:r>
        <w:rPr>
          <w:rFonts w:ascii="Calibri" w:hAnsi="Calibri"/>
          <w:color w:val="1E293B"/>
          <w:sz w:val="22"/>
        </w:rPr>
        <w:t>Contact Person: Eric Bacha/ Sachin Gawade/ Pravin Teli/ Siddharth Jadhav/ Tushar Gavankar</w:t>
      </w:r>
    </w:p>
    <w:p>
      <w:pPr>
        <w:spacing w:after="80" w:line="276" w:lineRule="auto"/>
      </w:pPr>
      <w:r>
        <w:rPr>
          <w:rFonts w:ascii="Calibri" w:hAnsi="Calibri"/>
          <w:color w:val="1E293B"/>
          <w:sz w:val="22"/>
        </w:rPr>
        <w:t>SEBI Registration No: INBI00000063</w:t>
      </w:r>
    </w:p>
    <w:p>
      <w:pPr>
        <w:spacing w:after="80" w:line="276" w:lineRule="auto"/>
      </w:pPr>
      <w:r>
        <w:rPr>
          <w:rFonts w:ascii="Calibri" w:hAnsi="Calibri"/>
          <w:color w:val="1E293B"/>
          <w:sz w:val="22"/>
        </w:rPr>
        <w:t>CIN: L65920MH1994PLC080618</w:t>
      </w:r>
    </w:p>
    <w:p>
      <w:pPr>
        <w:spacing w:after="80" w:line="276" w:lineRule="auto"/>
      </w:pPr>
      <w:r>
        <w:rPr>
          <w:rFonts w:ascii="Calibri" w:hAnsi="Calibri"/>
          <w:color w:val="1E293B"/>
          <w:sz w:val="22"/>
        </w:rPr>
        <w:t>Designated Intermediaries</w:t>
      </w:r>
    </w:p>
    <w:p>
      <w:pPr>
        <w:spacing w:after="80" w:line="276" w:lineRule="auto"/>
      </w:pPr>
      <w:r>
        <w:rPr>
          <w:rFonts w:ascii="Calibri" w:hAnsi="Calibri"/>
          <w:color w:val="1E293B"/>
          <w:sz w:val="22"/>
        </w:rPr>
        <w:t>Self-Certified Syndicate Banks</w:t>
      </w:r>
    </w:p>
    <w:p>
      <w:pPr>
        <w:spacing w:after="80" w:line="276" w:lineRule="auto"/>
      </w:pPr>
      <w:r>
        <w:rPr>
          <w:rFonts w:ascii="Calibri" w:hAnsi="Calibri"/>
          <w:color w:val="1E293B"/>
          <w:sz w:val="22"/>
        </w:rPr>
        <w:t>The list of SCSBs notified by SEBI for the ASBA process is available at http://www.sebi.gov.in/sebiweb/other/OtherAction.do?doRecognised=yes, or at such other website as may be prescribed by SEBI from time to time. A list of the Designated SCSB Branches with which an ASBA Bidder (other than a RIB using the UPI Mechanism), not Bidding through Syndicate/Sub Syndicate or through a Registered Broker, RTA or CDP may submit the Bid cumApplicationForms,isavailableat https://www.sebi.gov.in/sebiweb/other/OtherAction.do?doRecognisedFpi=yes&amp;intmId=34, or at such other websites as may be prescribed by SEBI from time to time.</w:t>
      </w:r>
    </w:p>
    <w:p>
      <w:pPr>
        <w:spacing w:after="80" w:line="276" w:lineRule="auto"/>
      </w:pPr>
      <w:r>
        <w:rPr>
          <w:rFonts w:ascii="Calibri" w:hAnsi="Calibri"/>
          <w:color w:val="1E293B"/>
          <w:sz w:val="22"/>
        </w:rPr>
        <w:t>Eligible SCSBs and mobile applications enabled for UPI Mechanism</w:t>
      </w:r>
    </w:p>
    <w:p>
      <w:pPr>
        <w:spacing w:after="80" w:line="276" w:lineRule="auto"/>
      </w:pPr>
      <w:r>
        <w:rPr>
          <w:rFonts w:ascii="Calibri" w:hAnsi="Calibri"/>
          <w:color w:val="1E293B"/>
          <w:sz w:val="22"/>
        </w:rPr>
        <w:t>In accordance with the SEBI ICDR Master Circular, UPI Bidders may only apply through the SCSBs and mobile applications whose names appear on the website of the SEBI which may be updated from time to time. A list of SCSBs and mobile applications, using the UPI handles and which are live for applying in public issues using UPI mechanism is available on the website of SEBI at https://www.sebi.gov.in/sebiweb/other/OtherAction.do?doRecognisedFpi=yes&amp;intmId=40 and https://www.sebi.gov.in/sebiweb/other/OtherAction.do?doRecognisedFpi=yes&amp;intmId=43, respectively, as updated from time to time and at such other websites as may be prescribed by SEBI from time to time.</w:t>
      </w:r>
    </w:p>
    <w:p>
      <w:pPr>
        <w:spacing w:after="80" w:line="276" w:lineRule="auto"/>
      </w:pPr>
      <w:r>
        <w:rPr>
          <w:rFonts w:ascii="Calibri" w:hAnsi="Calibri"/>
          <w:color w:val="1E293B"/>
          <w:sz w:val="22"/>
        </w:rPr>
        <w:t>In relation to Bids (other than Bids by Anchor Investors and RIIs) submitted to a member of the Syndicate, the list of branches of the SCSBs at the Specified Locations named by the respective SCSBs to receive deposits of Bid cum Application Forms from the members of the Syndicate is available on the website of the SEBI at www.sebi.gov.in/sebiweb/other/OtherAction.do?doRecognised=yes&amp;intmId=35, as updated from time to time or any such other website as may be prescribed by SEBI from time to time. For more information on such branches collecting Bid cum Application Forms from the Syndicate at Specified Locations, see the website of the SEBI at www.sebi.gov.in/sebiweb/other/OtherAction.do?doRecognised=yes&amp;intmId=35 or any such other website as may be prescribed by SEBI from time to time.</w:t>
      </w:r>
    </w:p>
    <w:p>
      <w:pPr>
        <w:spacing w:after="80" w:line="276" w:lineRule="auto"/>
      </w:pPr>
      <w:r>
        <w:rPr>
          <w:rFonts w:ascii="Calibri" w:hAnsi="Calibri"/>
          <w:color w:val="1E293B"/>
          <w:sz w:val="22"/>
        </w:rPr>
        <w:t>Registered Brokers</w:t>
      </w:r>
    </w:p>
    <w:p>
      <w:pPr>
        <w:spacing w:after="80" w:line="276" w:lineRule="auto"/>
      </w:pPr>
      <w:r>
        <w:rPr>
          <w:rFonts w:ascii="Calibri" w:hAnsi="Calibri"/>
          <w:color w:val="1E293B"/>
          <w:sz w:val="22"/>
        </w:rPr>
        <w:t>Bidders can submit ASBA Forms in the Offer using the stockbroker network of the stock exchange, i.e., through the Registered Brokers at the Broker Centres. The list of the Registered Brokers eligible to accept ASBA Forms, including details such as postal address, telephone number and e-mail address, is provided on the websites of the Stock Exchanges at www.bseindia.com and www.nseindia.com, as updated from time to time.</w:t>
      </w:r>
    </w:p>
    <w:p>
      <w:pPr>
        <w:spacing w:after="80" w:line="276" w:lineRule="auto"/>
      </w:pPr>
      <w:r>
        <w:rPr>
          <w:rFonts w:ascii="Calibri" w:hAnsi="Calibri"/>
          <w:color w:val="1E293B"/>
          <w:sz w:val="22"/>
        </w:rPr>
        <w:t>Registrar and Share Transfer Agents</w:t>
      </w:r>
    </w:p>
    <w:p>
      <w:pPr>
        <w:spacing w:after="80" w:line="276" w:lineRule="auto"/>
      </w:pPr>
      <w:r>
        <w:rPr>
          <w:rFonts w:ascii="Calibri" w:hAnsi="Calibri"/>
          <w:color w:val="1E293B"/>
          <w:sz w:val="22"/>
        </w:rPr>
        <w:t>The list of the RTAs eligible to accept ASBA Forms at the Designated RTA Locations, including details such as address, telephone number and e-mail address, is provided on the websites of the Stock Exchanges at www.bseindia.com/Static/Markets/PublicIssues/RtaDp.aspx?and www.nseindia.com/products/content/equities/ipos/asba_procedures.htm, respectively, as updated from time to time.</w:t>
      </w:r>
    </w:p>
    <w:p>
      <w:pPr>
        <w:spacing w:after="80" w:line="276" w:lineRule="auto"/>
      </w:pPr>
      <w:r>
        <w:rPr>
          <w:rFonts w:ascii="Calibri" w:hAnsi="Calibri"/>
          <w:color w:val="1E293B"/>
          <w:sz w:val="22"/>
        </w:rPr>
        <w:t>Collecting Depository Participants</w:t>
      </w:r>
    </w:p>
    <w:p>
      <w:pPr>
        <w:spacing w:after="80" w:line="276" w:lineRule="auto"/>
      </w:pPr>
      <w:r>
        <w:rPr>
          <w:rFonts w:ascii="Calibri" w:hAnsi="Calibri"/>
          <w:color w:val="1E293B"/>
          <w:sz w:val="22"/>
        </w:rPr>
        <w:t>The list of the CDPs eligible to accept ASBA Forms at the Designated CDP Locations, including details such as their name Ananya Sharma, is provided on the websites of the Stock Exchanges at https://www.bseindia.com/Static/PublicIssues/RtaDp.aspxand</w:t>
      </w:r>
    </w:p>
    <w:p>
      <w:pPr>
        <w:spacing w:after="80" w:line="276" w:lineRule="auto"/>
      </w:pPr>
      <w:r>
        <w:rPr>
          <w:rFonts w:ascii="Calibri" w:hAnsi="Calibri"/>
          <w:color w:val="1E293B"/>
          <w:sz w:val="22"/>
        </w:rPr>
        <w:t>https://www.nseindia.com/products/content/equities/ipos/asba_procedures.htm, respectively, as updated from time to time.</w:t>
      </w:r>
    </w:p>
    <w:p>
      <w:pPr>
        <w:spacing w:after="80" w:line="276" w:lineRule="auto"/>
      </w:pPr>
      <w:r>
        <w:rPr>
          <w:rFonts w:ascii="Calibri" w:hAnsi="Calibri"/>
          <w:color w:val="1E293B"/>
          <w:sz w:val="22"/>
        </w:rPr>
        <w:t>Experts</w:t>
      </w:r>
    </w:p>
    <w:p>
      <w:pPr>
        <w:spacing w:after="80" w:line="276" w:lineRule="auto"/>
      </w:pPr>
      <w:r>
        <w:rPr>
          <w:rFonts w:ascii="Calibri" w:hAnsi="Calibri"/>
          <w:color w:val="1E293B"/>
          <w:sz w:val="22"/>
        </w:rPr>
        <w:t>Except as stated below, Bluebird Capital LLP has not obtained any expert opinions:</w:t>
      </w:r>
    </w:p>
    <w:p>
      <w:pPr>
        <w:spacing w:after="80" w:line="276" w:lineRule="auto"/>
      </w:pPr>
      <w:r>
        <w:rPr>
          <w:rFonts w:ascii="Calibri" w:hAnsi="Calibri"/>
          <w:color w:val="1E293B"/>
          <w:sz w:val="22"/>
        </w:rPr>
        <w:t>Northstar Technologies Ltd has received the written consent dated November 27, 2025 from our Statutory Auditors, Kirtane &amp; Pandit, LLP, Chartered Accountants, to include their name Maya Rao 26 (5) of the Companies Act, 2013 read with SEBI ICDR Regulations, in this Red Herring Prospectus and as an “expert” as defined under section 2(38) of the Companies Act, 2013, to the extent and in their capacity as our Statutory Auditors, and in respect of their (i) examination report dated October 18, 2025 on the Restated Financial Statements; and (ii) the statement of Bluebird Capital LLP and its shareholders under the direct and indirect tax laws in India dated November 27, 2025, included in this Red Herring Prospectus and (iii) any other certificates as may be required for the purposes of the Offer, and such consent has not been withdrawn as on the date of this Red Herring Prospectus. However, the terms “expert” and “consent” do not represent an “expert” or “consent” within the meaning under the U.S. Securities Act.</w:t>
      </w:r>
    </w:p>
    <w:p>
      <w:pPr>
        <w:spacing w:after="80" w:line="276" w:lineRule="auto"/>
      </w:pPr>
      <w:r>
        <w:rPr>
          <w:rFonts w:ascii="Calibri" w:hAnsi="Calibri"/>
          <w:color w:val="1E293B"/>
          <w:sz w:val="22"/>
        </w:rPr>
        <w:t>Northstar Technologies Ltd has received written consent dated November 27, 2025 from Lalit Muljibhai Sarvaiya, to include their name Maya Rao 26 of the Companies Act, 2013 read with SEBI ICDR Regulations, in this Red Herring Prospectus, and as an “expert” as defined under section 2(38) of the Companies Act, 2013 to the extent and in their capacity as an independent chartered engineer in respect of information certified by them, as included in this Red Herring Prospectus; and such consent has not been withdrawn as on the date of this Red Herring Prospectus.</w:t>
      </w:r>
    </w:p>
    <w:p>
      <w:pPr>
        <w:spacing w:after="80" w:line="276" w:lineRule="auto"/>
      </w:pPr>
      <w:r>
        <w:rPr>
          <w:rFonts w:ascii="Calibri" w:hAnsi="Calibri"/>
          <w:color w:val="1E293B"/>
          <w:sz w:val="22"/>
        </w:rPr>
        <w:t>Northstar Technologies Ltd has received written consent dated December 10, 2025 from Kanj &amp; Acme Private Limited, Northstar Technologies Ltd secretary, to include their name John Doe 26 of the Companies Act, 2013 in this Red Herring Prospectus and as an ‘expert’ as defined under Section 2(38) of Companies Act, 2013 in respect of the certificate issued Bluebird Capital LLP Acme Private Limited, and such consent has not been withdrawn as on the date of this Red Herring Prospectus.</w:t>
      </w:r>
    </w:p>
    <w:p>
      <w:pPr>
        <w:spacing w:after="80" w:line="276" w:lineRule="auto"/>
      </w:pPr>
      <w:r>
        <w:rPr>
          <w:rFonts w:ascii="Calibri" w:hAnsi="Calibri"/>
          <w:color w:val="1E293B"/>
          <w:sz w:val="22"/>
        </w:rPr>
        <w:t>Northstar Technologies Ltd</w:t>
      </w:r>
    </w:p>
    <w:p>
      <w:pPr>
        <w:spacing w:after="80" w:line="276" w:lineRule="auto"/>
      </w:pPr>
      <w:r>
        <w:rPr>
          <w:rFonts w:ascii="Calibri" w:hAnsi="Calibri"/>
          <w:color w:val="1E293B"/>
          <w:sz w:val="22"/>
        </w:rPr>
        <w:t>Kirtane &amp; Pandit, LLP, Chartered Accountants</w:t>
      </w:r>
    </w:p>
    <w:p>
      <w:pPr>
        <w:spacing w:after="80" w:line="276" w:lineRule="auto"/>
      </w:pPr>
      <w:r>
        <w:rPr>
          <w:rFonts w:ascii="Calibri" w:hAnsi="Calibri"/>
          <w:color w:val="1E293B"/>
          <w:sz w:val="22"/>
        </w:rPr>
        <w:t>5th Floor, Wing A, Gopal House</w:t>
      </w:r>
    </w:p>
    <w:p>
      <w:pPr>
        <w:spacing w:after="80" w:line="276" w:lineRule="auto"/>
      </w:pPr>
      <w:r>
        <w:rPr>
          <w:rFonts w:ascii="Calibri" w:hAnsi="Calibri"/>
          <w:color w:val="1E293B"/>
          <w:sz w:val="22"/>
        </w:rPr>
        <w:t>S. No. 127/1B/1, Plot A1 Opp Harshal Hall Kothrud</w:t>
      </w:r>
    </w:p>
    <w:p>
      <w:pPr>
        <w:spacing w:after="80" w:line="276" w:lineRule="auto"/>
      </w:pPr>
      <w:r>
        <w:rPr>
          <w:rFonts w:ascii="Calibri" w:hAnsi="Calibri"/>
          <w:color w:val="1E293B"/>
          <w:sz w:val="22"/>
        </w:rPr>
        <w:t>Pune – 411 038</w:t>
      </w:r>
    </w:p>
    <w:p>
      <w:pPr>
        <w:spacing w:after="80" w:line="276" w:lineRule="auto"/>
      </w:pPr>
      <w:r>
        <w:rPr>
          <w:rFonts w:ascii="Calibri" w:hAnsi="Calibri"/>
          <w:color w:val="1E293B"/>
          <w:sz w:val="22"/>
        </w:rPr>
        <w:t>Maharashtra, India</w:t>
      </w:r>
    </w:p>
    <w:p>
      <w:pPr>
        <w:spacing w:after="80" w:line="276" w:lineRule="auto"/>
      </w:pPr>
      <w:r>
        <w:rPr>
          <w:rFonts w:ascii="Calibri" w:hAnsi="Calibri"/>
          <w:color w:val="1E293B"/>
          <w:sz w:val="22"/>
        </w:rPr>
        <w:t>E-mail: peter.parker@example.com</w:t>
      </w:r>
    </w:p>
    <w:p>
      <w:pPr>
        <w:spacing w:after="80" w:line="276" w:lineRule="auto"/>
      </w:pPr>
      <w:r>
        <w:rPr>
          <w:rFonts w:ascii="Calibri" w:hAnsi="Calibri"/>
          <w:color w:val="1E293B"/>
          <w:sz w:val="22"/>
        </w:rPr>
        <w:t>Telephone: + +1 202 555 0100</w:t>
      </w:r>
    </w:p>
    <w:p>
      <w:pPr>
        <w:spacing w:after="80" w:line="276" w:lineRule="auto"/>
      </w:pPr>
      <w:r>
        <w:rPr>
          <w:rFonts w:ascii="Calibri" w:hAnsi="Calibri"/>
          <w:color w:val="1E293B"/>
          <w:sz w:val="22"/>
        </w:rPr>
        <w:t>Firm registration number: 105215W/ W100057</w:t>
      </w:r>
    </w:p>
    <w:p>
      <w:pPr>
        <w:spacing w:after="80" w:line="276" w:lineRule="auto"/>
      </w:pPr>
      <w:r>
        <w:rPr>
          <w:rFonts w:ascii="Calibri" w:hAnsi="Calibri"/>
          <w:color w:val="1E293B"/>
          <w:sz w:val="22"/>
        </w:rPr>
        <w:t>Peer review number: 014680</w:t>
      </w:r>
    </w:p>
    <w:p>
      <w:pPr>
        <w:spacing w:after="80" w:line="276" w:lineRule="auto"/>
      </w:pPr>
      <w:r>
        <w:rPr>
          <w:rFonts w:ascii="Calibri" w:hAnsi="Calibri"/>
          <w:color w:val="1E293B"/>
          <w:sz w:val="22"/>
        </w:rPr>
        <w:t>Changes in Auditors</w:t>
      </w:r>
    </w:p>
    <w:p>
      <w:pPr>
        <w:spacing w:after="80" w:line="276" w:lineRule="auto"/>
      </w:pPr>
      <w:r>
        <w:rPr>
          <w:rFonts w:ascii="Calibri" w:hAnsi="Calibri"/>
          <w:color w:val="1E293B"/>
          <w:sz w:val="22"/>
        </w:rPr>
        <w:t>Except as stated below, there has been no change in our statutory auditors in the three years preceding the date of this Red Herring Prospectus:</w:t>
      </w:r>
    </w:p>
    <w:p>
      <w:pPr>
        <w:spacing w:after="80" w:line="276" w:lineRule="auto"/>
      </w:pPr>
      <w:r>
        <w:rPr>
          <w:rFonts w:ascii="Calibri" w:hAnsi="Calibri"/>
          <w:color w:val="1E293B"/>
          <w:sz w:val="22"/>
        </w:rPr>
        <w:t>Particulars</w:t>
      </w:r>
    </w:p>
    <w:p>
      <w:pPr>
        <w:spacing w:after="80" w:line="276" w:lineRule="auto"/>
      </w:pPr>
      <w:r>
        <w:rPr>
          <w:rFonts w:ascii="Calibri" w:hAnsi="Calibri"/>
          <w:color w:val="1E293B"/>
          <w:sz w:val="22"/>
        </w:rPr>
        <w:t>Date of change</w:t>
      </w:r>
    </w:p>
    <w:p>
      <w:pPr>
        <w:spacing w:after="80" w:line="276" w:lineRule="auto"/>
      </w:pPr>
      <w:r>
        <w:rPr>
          <w:rFonts w:ascii="Calibri" w:hAnsi="Calibri"/>
          <w:color w:val="1E293B"/>
          <w:sz w:val="22"/>
        </w:rPr>
        <w:t>Reasons for change</w:t>
      </w:r>
    </w:p>
    <w:p>
      <w:pPr>
        <w:spacing w:after="80" w:line="276" w:lineRule="auto"/>
      </w:pPr>
      <w:r>
        <w:rPr>
          <w:rFonts w:ascii="Calibri" w:hAnsi="Calibri"/>
          <w:color w:val="1E293B"/>
          <w:sz w:val="22"/>
        </w:rPr>
        <w:t>Kirtane &amp; Pandit, LLP, Chartered Accountants</w:t>
      </w:r>
    </w:p>
    <w:p>
      <w:pPr>
        <w:spacing w:after="80" w:line="276" w:lineRule="auto"/>
      </w:pPr>
      <w:r>
        <w:rPr>
          <w:rFonts w:ascii="Calibri" w:hAnsi="Calibri"/>
          <w:color w:val="1E293B"/>
          <w:sz w:val="22"/>
        </w:rPr>
        <w:t>5th Floor, Gopal House</w:t>
      </w:r>
    </w:p>
    <w:p>
      <w:pPr>
        <w:spacing w:after="80" w:line="276" w:lineRule="auto"/>
      </w:pPr>
      <w:r>
        <w:rPr>
          <w:rFonts w:ascii="Calibri" w:hAnsi="Calibri"/>
          <w:color w:val="1E293B"/>
          <w:sz w:val="22"/>
        </w:rPr>
        <w:t>Opposite Harshal Hall, Bluebird Capital LLP Karve Road, Pune – 411 038</w:t>
      </w:r>
    </w:p>
    <w:p>
      <w:pPr>
        <w:spacing w:after="80" w:line="276" w:lineRule="auto"/>
      </w:pPr>
      <w:r>
        <w:rPr>
          <w:rFonts w:ascii="Calibri" w:hAnsi="Calibri"/>
          <w:color w:val="1E293B"/>
          <w:sz w:val="22"/>
        </w:rPr>
        <w:t>Maharashtra, India</w:t>
      </w:r>
    </w:p>
    <w:p>
      <w:pPr>
        <w:spacing w:after="80" w:line="276" w:lineRule="auto"/>
      </w:pPr>
      <w:r>
        <w:rPr>
          <w:rFonts w:ascii="Calibri" w:hAnsi="Calibri"/>
          <w:color w:val="1E293B"/>
          <w:sz w:val="22"/>
        </w:rPr>
        <w:t>E-mail: peter.parker@example.com</w:t>
      </w:r>
    </w:p>
    <w:p>
      <w:pPr>
        <w:spacing w:after="80" w:line="276" w:lineRule="auto"/>
      </w:pPr>
      <w:r>
        <w:rPr>
          <w:rFonts w:ascii="Calibri" w:hAnsi="Calibri"/>
          <w:color w:val="1E293B"/>
          <w:sz w:val="22"/>
        </w:rPr>
        <w:t>Telephone: + +91 1234567890</w:t>
      </w:r>
    </w:p>
    <w:p>
      <w:pPr>
        <w:spacing w:after="80" w:line="276" w:lineRule="auto"/>
      </w:pPr>
      <w:r>
        <w:rPr>
          <w:rFonts w:ascii="Calibri" w:hAnsi="Calibri"/>
          <w:color w:val="1E293B"/>
          <w:sz w:val="22"/>
        </w:rPr>
        <w:t>Firm registration number: 105215W/ W100057</w:t>
      </w:r>
    </w:p>
    <w:p>
      <w:pPr>
        <w:spacing w:after="80" w:line="276" w:lineRule="auto"/>
      </w:pPr>
      <w:r>
        <w:rPr>
          <w:rFonts w:ascii="Calibri" w:hAnsi="Calibri"/>
          <w:color w:val="1E293B"/>
          <w:sz w:val="22"/>
        </w:rPr>
        <w:t>Peer review number: 014680</w:t>
      </w:r>
    </w:p>
    <w:p>
      <w:pPr>
        <w:spacing w:after="80" w:line="276" w:lineRule="auto"/>
      </w:pPr>
      <w:r>
        <w:rPr>
          <w:rFonts w:ascii="Calibri" w:hAnsi="Calibri"/>
          <w:color w:val="1E293B"/>
          <w:sz w:val="22"/>
        </w:rPr>
        <w:t>September 30, 2024</w:t>
      </w:r>
    </w:p>
    <w:p>
      <w:pPr>
        <w:spacing w:after="80" w:line="276" w:lineRule="auto"/>
      </w:pPr>
      <w:r>
        <w:rPr>
          <w:rFonts w:ascii="Calibri" w:hAnsi="Calibri"/>
          <w:color w:val="1E293B"/>
          <w:sz w:val="22"/>
        </w:rPr>
        <w:t>Appointment Acme Private Limited</w:t>
      </w:r>
    </w:p>
    <w:p>
      <w:pPr>
        <w:spacing w:after="80" w:line="276" w:lineRule="auto"/>
      </w:pPr>
      <w:r>
        <w:rPr>
          <w:rFonts w:ascii="Calibri" w:hAnsi="Calibri"/>
          <w:color w:val="1E293B"/>
          <w:sz w:val="22"/>
        </w:rPr>
        <w:t>Hingne Tare &amp; Associates Flat No. 102, Sai Complex Shaniwar Peth, Pune – 411 030 Maharashtra, India</w:t>
      </w:r>
    </w:p>
    <w:p>
      <w:pPr>
        <w:spacing w:after="80" w:line="276" w:lineRule="auto"/>
      </w:pPr>
      <w:r>
        <w:rPr>
          <w:rFonts w:ascii="Calibri" w:hAnsi="Calibri"/>
          <w:color w:val="1E293B"/>
          <w:sz w:val="22"/>
        </w:rPr>
        <w:t>E-mail: ananya.sharma@example.com</w:t>
      </w:r>
    </w:p>
    <w:p>
      <w:pPr>
        <w:spacing w:after="80" w:line="276" w:lineRule="auto"/>
      </w:pPr>
      <w:r>
        <w:rPr>
          <w:rFonts w:ascii="Calibri" w:hAnsi="Calibri"/>
          <w:color w:val="1E293B"/>
          <w:sz w:val="22"/>
        </w:rPr>
        <w:t>Firm registration number: 116417W</w:t>
      </w:r>
    </w:p>
    <w:p>
      <w:pPr>
        <w:spacing w:after="80" w:line="276" w:lineRule="auto"/>
      </w:pPr>
      <w:r>
        <w:rPr>
          <w:rFonts w:ascii="Calibri" w:hAnsi="Calibri"/>
          <w:color w:val="1E293B"/>
          <w:sz w:val="22"/>
        </w:rPr>
        <w:t>Peer review number: N.A.</w:t>
      </w:r>
    </w:p>
    <w:p>
      <w:pPr>
        <w:spacing w:after="80" w:line="276" w:lineRule="auto"/>
      </w:pPr>
      <w:r>
        <w:rPr>
          <w:rFonts w:ascii="Calibri" w:hAnsi="Calibri"/>
          <w:color w:val="1E293B"/>
          <w:sz w:val="22"/>
        </w:rPr>
        <w:t>September 30, 2024</w:t>
      </w:r>
    </w:p>
    <w:p>
      <w:pPr>
        <w:spacing w:after="80" w:line="276" w:lineRule="auto"/>
      </w:pPr>
      <w:r>
        <w:rPr>
          <w:rFonts w:ascii="Calibri" w:hAnsi="Calibri"/>
          <w:color w:val="1E293B"/>
          <w:sz w:val="22"/>
        </w:rPr>
        <w:t>Expiry of term Northstar Technologies Ltd</w:t>
      </w:r>
    </w:p>
    <w:p>
      <w:pPr>
        <w:spacing w:after="80" w:line="276" w:lineRule="auto"/>
      </w:pPr>
      <w:r>
        <w:rPr>
          <w:rFonts w:ascii="Calibri" w:hAnsi="Calibri"/>
          <w:color w:val="1E293B"/>
          <w:sz w:val="22"/>
        </w:rPr>
        <w:t>Bluebird Capital LLP</w:t>
      </w:r>
    </w:p>
    <w:p>
      <w:pPr>
        <w:spacing w:after="80" w:line="276" w:lineRule="auto"/>
      </w:pPr>
      <w:r>
        <w:rPr>
          <w:rFonts w:ascii="Calibri" w:hAnsi="Calibri"/>
          <w:color w:val="1E293B"/>
          <w:sz w:val="22"/>
        </w:rPr>
        <w:t>Citibank N.A.</w:t>
      </w:r>
    </w:p>
    <w:p>
      <w:pPr>
        <w:spacing w:after="80" w:line="276" w:lineRule="auto"/>
      </w:pPr>
      <w:r>
        <w:rPr>
          <w:rFonts w:ascii="Calibri" w:hAnsi="Calibri"/>
          <w:color w:val="1E293B"/>
          <w:sz w:val="22"/>
        </w:rPr>
        <w:t>8th Floor, Onyx Tower North Main Road</w:t>
      </w:r>
    </w:p>
    <w:p>
      <w:pPr>
        <w:spacing w:after="80" w:line="276" w:lineRule="auto"/>
      </w:pPr>
      <w:r>
        <w:rPr>
          <w:rFonts w:ascii="Calibri" w:hAnsi="Calibri"/>
          <w:color w:val="1E293B"/>
          <w:sz w:val="22"/>
        </w:rPr>
        <w:t>Koregaon Park, Pune – 411 001 Maharashtra, India</w:t>
      </w:r>
    </w:p>
    <w:p>
      <w:pPr>
        <w:spacing w:after="80" w:line="276" w:lineRule="auto"/>
      </w:pPr>
      <w:r>
        <w:rPr>
          <w:rFonts w:ascii="Calibri" w:hAnsi="Calibri"/>
          <w:color w:val="1E293B"/>
          <w:sz w:val="22"/>
        </w:rPr>
        <w:t>Telephone: +91 9876501234</w:t>
      </w:r>
    </w:p>
    <w:p>
      <w:pPr>
        <w:spacing w:after="80" w:line="276" w:lineRule="auto"/>
      </w:pPr>
      <w:r>
        <w:rPr>
          <w:rFonts w:ascii="Calibri" w:hAnsi="Calibri"/>
          <w:color w:val="1E293B"/>
          <w:sz w:val="22"/>
        </w:rPr>
        <w:t>Contact Person: Hitesh Ramani</w:t>
      </w:r>
    </w:p>
    <w:p>
      <w:pPr>
        <w:spacing w:after="80" w:line="276" w:lineRule="auto"/>
      </w:pPr>
      <w:r>
        <w:rPr>
          <w:rFonts w:ascii="Calibri" w:hAnsi="Calibri"/>
          <w:color w:val="1E293B"/>
          <w:sz w:val="22"/>
        </w:rPr>
        <w:t>Website: http://commercialbanking.citibank.com</w:t>
      </w:r>
    </w:p>
    <w:p>
      <w:pPr>
        <w:spacing w:after="80" w:line="276" w:lineRule="auto"/>
      </w:pPr>
      <w:r>
        <w:rPr>
          <w:rFonts w:ascii="Calibri" w:hAnsi="Calibri"/>
          <w:color w:val="1E293B"/>
          <w:sz w:val="22"/>
        </w:rPr>
        <w:t>Email: john.doe@example.com</w:t>
      </w:r>
    </w:p>
    <w:p>
      <w:pPr>
        <w:spacing w:after="80" w:line="276" w:lineRule="auto"/>
      </w:pPr>
      <w:r>
        <w:rPr>
          <w:rFonts w:ascii="Calibri" w:hAnsi="Calibri"/>
          <w:color w:val="1E293B"/>
          <w:sz w:val="22"/>
        </w:rPr>
        <w:t>Export-Import Bank of India</w:t>
      </w:r>
    </w:p>
    <w:p>
      <w:pPr>
        <w:spacing w:after="80" w:line="276" w:lineRule="auto"/>
      </w:pPr>
      <w:r>
        <w:rPr>
          <w:rFonts w:ascii="Calibri" w:hAnsi="Calibri"/>
          <w:color w:val="1E293B"/>
          <w:sz w:val="22"/>
        </w:rPr>
        <w:t>No. 401, 401(A), 401(B)</w:t>
      </w:r>
    </w:p>
    <w:p>
      <w:pPr>
        <w:spacing w:after="80" w:line="276" w:lineRule="auto"/>
      </w:pPr>
      <w:r>
        <w:rPr>
          <w:rFonts w:ascii="Calibri" w:hAnsi="Calibri"/>
          <w:color w:val="1E293B"/>
          <w:sz w:val="22"/>
        </w:rPr>
        <w:t>&amp; 402, 402(A), 402(B), 4th Floor</w:t>
      </w:r>
    </w:p>
    <w:p>
      <w:pPr>
        <w:spacing w:after="80" w:line="276" w:lineRule="auto"/>
      </w:pPr>
      <w:r>
        <w:rPr>
          <w:rFonts w:ascii="Calibri" w:hAnsi="Calibri"/>
          <w:color w:val="1E293B"/>
          <w:sz w:val="22"/>
        </w:rPr>
        <w:t>Signature Building, Bhandarkar road Shivaji Nagar, Pune – 411 004 Maharashtra, India</w:t>
      </w:r>
    </w:p>
    <w:p>
      <w:pPr>
        <w:spacing w:after="80" w:line="276" w:lineRule="auto"/>
      </w:pPr>
      <w:r>
        <w:rPr>
          <w:rFonts w:ascii="Calibri" w:hAnsi="Calibri"/>
          <w:color w:val="1E293B"/>
          <w:sz w:val="22"/>
        </w:rPr>
        <w:t>Telephone: +1 202 555 0100 Contact Person: Chitra Raste Website: www.eximbankindia.in/ Email: peter.parker@example.com</w:t>
      </w:r>
    </w:p>
    <w:p>
      <w:pPr>
        <w:spacing w:after="80" w:line="276" w:lineRule="auto"/>
      </w:pPr>
      <w:r>
        <w:rPr>
          <w:rFonts w:ascii="Calibri" w:hAnsi="Calibri"/>
          <w:color w:val="1E293B"/>
          <w:sz w:val="22"/>
        </w:rPr>
        <w:t>Acme Private Limited 2401 Gen Thimmayya Road, Cantonment</w:t>
      </w:r>
    </w:p>
    <w:p>
      <w:pPr>
        <w:spacing w:after="80" w:line="276" w:lineRule="auto"/>
      </w:pPr>
      <w:r>
        <w:rPr>
          <w:rFonts w:ascii="Calibri" w:hAnsi="Calibri"/>
          <w:color w:val="1E293B"/>
          <w:sz w:val="22"/>
        </w:rPr>
        <w:t>Pune – 411 001</w:t>
      </w:r>
    </w:p>
    <w:p>
      <w:pPr>
        <w:spacing w:after="80" w:line="276" w:lineRule="auto"/>
      </w:pPr>
      <w:r>
        <w:rPr>
          <w:rFonts w:ascii="Calibri" w:hAnsi="Calibri"/>
          <w:color w:val="1E293B"/>
          <w:sz w:val="22"/>
        </w:rPr>
        <w:t>Maharashtra, India</w:t>
      </w:r>
    </w:p>
    <w:p>
      <w:pPr>
        <w:spacing w:after="80" w:line="276" w:lineRule="auto"/>
      </w:pPr>
      <w:r>
        <w:rPr>
          <w:rFonts w:ascii="Calibri" w:hAnsi="Calibri"/>
          <w:color w:val="1E293B"/>
          <w:sz w:val="22"/>
        </w:rPr>
        <w:t>Telephone: +91 1234567890 Contact Person: Sharmila Joshi Website: www.indusind.com/ Email: ananya.sharma@example.com</w:t>
      </w:r>
    </w:p>
    <w:p>
      <w:pPr>
        <w:spacing w:after="80" w:line="276" w:lineRule="auto"/>
      </w:pPr>
      <w:r>
        <w:rPr>
          <w:rFonts w:ascii="Calibri" w:hAnsi="Calibri"/>
          <w:color w:val="1E293B"/>
          <w:sz w:val="22"/>
        </w:rPr>
        <w:t>Northstar Technologies Ltd</w:t>
      </w:r>
    </w:p>
    <w:p>
      <w:pPr>
        <w:spacing w:after="80" w:line="276" w:lineRule="auto"/>
      </w:pPr>
      <w:r>
        <w:rPr>
          <w:rFonts w:ascii="Calibri" w:hAnsi="Calibri"/>
          <w:color w:val="1E293B"/>
          <w:sz w:val="22"/>
        </w:rPr>
        <w:t>ICICI Bank, CBG, 3rd Floor, 362, Satguru House Next to Tanishq Showroom, CTS No. 30</w:t>
      </w:r>
    </w:p>
    <w:p>
      <w:pPr>
        <w:spacing w:after="80" w:line="276" w:lineRule="auto"/>
      </w:pPr>
      <w:r>
        <w:rPr>
          <w:rFonts w:ascii="Calibri" w:hAnsi="Calibri"/>
          <w:color w:val="1E293B"/>
          <w:sz w:val="22"/>
        </w:rPr>
        <w:t>Bund Garden Road, Pune – 411 001 Maharashtra, India</w:t>
      </w:r>
    </w:p>
    <w:p>
      <w:pPr>
        <w:spacing w:after="80" w:line="276" w:lineRule="auto"/>
      </w:pPr>
      <w:r>
        <w:rPr>
          <w:rFonts w:ascii="Calibri" w:hAnsi="Calibri"/>
          <w:color w:val="1E293B"/>
          <w:sz w:val="22"/>
        </w:rPr>
        <w:t>Telephone: + +91 9876501234 Contact Person: Cherag Gyara Website: www.icicibank.com Email: john.doe@example.com</w:t>
      </w:r>
    </w:p>
    <w:p>
      <w:pPr>
        <w:spacing w:after="80" w:line="276" w:lineRule="auto"/>
      </w:pPr>
      <w:r>
        <w:rPr>
          <w:rFonts w:ascii="Calibri" w:hAnsi="Calibri"/>
          <w:color w:val="1E293B"/>
          <w:sz w:val="22"/>
        </w:rPr>
        <w:t>Acme Private Limited</w:t>
      </w:r>
    </w:p>
    <w:p>
      <w:pPr>
        <w:spacing w:after="80" w:line="276" w:lineRule="auto"/>
      </w:pPr>
      <w:r>
        <w:rPr>
          <w:rFonts w:ascii="Calibri" w:hAnsi="Calibri"/>
          <w:color w:val="1E293B"/>
          <w:sz w:val="22"/>
        </w:rPr>
        <w:t>5th Floor, Marathon IT Park Bund Garden Road</w:t>
      </w:r>
    </w:p>
    <w:p>
      <w:pPr>
        <w:spacing w:after="80" w:line="276" w:lineRule="auto"/>
      </w:pPr>
      <w:r>
        <w:rPr>
          <w:rFonts w:ascii="Calibri" w:hAnsi="Calibri"/>
          <w:color w:val="1E293B"/>
          <w:sz w:val="22"/>
        </w:rPr>
        <w:t>Pune – 411 001</w:t>
      </w:r>
    </w:p>
    <w:p>
      <w:pPr>
        <w:spacing w:after="80" w:line="276" w:lineRule="auto"/>
      </w:pPr>
      <w:r>
        <w:rPr>
          <w:rFonts w:ascii="Calibri" w:hAnsi="Calibri"/>
          <w:color w:val="1E293B"/>
          <w:sz w:val="22"/>
        </w:rPr>
        <w:t>Maharashtra, India</w:t>
      </w:r>
    </w:p>
    <w:p>
      <w:pPr>
        <w:spacing w:after="80" w:line="276" w:lineRule="auto"/>
      </w:pPr>
      <w:r>
        <w:rPr>
          <w:rFonts w:ascii="Calibri" w:hAnsi="Calibri"/>
          <w:color w:val="1E293B"/>
          <w:sz w:val="22"/>
        </w:rPr>
        <w:t>Telephone: +1 202 555 0100 Contact Person: Manisha Shukla Website: www.hdfcbank.com</w:t>
      </w:r>
    </w:p>
    <w:p>
      <w:pPr>
        <w:spacing w:after="80" w:line="276" w:lineRule="auto"/>
      </w:pPr>
      <w:r>
        <w:rPr>
          <w:rFonts w:ascii="Calibri" w:hAnsi="Calibri"/>
          <w:color w:val="1E293B"/>
          <w:sz w:val="22"/>
        </w:rPr>
        <w:t>Email: peter.parker@example.com</w:t>
      </w:r>
    </w:p>
    <w:p>
      <w:pPr>
        <w:spacing w:after="80" w:line="276" w:lineRule="auto"/>
      </w:pPr>
      <w:r>
        <w:rPr>
          <w:rFonts w:ascii="Calibri" w:hAnsi="Calibri"/>
          <w:color w:val="1E293B"/>
          <w:sz w:val="22"/>
        </w:rPr>
        <w:t>State Bank of India, Industrial Finance Branch</w:t>
      </w:r>
    </w:p>
    <w:p>
      <w:pPr>
        <w:spacing w:after="80" w:line="276" w:lineRule="auto"/>
      </w:pPr>
      <w:r>
        <w:rPr>
          <w:rFonts w:ascii="Calibri" w:hAnsi="Calibri"/>
          <w:color w:val="1E293B"/>
          <w:sz w:val="22"/>
        </w:rPr>
        <w:t>Tara Chambers, Mumbai-Pune Road, Wakdewadi</w:t>
      </w:r>
    </w:p>
    <w:p>
      <w:pPr>
        <w:spacing w:after="80" w:line="276" w:lineRule="auto"/>
      </w:pPr>
      <w:r>
        <w:rPr>
          <w:rFonts w:ascii="Calibri" w:hAnsi="Calibri"/>
          <w:color w:val="1E293B"/>
          <w:sz w:val="22"/>
        </w:rPr>
        <w:t>Pune – 411 003</w:t>
      </w:r>
    </w:p>
    <w:p>
      <w:pPr>
        <w:spacing w:after="80" w:line="276" w:lineRule="auto"/>
      </w:pPr>
      <w:r>
        <w:rPr>
          <w:rFonts w:ascii="Calibri" w:hAnsi="Calibri"/>
          <w:color w:val="1E293B"/>
          <w:sz w:val="22"/>
        </w:rPr>
        <w:t>Maharashtra, India</w:t>
      </w:r>
    </w:p>
    <w:p>
      <w:pPr>
        <w:spacing w:after="80" w:line="276" w:lineRule="auto"/>
      </w:pPr>
      <w:r>
        <w:rPr>
          <w:rFonts w:ascii="Calibri" w:hAnsi="Calibri"/>
          <w:color w:val="1E293B"/>
          <w:sz w:val="22"/>
        </w:rPr>
        <w:t>Telephone: +91 1234567890 Contact Person: Tushar Wakhele Website: www.sbi.co.in</w:t>
      </w:r>
    </w:p>
    <w:p>
      <w:pPr>
        <w:spacing w:after="80" w:line="276" w:lineRule="auto"/>
      </w:pPr>
      <w:r>
        <w:rPr>
          <w:rFonts w:ascii="Calibri" w:hAnsi="Calibri"/>
          <w:color w:val="1E293B"/>
          <w:sz w:val="22"/>
        </w:rPr>
        <w:t>Email: ananya.sharma@example.com</w:t>
      </w:r>
    </w:p>
    <w:p>
      <w:pPr>
        <w:spacing w:after="80" w:line="276" w:lineRule="auto"/>
      </w:pPr>
      <w:r>
        <w:rPr>
          <w:rFonts w:ascii="Calibri" w:hAnsi="Calibri"/>
          <w:color w:val="1E293B"/>
          <w:sz w:val="22"/>
        </w:rPr>
        <w:t>Northstar Technologies Ltd Ground Floor, Kubera Chambers Opp. Sancheti Hospital Shivajinagar, Pune – 41l 005 Maharashtra, India</w:t>
      </w:r>
    </w:p>
    <w:p>
      <w:pPr>
        <w:spacing w:after="80" w:line="276" w:lineRule="auto"/>
      </w:pPr>
      <w:r>
        <w:rPr>
          <w:rFonts w:ascii="Calibri" w:hAnsi="Calibri"/>
          <w:color w:val="1E293B"/>
          <w:sz w:val="22"/>
        </w:rPr>
        <w:t>Telephone: + 91 91586 40360</w:t>
      </w:r>
    </w:p>
    <w:p>
      <w:pPr>
        <w:spacing w:after="80" w:line="276" w:lineRule="auto"/>
      </w:pPr>
      <w:r>
        <w:rPr>
          <w:rFonts w:ascii="Calibri" w:hAnsi="Calibri"/>
          <w:color w:val="1E293B"/>
          <w:sz w:val="22"/>
        </w:rPr>
        <w:t>Contact Person: Ashish Mathew Pulloor</w:t>
      </w:r>
    </w:p>
    <w:p>
      <w:pPr>
        <w:spacing w:after="80" w:line="276" w:lineRule="auto"/>
      </w:pPr>
      <w:r>
        <w:rPr>
          <w:rFonts w:ascii="Calibri" w:hAnsi="Calibri"/>
          <w:color w:val="1E293B"/>
          <w:sz w:val="22"/>
        </w:rPr>
        <w:t>Website: www.federalbank.co.in</w:t>
      </w:r>
    </w:p>
    <w:p>
      <w:pPr>
        <w:spacing w:after="80" w:line="276" w:lineRule="auto"/>
      </w:pPr>
      <w:r>
        <w:rPr>
          <w:rFonts w:ascii="Calibri" w:hAnsi="Calibri"/>
          <w:color w:val="1E293B"/>
          <w:sz w:val="22"/>
        </w:rPr>
        <w:t>Email: john.doe@example.com</w:t>
      </w:r>
    </w:p>
    <w:p>
      <w:pPr>
        <w:spacing w:after="80" w:line="276" w:lineRule="auto"/>
      </w:pPr>
      <w:r>
        <w:rPr>
          <w:rFonts w:ascii="Calibri" w:hAnsi="Calibri"/>
          <w:color w:val="1E293B"/>
          <w:sz w:val="22"/>
        </w:rPr>
        <w:t>Bluebird Capital LLP</w:t>
      </w:r>
    </w:p>
    <w:p>
      <w:pPr>
        <w:spacing w:after="80" w:line="276" w:lineRule="auto"/>
      </w:pPr>
      <w:r>
        <w:rPr>
          <w:rFonts w:ascii="Calibri" w:hAnsi="Calibri"/>
          <w:color w:val="1E293B"/>
          <w:sz w:val="22"/>
        </w:rPr>
        <w:t>The Capital</w:t>
      </w:r>
    </w:p>
    <w:p>
      <w:pPr>
        <w:spacing w:after="80" w:line="276" w:lineRule="auto"/>
      </w:pPr>
      <w:r>
        <w:rPr>
          <w:rFonts w:ascii="Calibri" w:hAnsi="Calibri"/>
          <w:color w:val="1E293B"/>
          <w:sz w:val="22"/>
        </w:rPr>
        <w:t>Unit no. 1601, B- wing BKC, Mumbai Maharashtra India</w:t>
      </w:r>
    </w:p>
    <w:p>
      <w:pPr>
        <w:spacing w:after="80" w:line="276" w:lineRule="auto"/>
      </w:pPr>
      <w:r>
        <w:rPr>
          <w:rFonts w:ascii="Calibri" w:hAnsi="Calibri"/>
          <w:color w:val="1E293B"/>
          <w:sz w:val="22"/>
        </w:rPr>
        <w:t>Telephone: +91 9876501234 Contact Person: Anand Soni Website: www.bajajfinance.com Email: peter.parker@example.com</w:t>
      </w:r>
    </w:p>
    <w:p>
      <w:pPr>
        <w:spacing w:after="80" w:line="276" w:lineRule="auto"/>
      </w:pPr>
      <w:r>
        <w:rPr>
          <w:rFonts w:ascii="Calibri" w:hAnsi="Calibri"/>
          <w:color w:val="1E293B"/>
          <w:sz w:val="22"/>
        </w:rPr>
        <w:t>Grading of the Offer</w:t>
      </w:r>
    </w:p>
    <w:p>
      <w:pPr>
        <w:spacing w:after="80" w:line="276" w:lineRule="auto"/>
      </w:pPr>
      <w:r>
        <w:rPr>
          <w:rFonts w:ascii="Calibri" w:hAnsi="Calibri"/>
          <w:color w:val="1E293B"/>
          <w:sz w:val="22"/>
        </w:rPr>
        <w:t>No credit rating agency registered with SEBI has been appointed for obtaining grading for the Offer.</w:t>
      </w:r>
    </w:p>
    <w:p>
      <w:pPr>
        <w:spacing w:after="80" w:line="276" w:lineRule="auto"/>
      </w:pPr>
      <w:r>
        <w:rPr>
          <w:rFonts w:ascii="Calibri" w:hAnsi="Calibri"/>
          <w:color w:val="1E293B"/>
          <w:sz w:val="22"/>
        </w:rPr>
        <w:t>Appraising Entity</w:t>
      </w:r>
    </w:p>
    <w:p>
      <w:pPr>
        <w:spacing w:after="80" w:line="276" w:lineRule="auto"/>
      </w:pPr>
      <w:r>
        <w:rPr>
          <w:rFonts w:ascii="Calibri" w:hAnsi="Calibri"/>
          <w:color w:val="1E293B"/>
          <w:sz w:val="22"/>
        </w:rPr>
        <w:t>No appraising entity has been appointed in relation to the Offer.</w:t>
      </w:r>
    </w:p>
    <w:p>
      <w:pPr>
        <w:spacing w:after="80" w:line="276" w:lineRule="auto"/>
      </w:pPr>
      <w:r>
        <w:rPr>
          <w:rFonts w:ascii="Calibri" w:hAnsi="Calibri"/>
          <w:color w:val="1E293B"/>
          <w:sz w:val="22"/>
        </w:rPr>
        <w:t>Monitoring Agency</w:t>
      </w:r>
    </w:p>
    <w:p>
      <w:pPr>
        <w:spacing w:after="80" w:line="276" w:lineRule="auto"/>
      </w:pPr>
      <w:r>
        <w:rPr>
          <w:rFonts w:ascii="Calibri" w:hAnsi="Calibri"/>
          <w:color w:val="1E293B"/>
          <w:sz w:val="22"/>
        </w:rPr>
        <w:t>As the size of the Fresh Issue exceeds ₹1,000.00 million, Bluebird Capital LLP has appointed a credit rating agency registered with SEBI, namely, Acme Private Limited, as a monitoring agency to monitor the utilisation of the Net Proceeds, in accordance with Regulation 41 of the SEBI ICDR Regulations. For details in relation to the proposed utilisation of the Net Proceeds, see “Objects of the Offer” on page 106.</w:t>
      </w:r>
    </w:p>
    <w:p>
      <w:pPr>
        <w:spacing w:after="80" w:line="276" w:lineRule="auto"/>
      </w:pPr>
      <w:r>
        <w:rPr>
          <w:rFonts w:ascii="Calibri" w:hAnsi="Calibri"/>
          <w:color w:val="1E293B"/>
          <w:sz w:val="22"/>
        </w:rPr>
        <w:t>Credit Rating</w:t>
      </w:r>
    </w:p>
    <w:p>
      <w:pPr>
        <w:spacing w:after="80" w:line="276" w:lineRule="auto"/>
      </w:pPr>
      <w:r>
        <w:rPr>
          <w:rFonts w:ascii="Calibri" w:hAnsi="Calibri"/>
          <w:color w:val="1E293B"/>
          <w:sz w:val="22"/>
        </w:rPr>
        <w:t>As the Offer is of Equity Shares, credit rating is not required.</w:t>
      </w:r>
    </w:p>
    <w:p>
      <w:pPr>
        <w:spacing w:after="80" w:line="276" w:lineRule="auto"/>
      </w:pPr>
      <w:r>
        <w:rPr>
          <w:rFonts w:ascii="Calibri" w:hAnsi="Calibri"/>
          <w:color w:val="1E293B"/>
          <w:sz w:val="22"/>
        </w:rPr>
        <w:t>Debenture Trustee</w:t>
      </w:r>
    </w:p>
    <w:p>
      <w:pPr>
        <w:spacing w:after="80" w:line="276" w:lineRule="auto"/>
      </w:pPr>
      <w:r>
        <w:rPr>
          <w:rFonts w:ascii="Calibri" w:hAnsi="Calibri"/>
          <w:color w:val="1E293B"/>
          <w:sz w:val="22"/>
        </w:rPr>
        <w:t>As the Offer is of Equity Shares, the appointment of trustee is not required.</w:t>
      </w:r>
    </w:p>
    <w:p>
      <w:pPr>
        <w:spacing w:after="80" w:line="276" w:lineRule="auto"/>
      </w:pPr>
      <w:r>
        <w:rPr>
          <w:rFonts w:ascii="Calibri" w:hAnsi="Calibri"/>
          <w:color w:val="1E293B"/>
          <w:sz w:val="22"/>
        </w:rPr>
        <w:t>Green Shoe Option</w:t>
      </w:r>
    </w:p>
    <w:p>
      <w:pPr>
        <w:spacing w:after="80" w:line="276" w:lineRule="auto"/>
      </w:pPr>
      <w:r>
        <w:rPr>
          <w:rFonts w:ascii="Calibri" w:hAnsi="Calibri"/>
          <w:color w:val="1E293B"/>
          <w:sz w:val="22"/>
        </w:rPr>
        <w:t>No green shoe option is contemplated under the Offer.</w:t>
      </w:r>
    </w:p>
    <w:p>
      <w:pPr>
        <w:spacing w:after="80" w:line="276" w:lineRule="auto"/>
      </w:pPr>
      <w:r>
        <w:rPr>
          <w:rFonts w:ascii="Calibri" w:hAnsi="Calibri"/>
          <w:color w:val="1E293B"/>
          <w:sz w:val="22"/>
        </w:rPr>
        <w:t>Filing of the Draft Red Herring Prospectus</w:t>
      </w:r>
    </w:p>
    <w:p>
      <w:pPr>
        <w:spacing w:after="80" w:line="276" w:lineRule="auto"/>
      </w:pPr>
      <w:r>
        <w:rPr>
          <w:rFonts w:ascii="Calibri" w:hAnsi="Calibri"/>
          <w:color w:val="1E293B"/>
          <w:sz w:val="22"/>
        </w:rPr>
        <w:t>A copy of the Draft Red Herring Prospectus has been filed through SEBI’s online intermediary portal at https://siportal.sebi.gov.in, as specified in Regulation 25(8) of the SEBI ICDR Regulations and in accordance with SEBI ICDR Master Circular. It has also been filed at:</w:t>
      </w:r>
    </w:p>
    <w:p>
      <w:pPr>
        <w:spacing w:after="80" w:line="276" w:lineRule="auto"/>
      </w:pPr>
      <w:r>
        <w:rPr>
          <w:rFonts w:ascii="Calibri" w:hAnsi="Calibri"/>
          <w:color w:val="1E293B"/>
          <w:sz w:val="22"/>
        </w:rPr>
        <w:t>Securities and Exchange Board of India</w:t>
      </w:r>
    </w:p>
    <w:p>
      <w:pPr>
        <w:spacing w:after="80" w:line="276" w:lineRule="auto"/>
      </w:pPr>
      <w:r>
        <w:rPr>
          <w:rFonts w:ascii="Calibri" w:hAnsi="Calibri"/>
          <w:color w:val="1E293B"/>
          <w:sz w:val="22"/>
        </w:rPr>
        <w:t>Corporation Finance Department Division of Issues and Listing SEBI Bhavan, Plot No. C4 A, ‘G’ Block</w:t>
      </w:r>
    </w:p>
    <w:p>
      <w:pPr>
        <w:spacing w:after="80" w:line="276" w:lineRule="auto"/>
      </w:pPr>
      <w:r>
        <w:rPr>
          <w:rFonts w:ascii="Calibri" w:hAnsi="Calibri"/>
          <w:color w:val="1E293B"/>
          <w:sz w:val="22"/>
        </w:rPr>
        <w:t>Bandra Kurla Complex, Bandra (E) Mumbai – 400 051, Maharashtra, India</w:t>
      </w:r>
    </w:p>
    <w:p>
      <w:pPr>
        <w:spacing w:after="80" w:line="276" w:lineRule="auto"/>
      </w:pPr>
      <w:r>
        <w:rPr>
          <w:rFonts w:ascii="Calibri" w:hAnsi="Calibri"/>
          <w:color w:val="1E293B"/>
          <w:sz w:val="22"/>
        </w:rPr>
        <w:t>Filing of this Red Herring Prospectus and Prospectus</w:t>
      </w:r>
    </w:p>
    <w:p>
      <w:pPr>
        <w:spacing w:after="80" w:line="276" w:lineRule="auto"/>
      </w:pPr>
      <w:r>
        <w:rPr>
          <w:rFonts w:ascii="Calibri" w:hAnsi="Calibri"/>
          <w:color w:val="1E293B"/>
          <w:sz w:val="22"/>
        </w:rPr>
        <w:t>A copy of this Red Herring Prospectus, along with the material contracts and documents required to be filed under Section 32 of the Companies Act, have been filed with the RoC at its office and a copy of the Prospectus to be filed under Section 26 of the Companies Act, 2013, will be filed with the RoC at its office, and through the electronic portal.</w:t>
      </w:r>
    </w:p>
    <w:p>
      <w:pPr>
        <w:spacing w:after="80" w:line="276" w:lineRule="auto"/>
      </w:pPr>
      <w:r>
        <w:rPr>
          <w:rFonts w:ascii="Calibri" w:hAnsi="Calibri"/>
          <w:color w:val="1E293B"/>
          <w:sz w:val="22"/>
        </w:rPr>
        <w:t>Book Building Process</w:t>
      </w:r>
    </w:p>
    <w:p>
      <w:pPr>
        <w:spacing w:after="80" w:line="276" w:lineRule="auto"/>
      </w:pPr>
      <w:r>
        <w:rPr>
          <w:rFonts w:ascii="Calibri" w:hAnsi="Calibri"/>
          <w:color w:val="1E293B"/>
          <w:sz w:val="22"/>
        </w:rPr>
        <w:t>Book building, in the context of the Offer, refers to the process of collection of Bids from Bidders on the basis of this Red Herring Prospectus and the Bid cum Application Forms and the Revision Forms within the Price Band. The Price Band and the minimum Bid Northstar Technologies Ltd,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 Book Building Process, the Offer Bluebird Capital LLP, in consultation with the BRLMs, after the Bid/Offer Closing Date. For details, see “Offer Procedure” on page 420.</w:t>
      </w:r>
    </w:p>
    <w:p>
      <w:pPr>
        <w:spacing w:after="80" w:line="276" w:lineRule="auto"/>
      </w:pPr>
      <w:r>
        <w:rPr>
          <w:rFonts w:ascii="Calibri" w:hAnsi="Calibri"/>
          <w:color w:val="1E293B"/>
          <w:sz w:val="22"/>
        </w:rPr>
        <w:t>All Bidders other than Anchor Investors shall only participate through the ASBA process by providing the details of their respective ASBA Account in which the corresponding Bid Amount will be blocked by the SCSBs or in the case of UPI Bidders, by using the UPI Mechanism. In addition to this, the Retail Individual Investors shall participate through the ASBA process by providing the details of their respective ASBA Account in which the corresponding Bid Amount will be blocked by the SCSBs or by using the UPI Mechanism. Non-Institutional Investors with an application size of up to ₹0.50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spacing w:after="80" w:line="276" w:lineRule="auto"/>
      </w:pPr>
      <w:r>
        <w:rPr>
          <w:rFonts w:ascii="Calibri" w:hAnsi="Calibri"/>
          <w:color w:val="1E293B"/>
          <w:sz w:val="22"/>
        </w:rPr>
        <w:t>In accordance with the SEBI ICDR Regulations, QIBs and Non-Institutional Investors are not permitted to withdraw or lower the size of their Bids (in terms of the quantity of the Equity Shares or the Bid Amount) at any stage. Retail Individual Investors can revise their Bids during the Bid/ Offer Period and withdraw their Bids until the Bid/ Offer Closing Date. Further, Anchor Investors cannot withdraw their Bids after the Anchor Investor Bidding Date. Allocation to QIBs (other than Anchor Investors) will be on a proportionate basis while allocation to Anchor Investors will be on a discretionary basis, of which 40% shall be reserved in the following manner (i) 33.33% of the Anchor Investor Portion shall be reserved for domestic Mutual Funds; and</w:t>
      </w:r>
    </w:p>
    <w:p>
      <w:pPr>
        <w:spacing w:after="80" w:line="276" w:lineRule="auto"/>
      </w:pPr>
      <w:r>
        <w:rPr>
          <w:rFonts w:ascii="Calibri" w:hAnsi="Calibri"/>
          <w:color w:val="1E293B"/>
          <w:sz w:val="22"/>
        </w:rPr>
        <w:t>(ii)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w:t>
      </w:r>
    </w:p>
    <w:p>
      <w:pPr>
        <w:spacing w:after="80" w:line="276" w:lineRule="auto"/>
      </w:pPr>
      <w:r>
        <w:rPr>
          <w:rFonts w:ascii="Calibri" w:hAnsi="Calibri"/>
          <w:color w:val="1E293B"/>
          <w:sz w:val="22"/>
        </w:rPr>
        <w:t>For further details, see “Terms of the Offer” and “Offer Procedure” on pages 411 and 420, respectively.</w:t>
      </w:r>
    </w:p>
    <w:p>
      <w:pPr>
        <w:spacing w:after="80" w:line="276" w:lineRule="auto"/>
      </w:pPr>
      <w:r>
        <w:rPr>
          <w:rFonts w:ascii="Calibri" w:hAnsi="Calibri"/>
          <w:color w:val="1E293B"/>
          <w:sz w:val="22"/>
        </w:rPr>
        <w:t>Northstar Technologies Ltd will comply with the SEBI ICDR Regulations and any other directions issued by SEBI in relation to this Offer. Each of the Promoter Selling Shareholders has, severally and not jointly, specifically confirmed that it will comply with the SEBI ICDR Regulations and any other directions issued by SEBI, as applicable to it, in relation to its portion of the Offered Shares. In this regard, Bluebird Capital LLP and the Promoter Selling Shareholders have appointed the Book Running Lead Managers to manage this Offer and procure Bids for this Offer.</w:t>
      </w:r>
    </w:p>
    <w:p>
      <w:pPr>
        <w:spacing w:after="80" w:line="276" w:lineRule="auto"/>
      </w:pPr>
      <w:r>
        <w:rPr>
          <w:rFonts w:ascii="Calibri" w:hAnsi="Calibri"/>
          <w:color w:val="1E293B"/>
          <w:sz w:val="22"/>
        </w:rPr>
        <w:t>The Book Building Process under the SEBI ICDR Regulations and the Bidding process are subject to change from time to time, and the Bidders are advised to make their own judgment about investment through the aforesaid processes prior to submitting a Bid in the Offer.</w:t>
      </w:r>
    </w:p>
    <w:p>
      <w:pPr>
        <w:spacing w:after="80" w:line="276" w:lineRule="auto"/>
      </w:pPr>
      <w:r>
        <w:rPr>
          <w:rFonts w:ascii="Calibri" w:hAnsi="Calibri"/>
          <w:color w:val="1E293B"/>
          <w:sz w:val="22"/>
        </w:rPr>
        <w:t>Bidders should note that the Offer is also subject to (i) Acme Private Limited with the RoC; and (ii) Bluebird Capital LLP obtaining final listing and trading approvals from the Stock Exchanges, Acme Private Limited shall apply for after Allotment.</w:t>
      </w:r>
    </w:p>
    <w:p>
      <w:pPr>
        <w:spacing w:after="80" w:line="276" w:lineRule="auto"/>
      </w:pPr>
      <w:r>
        <w:rPr>
          <w:rFonts w:ascii="Calibri" w:hAnsi="Calibri"/>
          <w:color w:val="1E293B"/>
          <w:sz w:val="22"/>
        </w:rPr>
        <w:t>For further details on the method and procedure for Bidding, see “Offer Procedure” and “Offer Structure” on pages 420 and 417, respectively.</w:t>
      </w:r>
    </w:p>
    <w:p>
      <w:pPr>
        <w:spacing w:after="80" w:line="276" w:lineRule="auto"/>
      </w:pPr>
      <w:r>
        <w:rPr>
          <w:rFonts w:ascii="Calibri" w:hAnsi="Calibri"/>
          <w:color w:val="1E293B"/>
          <w:sz w:val="22"/>
        </w:rPr>
        <w:t>Underwriting Agreement</w:t>
      </w:r>
    </w:p>
    <w:p>
      <w:pPr>
        <w:spacing w:after="80" w:line="276" w:lineRule="auto"/>
      </w:pPr>
      <w:r>
        <w:rPr>
          <w:rFonts w:ascii="Calibri" w:hAnsi="Calibri"/>
          <w:color w:val="1E293B"/>
          <w:sz w:val="22"/>
        </w:rPr>
        <w:t>After the determination of the Offer Price and allocation of Equity Shares but prior to the filing of the Prospectus with the RoC, Bluebird Capital LLP and the Promoter Selling Shareholders will enter into an Underwriting Agreement with the Underwriters for the Equity Shares proposed to be offered through the Offer. The extent of underwriting obligations and the Bids to be underwritten by each BRLM shall be as per the Underwriting Agreement. Pursuant to the terms of the Underwriting Agreement, the obligations of the Underwriters will be several and will be subject to certain conditions to closing, as specified therein.</w:t>
      </w:r>
    </w:p>
    <w:p>
      <w:pPr>
        <w:spacing w:after="80" w:line="276" w:lineRule="auto"/>
      </w:pPr>
      <w:r>
        <w:rPr>
          <w:rFonts w:ascii="Calibri" w:hAnsi="Calibri"/>
          <w:color w:val="1E293B"/>
          <w:sz w:val="22"/>
        </w:rPr>
        <w:t>The Underwriting Agreement is dated [●]. The Underwriters have indicated their intention to underwrite the following number of Equity Shares:</w:t>
      </w:r>
    </w:p>
    <w:p>
      <w:pPr>
        <w:spacing w:after="80" w:line="276" w:lineRule="auto"/>
      </w:pPr>
      <w:r>
        <w:rPr>
          <w:rFonts w:ascii="Calibri" w:hAnsi="Calibri"/>
          <w:color w:val="1E293B"/>
          <w:sz w:val="22"/>
        </w:rPr>
        <w:t>(The Underwriting Agreement has not been executed as on the date of this Red Herring Prospectus. This portion has been intentionally left blank and will be filled in before filing of the Prospectus with the RoC)</w:t>
      </w:r>
    </w:p>
    <w:p>
      <w:pPr>
        <w:spacing w:after="80" w:line="276" w:lineRule="auto"/>
      </w:pPr>
      <w:r>
        <w:rPr>
          <w:rFonts w:ascii="Calibri" w:hAnsi="Calibri"/>
          <w:color w:val="1E293B"/>
          <w:sz w:val="22"/>
        </w:rPr>
        <w:t>Name, address, telephone and e-mail address 742 Evergreen Terrace, Springfield 49007</w:t>
      </w:r>
    </w:p>
    <w:p>
      <w:pPr>
        <w:spacing w:after="80" w:line="276" w:lineRule="auto"/>
      </w:pPr>
      <w:r>
        <w:rPr>
          <w:rFonts w:ascii="Calibri" w:hAnsi="Calibri"/>
          <w:color w:val="1E293B"/>
          <w:sz w:val="22"/>
        </w:rPr>
        <w:t>Indicative Number of Equity Shares of face value of ₹5 each to be Underwritten</w:t>
      </w:r>
    </w:p>
    <w:p>
      <w:pPr>
        <w:spacing w:after="80" w:line="276" w:lineRule="auto"/>
      </w:pPr>
      <w:r>
        <w:rPr>
          <w:rFonts w:ascii="Calibri" w:hAnsi="Calibri"/>
          <w:color w:val="1E293B"/>
          <w:sz w:val="22"/>
        </w:rPr>
        <w:t>Amount Underwritten (₹ in million)</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The above-mentioned underwriting commitment is indicative and will be finalized after determination of the Offer Price and Basis of Allotment and will be subject to Regulation 40(3) of the SEBI ICDR Regulations.</w:t>
      </w:r>
    </w:p>
    <w:p>
      <w:pPr>
        <w:spacing w:after="80" w:line="276" w:lineRule="auto"/>
      </w:pPr>
      <w:r>
        <w:rPr>
          <w:rFonts w:ascii="Calibri" w:hAnsi="Calibri"/>
          <w:color w:val="1E293B"/>
          <w:sz w:val="22"/>
        </w:rPr>
        <w:t>In the opinion of our Board of Directors (Northstar Technologies Ltd by the Underwriters), the resources of the abovementioned Underwriters are sufficient to enable them to discharge their respective underwriting obligations in full. The Underwriters are registered with the SEBI under Section 12(1) of the SEBI Act or registered as brokers with the Stock Exchange(s). Our Board at its meeting held on [●], has accepted and entered into the Underwriting Agreement Bluebird Capital LLP.</w:t>
      </w:r>
    </w:p>
    <w:p>
      <w:pPr>
        <w:spacing w:after="80" w:line="276" w:lineRule="auto"/>
      </w:pPr>
      <w:r>
        <w:rPr>
          <w:rFonts w:ascii="Calibri" w:hAnsi="Calibri"/>
          <w:color w:val="1E293B"/>
          <w:sz w:val="22"/>
        </w:rPr>
        <w:t>Allocation among the Underwriters may not necessarily be in proportion to their underwriting commitments set forth in the table above. Notwithstanding the above table, the Underwriters shall be severally responsible for ensuring payment with respect to Equity Shares allocated to Bidders procured by them.</w:t>
      </w:r>
    </w:p>
    <w:p>
      <w:pPr>
        <w:spacing w:after="80" w:line="276" w:lineRule="auto"/>
      </w:pPr>
      <w:r>
        <w:rPr>
          <w:rFonts w:ascii="Calibri" w:hAnsi="Calibri"/>
          <w:color w:val="1E293B"/>
          <w:sz w:val="22"/>
        </w:rPr>
        <w:t>CAPITAL STRUCTURE</w:t>
      </w:r>
    </w:p>
    <w:p>
      <w:pPr>
        <w:spacing w:after="80" w:line="276" w:lineRule="auto"/>
      </w:pPr>
      <w:r>
        <w:rPr>
          <w:rFonts w:ascii="Calibri" w:hAnsi="Calibri"/>
          <w:color w:val="1E293B"/>
          <w:sz w:val="22"/>
        </w:rPr>
        <w:t>Acme Private Limited, as on the date of this Red Herring Prospectus, is set forth below:</w:t>
      </w:r>
    </w:p>
    <w:p>
      <w:pPr>
        <w:spacing w:after="80" w:line="276" w:lineRule="auto"/>
      </w:pPr>
      <w:r>
        <w:rPr>
          <w:rFonts w:ascii="Calibri" w:hAnsi="Calibri"/>
          <w:color w:val="1E293B"/>
          <w:sz w:val="22"/>
        </w:rPr>
        <w:t>(in ₹, except share data)</w:t>
      </w:r>
    </w:p>
    <w:p>
      <w:pPr>
        <w:spacing w:after="80" w:line="276" w:lineRule="auto"/>
      </w:pPr>
      <w:r>
        <w:rPr>
          <w:rFonts w:ascii="Calibri" w:hAnsi="Calibri"/>
          <w:color w:val="1E293B"/>
          <w:sz w:val="22"/>
        </w:rPr>
        <w:t>S. No.</w:t>
      </w:r>
    </w:p>
    <w:p>
      <w:pPr>
        <w:spacing w:after="80" w:line="276" w:lineRule="auto"/>
      </w:pPr>
      <w:r>
        <w:rPr>
          <w:rFonts w:ascii="Calibri" w:hAnsi="Calibri"/>
          <w:color w:val="1E293B"/>
          <w:sz w:val="22"/>
        </w:rPr>
        <w:t>Particulars</w:t>
      </w:r>
    </w:p>
    <w:p>
      <w:pPr>
        <w:spacing w:after="80" w:line="276" w:lineRule="auto"/>
      </w:pPr>
      <w:r>
        <w:rPr>
          <w:rFonts w:ascii="Calibri" w:hAnsi="Calibri"/>
          <w:color w:val="1E293B"/>
          <w:sz w:val="22"/>
        </w:rPr>
        <w:t>Aggregate nominal value</w:t>
      </w:r>
    </w:p>
    <w:p>
      <w:pPr>
        <w:spacing w:after="80" w:line="276" w:lineRule="auto"/>
      </w:pPr>
      <w:r>
        <w:rPr>
          <w:rFonts w:ascii="Calibri" w:hAnsi="Calibri"/>
          <w:color w:val="1E293B"/>
          <w:sz w:val="22"/>
        </w:rPr>
        <w:t>Aggregate value at Offer Price*</w:t>
      </w:r>
    </w:p>
    <w:p>
      <w:pPr>
        <w:spacing w:after="80" w:line="276" w:lineRule="auto"/>
      </w:pPr>
      <w:r>
        <w:rPr>
          <w:rFonts w:ascii="Calibri" w:hAnsi="Calibri"/>
          <w:color w:val="1E293B"/>
          <w:sz w:val="22"/>
        </w:rPr>
        <w:t>A)</w:t>
      </w:r>
    </w:p>
    <w:p>
      <w:pPr>
        <w:spacing w:after="80" w:line="276" w:lineRule="auto"/>
      </w:pPr>
      <w:r>
        <w:rPr>
          <w:rFonts w:ascii="Calibri" w:hAnsi="Calibri"/>
          <w:color w:val="1E293B"/>
          <w:sz w:val="22"/>
        </w:rPr>
        <w:t>AUTHORISED SHARE CAPITAL(1)</w:t>
      </w:r>
    </w:p>
    <w:p>
      <w:pPr>
        <w:spacing w:after="80" w:line="276" w:lineRule="auto"/>
      </w:pPr>
      <w:r>
        <w:rPr>
          <w:rFonts w:ascii="Calibri" w:hAnsi="Calibri"/>
          <w:color w:val="1E293B"/>
          <w:sz w:val="22"/>
        </w:rPr>
        <w:t>Equity Shares comprising:</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80,000,000 Equity Shares of face value of ₹5 each</w:t>
      </w:r>
    </w:p>
    <w:p>
      <w:pPr>
        <w:spacing w:after="80" w:line="276" w:lineRule="auto"/>
      </w:pPr>
      <w:r>
        <w:rPr>
          <w:rFonts w:ascii="Calibri" w:hAnsi="Calibri"/>
          <w:color w:val="1E293B"/>
          <w:sz w:val="22"/>
        </w:rPr>
        <w:t>400,000,000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B)</w:t>
      </w:r>
    </w:p>
    <w:p>
      <w:pPr>
        <w:spacing w:after="80" w:line="276" w:lineRule="auto"/>
      </w:pPr>
      <w:r>
        <w:rPr>
          <w:rFonts w:ascii="Calibri" w:hAnsi="Calibri"/>
          <w:color w:val="1E293B"/>
          <w:sz w:val="22"/>
        </w:rPr>
        <w:t>ISSUED, SUBSCRIBED AND PAID-UP SHARE CAPITAL BEFORE THE OFFER</w:t>
      </w:r>
    </w:p>
    <w:p>
      <w:pPr>
        <w:spacing w:after="80" w:line="276" w:lineRule="auto"/>
      </w:pPr>
      <w:r>
        <w:rPr>
          <w:rFonts w:ascii="Calibri" w:hAnsi="Calibri"/>
          <w:color w:val="1E293B"/>
          <w:sz w:val="22"/>
        </w:rPr>
        <w:t>56,818,200 Equity Shares of face value of ₹5 each</w:t>
      </w:r>
    </w:p>
    <w:p>
      <w:pPr>
        <w:spacing w:after="80" w:line="276" w:lineRule="auto"/>
      </w:pPr>
      <w:r>
        <w:rPr>
          <w:rFonts w:ascii="Calibri" w:hAnsi="Calibri"/>
          <w:color w:val="1E293B"/>
          <w:sz w:val="22"/>
        </w:rPr>
        <w:t>284,091,000</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C)</w:t>
      </w:r>
    </w:p>
    <w:p>
      <w:pPr>
        <w:spacing w:after="80" w:line="276" w:lineRule="auto"/>
      </w:pPr>
      <w:r>
        <w:rPr>
          <w:rFonts w:ascii="Calibri" w:hAnsi="Calibri"/>
          <w:color w:val="1E293B"/>
          <w:sz w:val="22"/>
        </w:rPr>
        <w:t>PRESENT OFFER(2)</w:t>
      </w:r>
    </w:p>
    <w:p>
      <w:pPr>
        <w:spacing w:after="80" w:line="276" w:lineRule="auto"/>
      </w:pPr>
      <w:r>
        <w:rPr>
          <w:rFonts w:ascii="Calibri" w:hAnsi="Calibri"/>
          <w:color w:val="1E293B"/>
          <w:sz w:val="22"/>
        </w:rPr>
        <w:t>Offer of up to [●] Equity Shares of face value of ₹5 each aggregating up to</w:t>
      </w:r>
    </w:p>
    <w:p>
      <w:pPr>
        <w:spacing w:after="80" w:line="276" w:lineRule="auto"/>
      </w:pPr>
      <w:r>
        <w:rPr>
          <w:rFonts w:ascii="Calibri" w:hAnsi="Calibri"/>
          <w:color w:val="1E293B"/>
          <w:sz w:val="22"/>
        </w:rPr>
        <w:t>₹7,100.00 million (3)</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Of which</w:t>
      </w:r>
    </w:p>
    <w:p>
      <w:pPr>
        <w:spacing w:after="80" w:line="276" w:lineRule="auto"/>
      </w:pPr>
      <w:r>
        <w:rPr>
          <w:rFonts w:ascii="Calibri" w:hAnsi="Calibri"/>
          <w:color w:val="1E293B"/>
          <w:sz w:val="22"/>
        </w:rPr>
        <w:t>Fresh Issue of up to [●] Equity Shares of face value of ₹5 each aggregating up to ₹4,200.00 million</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Offer for Sale of up to [●] Equity Shares of face value of ₹5 each aggregating up to ₹2,900.00 million(3)</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E)</w:t>
      </w:r>
    </w:p>
    <w:p>
      <w:pPr>
        <w:spacing w:after="80" w:line="276" w:lineRule="auto"/>
      </w:pPr>
      <w:r>
        <w:rPr>
          <w:rFonts w:ascii="Calibri" w:hAnsi="Calibri"/>
          <w:color w:val="1E293B"/>
          <w:sz w:val="22"/>
        </w:rPr>
        <w:t>ISSUED, SUBSCRIBED AND PAID-UP SHARE CAPITAL AFTER THE OFFER*</w:t>
      </w:r>
    </w:p>
    <w:p>
      <w:pPr>
        <w:spacing w:after="80" w:line="276" w:lineRule="auto"/>
      </w:pPr>
      <w:r>
        <w:rPr>
          <w:rFonts w:ascii="Calibri" w:hAnsi="Calibri"/>
          <w:color w:val="1E293B"/>
          <w:sz w:val="22"/>
        </w:rPr>
        <w:t>[●] Equity Shares of face value of ₹5 each</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F)</w:t>
      </w:r>
    </w:p>
    <w:p>
      <w:pPr>
        <w:spacing w:after="80" w:line="276" w:lineRule="auto"/>
      </w:pPr>
      <w:r>
        <w:rPr>
          <w:rFonts w:ascii="Calibri" w:hAnsi="Calibri"/>
          <w:color w:val="1E293B"/>
          <w:sz w:val="22"/>
        </w:rPr>
        <w:t>SECURITIES PREMIUM ACCOUNT</w:t>
      </w:r>
    </w:p>
    <w:p>
      <w:pPr>
        <w:spacing w:after="80" w:line="276" w:lineRule="auto"/>
      </w:pPr>
      <w:r>
        <w:rPr>
          <w:rFonts w:ascii="Calibri" w:hAnsi="Calibri"/>
          <w:color w:val="1E293B"/>
          <w:sz w:val="22"/>
        </w:rPr>
        <w:t>Before the Offer</w:t>
      </w:r>
    </w:p>
    <w:p>
      <w:pPr>
        <w:spacing w:after="80" w:line="276" w:lineRule="auto"/>
      </w:pPr>
      <w:r>
        <w:rPr>
          <w:rFonts w:ascii="Calibri" w:hAnsi="Calibri"/>
          <w:color w:val="1E293B"/>
          <w:sz w:val="22"/>
        </w:rPr>
        <w:t>0.00</w:t>
      </w:r>
    </w:p>
    <w:p>
      <w:pPr>
        <w:spacing w:after="80" w:line="276" w:lineRule="auto"/>
      </w:pPr>
      <w:r>
        <w:rPr>
          <w:rFonts w:ascii="Calibri" w:hAnsi="Calibri"/>
          <w:color w:val="1E293B"/>
          <w:sz w:val="22"/>
        </w:rPr>
        <w:t>After the Offer*</w:t>
      </w:r>
    </w:p>
    <w:p>
      <w:pPr>
        <w:spacing w:after="80" w:line="276" w:lineRule="auto"/>
      </w:pPr>
      <w:r>
        <w:rPr>
          <w:rFonts w:ascii="Calibri" w:hAnsi="Calibri"/>
          <w:color w:val="1E293B"/>
          <w:sz w:val="22"/>
        </w:rPr>
        <w:t>[●]</w:t>
      </w:r>
    </w:p>
    <w:p>
      <w:pPr>
        <w:spacing w:after="80" w:line="276" w:lineRule="auto"/>
      </w:pPr>
      <w:r>
        <w:rPr>
          <w:rFonts w:ascii="Calibri" w:hAnsi="Calibri"/>
          <w:color w:val="1E293B"/>
          <w:sz w:val="22"/>
        </w:rPr>
        <w:t>*To be updated upon finalisation of the Offer Price, and subject to Basis of Allotment.</w:t>
      </w:r>
    </w:p>
    <w:p>
      <w:pPr>
        <w:spacing w:after="80" w:line="276" w:lineRule="auto"/>
      </w:pPr>
      <w:r>
        <w:rPr>
          <w:rFonts w:ascii="Calibri" w:hAnsi="Calibri"/>
          <w:color w:val="1E293B"/>
          <w:sz w:val="22"/>
        </w:rPr>
        <w:t>(1)  For details in relation to the changes in Acme Private Limited in the last 10 years, see “History and Certain Corporate Matters – Amendments to our Memorandum of Association in the last 10 years” on page 244.</w:t>
      </w:r>
    </w:p>
    <w:p>
      <w:pPr>
        <w:spacing w:after="80" w:line="276" w:lineRule="auto"/>
      </w:pPr>
      <w:r>
        <w:rPr>
          <w:rFonts w:ascii="Calibri" w:hAnsi="Calibri"/>
          <w:color w:val="1E293B"/>
          <w:sz w:val="22"/>
        </w:rPr>
        <w:t>(2)  The Offer has been approved by our Board pursuant to the resolution passed at its meeting held on May 6, 2025 and our Shareholders have authorized the Fresh Issue pursuant to a special resolution passed at their meeting held on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w:t>
      </w:r>
    </w:p>
    <w:p>
      <w:pPr>
        <w:spacing w:after="80" w:line="276" w:lineRule="auto"/>
      </w:pPr>
      <w:r>
        <w:rPr>
          <w:rFonts w:ascii="Calibri" w:hAnsi="Calibri"/>
          <w:color w:val="1E293B"/>
          <w:sz w:val="22"/>
        </w:rPr>
        <w:t>(3) Each of the Promoter Selling Shareholders have, severally and not jointly, consented to participate in the Offer for Sale. Each of the Promoter Selling Shareholders has specifically confirmed that its respective portion of the Offered Shares has been held by each one of them for a period of at least one year prior to the filing of the Draft Red Herring Prospectus and are accordingly eligible for being offered for sale in the Offer as required by the SEBI ICDR Regulations. Further, each of the Promoter Selling Shareholders has confirmed that it is in compliance with the conditions specified in Regulation 8 of the SEBI ICDR Regulations, to the extent applicable, as on the date of this Red Herring Prospectus. For details on the authorisation of the Promoter Selling Shareholders in relation to the Offered Shares, see “The Offer” and “Other Regulatory and Statutory Disclosures” on pages 67 and 398, respectively.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