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INF4103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132237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>mini-projet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273B27" w:rsidP="007F196D">
      <w:pPr>
        <w:pStyle w:val="Subtitle"/>
        <w:rPr>
          <w:rFonts w:ascii="Times New Roman" w:hAnsi="Times New Roman"/>
          <w:lang w:val="fr-CA"/>
        </w:rPr>
      </w:pPr>
      <w:bookmarkStart w:id="1" w:name="_Toc448132238"/>
      <w:r w:rsidRPr="00762752">
        <w:rPr>
          <w:rFonts w:ascii="Times New Roman" w:hAnsi="Times New Roman"/>
          <w:lang w:val="fr-CA"/>
        </w:rPr>
        <w:t>Minuterie du four à micro-ondes</w:t>
      </w:r>
      <w:bookmarkEnd w:id="1"/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 Mukeshimana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21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Responsable de laboratoire A. Shaneen-Professeur A.-M.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Cretu</w:t>
      </w:r>
      <w:proofErr w:type="spellEnd"/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2" w:name="_Toc448132239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2"/>
    </w:p>
    <w:sdt>
      <w:sdtPr>
        <w:rPr>
          <w:rFonts w:ascii="Times New Roman" w:hAnsi="Times New Roman"/>
        </w:rPr>
        <w:id w:val="429086588"/>
        <w:docPartObj>
          <w:docPartGallery w:val="Table of Contents"/>
          <w:docPartUnique/>
        </w:docPartObj>
      </w:sdtPr>
      <w:sdtEndPr>
        <w:rPr>
          <w:rFonts w:eastAsiaTheme="minorEastAsia"/>
          <w:noProof/>
          <w:kern w:val="0"/>
          <w:sz w:val="24"/>
          <w:szCs w:val="24"/>
        </w:rPr>
      </w:sdtEndPr>
      <w:sdtContent>
        <w:p w:rsidR="007F196D" w:rsidRPr="00762752" w:rsidRDefault="007F196D">
          <w:pPr>
            <w:pStyle w:val="TOCHeading"/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</w:rPr>
            <w:t>Contents</w:t>
          </w:r>
        </w:p>
        <w:p w:rsidR="00B438D0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132237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Rapport : mini-projet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_Toc448132237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1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38" w:history="1">
            <w:r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Minuterie du four à micro-ondes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39" w:history="1">
            <w:r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0" w:history="1">
            <w:r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Le cahier de charges: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1" w:history="1">
            <w:r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Description du logiciel en termes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2" w:history="1">
            <w:r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Description du 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3" w:history="1">
            <w:r w:rsidRPr="00B47E03">
              <w:rPr>
                <w:rStyle w:val="Hyperlink"/>
                <w:rFonts w:ascii="Times New Roman" w:hAnsi="Times New Roman"/>
                <w:noProof/>
              </w:rPr>
              <w:t>Diagramme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4" w:history="1">
            <w:r w:rsidRPr="00B47E03">
              <w:rPr>
                <w:rStyle w:val="Hyperlink"/>
                <w:noProof/>
                <w:lang w:val="fr-CA"/>
              </w:rPr>
              <w:t>Les 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5" w:history="1">
            <w:r w:rsidRPr="00B47E03">
              <w:rPr>
                <w:rStyle w:val="Hyperlink"/>
                <w:noProof/>
                <w:lang w:val="fr-CA"/>
              </w:rPr>
              <w:t>La conformité de la conception par rapport au cahier de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6" w:history="1">
            <w:r w:rsidRPr="00B47E03">
              <w:rPr>
                <w:rStyle w:val="Hyperlink"/>
                <w:noProof/>
                <w:lang w:val="fr-CA"/>
              </w:rPr>
              <w:t>Les prototypes intermédiaires et finaux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7" w:history="1">
            <w:r w:rsidRPr="00B47E03">
              <w:rPr>
                <w:rStyle w:val="Hyperlink"/>
                <w:noProof/>
                <w:lang w:val="fr-CA"/>
              </w:rPr>
              <w:t>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8" w:history="1">
            <w:r w:rsidRPr="00B47E03">
              <w:rPr>
                <w:rStyle w:val="Hyperlink"/>
                <w:noProof/>
                <w:lang w:val="fr-CA"/>
              </w:rPr>
              <w:t>Les tests effectués ainsi que les résultats du projet accompagnés par des captures d’écran et/ou des images.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D0" w:rsidRDefault="00B438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9" w:history="1">
            <w:r w:rsidRPr="00B47E03">
              <w:rPr>
                <w:rStyle w:val="Hyperlink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7F196D" w:rsidRPr="00762752" w:rsidRDefault="007F196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 w:rsidRPr="00762752">
        <w:rPr>
          <w:rFonts w:ascii="Times New Roman" w:hAnsi="Times New Roman"/>
          <w:lang w:val="fr-CA"/>
        </w:rPr>
        <w:br w:type="page"/>
      </w:r>
      <w:bookmarkStart w:id="3" w:name="_GoBack"/>
      <w:bookmarkEnd w:id="3"/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4" w:name="_Toc448132240"/>
      <w:r w:rsidRPr="00762752">
        <w:rPr>
          <w:rFonts w:ascii="Times New Roman" w:hAnsi="Times New Roman" w:cs="Times New Roman"/>
          <w:lang w:val="fr-CA"/>
        </w:rPr>
        <w:lastRenderedPageBreak/>
        <w:t>Le cahier de charges:</w:t>
      </w:r>
      <w:bookmarkEnd w:id="4"/>
    </w:p>
    <w:p w:rsidR="007F196D" w:rsidRPr="00762752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5" w:name="_Toc448132241"/>
      <w:r w:rsidRPr="00762752">
        <w:rPr>
          <w:rFonts w:ascii="Times New Roman" w:hAnsi="Times New Roman" w:cs="Times New Roman"/>
          <w:lang w:val="fr-CA"/>
        </w:rPr>
        <w:t>Description du logiciel en termes de fonctionnalités</w:t>
      </w:r>
      <w:bookmarkEnd w:id="5"/>
    </w:p>
    <w:p w:rsidR="007F196D" w:rsidRPr="00762752" w:rsidRDefault="007F196D" w:rsidP="007F196D">
      <w:p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logiciel de </w:t>
      </w:r>
      <w:r w:rsidRPr="00762752">
        <w:rPr>
          <w:rFonts w:ascii="Times New Roman" w:eastAsiaTheme="majorEastAsia" w:hAnsi="Times New Roman"/>
          <w:lang w:val="fr-CA"/>
        </w:rPr>
        <w:t xml:space="preserve">minuterie du four à micro-ondes présente 4 états : 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Si le logiciel est dans l’état Initialisation où les afficheurs 7-segments affichent 0000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le logiciel reste dans l’état Initialisation 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le logiciel reste dans l’état Initialisation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le logiciel va dans l’état Décalage et le petit son est déclenché.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Si le logiciel est dans l’état décalage où les afficheurs 7-segme</w:t>
      </w:r>
      <w:r w:rsidR="00762752">
        <w:rPr>
          <w:rFonts w:ascii="Times New Roman" w:hAnsi="Times New Roman"/>
          <w:lang w:val="fr-CA"/>
        </w:rPr>
        <w:t xml:space="preserve">nts sont programme de droite à </w:t>
      </w:r>
      <w:r w:rsidRPr="00762752">
        <w:rPr>
          <w:rFonts w:ascii="Times New Roman" w:hAnsi="Times New Roman"/>
          <w:lang w:val="fr-CA"/>
        </w:rPr>
        <w:t>gauche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le logiciel va dans l’état décompte et le petit son est déclenché.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le logiciel va dans l’état Initialisation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le logiciel reste dans l’état décalage et le petit son est déclenché.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Si le logiciel est dans l’état décompte où le compte à rebours s’effectue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le logiciel reste dans l’état  décompte 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le logiciel va dans l’état pause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le logiciel reste dans l’état décompte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Quand le décompte arrive à 0 minutes et 0 secondes le logiciel se met dans l’état pause et les afficheurs 7-segments affichent END</w:t>
      </w:r>
      <w:r w:rsidR="00762752"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>(Fin) et le son continu et déclenché.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Si le logiciel est dans l’état pause où  les afficheurs 7 segments   ne bougent plus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le logiciel va dans l’état décompte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762752">
        <w:rPr>
          <w:rFonts w:ascii="Times New Roman" w:hAnsi="Times New Roman"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le logiciel va dans l’état Initialisation</w:t>
      </w:r>
    </w:p>
    <w:p w:rsidR="007F196D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le logiciel reste dans l’état pause</w:t>
      </w:r>
    </w:p>
    <w:p w:rsidR="00244A9C" w:rsidRPr="00762752" w:rsidRDefault="00244A9C" w:rsidP="00244A9C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>
        <w:rPr>
          <w:rFonts w:ascii="Times New Roman" w:hAnsi="Times New Roman"/>
        </w:rPr>
        <w:t>A faire…</w:t>
      </w:r>
    </w:p>
    <w:p w:rsidR="007F196D" w:rsidRPr="00762752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6" w:name="_Toc448132242"/>
      <w:r w:rsidRPr="00762752">
        <w:rPr>
          <w:rFonts w:ascii="Times New Roman" w:hAnsi="Times New Roman" w:cs="Times New Roman"/>
          <w:lang w:val="fr-CA"/>
        </w:rPr>
        <w:t>Description du matériel requis</w:t>
      </w:r>
      <w:bookmarkEnd w:id="6"/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eastAsiaTheme="majorEastAsia" w:hAnsi="Times New Roman"/>
          <w:lang w:val="fr-CA"/>
        </w:rPr>
        <w:t>Un microcontrôleur HSC12 sur la carte d'entraînement Dragon-12 pour le traitement.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3 Boutons sur la carte d'entraînement Dragon-12 pour la lecture des données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premier bouton pour la commande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(Démarrer)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deuxième bouton pour la commande </w:t>
      </w:r>
      <w:r w:rsidRPr="00762752">
        <w:rPr>
          <w:rFonts w:ascii="Times New Roman" w:hAnsi="Times New Roman"/>
          <w:i/>
          <w:lang w:val="fr-CA"/>
        </w:rPr>
        <w:t>Stop/</w:t>
      </w:r>
      <w:proofErr w:type="spellStart"/>
      <w:r w:rsidRPr="00762752">
        <w:rPr>
          <w:rFonts w:ascii="Times New Roman" w:hAnsi="Times New Roman"/>
          <w:i/>
          <w:lang w:val="fr-CA"/>
        </w:rPr>
        <w:t>Clear</w:t>
      </w:r>
      <w:proofErr w:type="spellEnd"/>
      <w:r w:rsidRPr="00762752">
        <w:rPr>
          <w:rFonts w:ascii="Times New Roman" w:hAnsi="Times New Roman"/>
          <w:lang w:val="fr-CA"/>
        </w:rPr>
        <w:t xml:space="preserve"> (Arrêt/Initialisation)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troisième bouton pour la commande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(Nombre) pour entrer les chiffres dans la minuterie.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Interrupteurs sur la carte d'entraînement Dragon-12 pour la lecture des données pour composer les chiffres 0 à 9 à entrer dans la minuterie sous forme binaire.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afficheurs 7-segments pour affiche des résultats.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Un haut-parleur sur la carte d'entraînement Dragon-12 pour les sons.</w:t>
      </w:r>
    </w:p>
    <w:p w:rsidR="007F196D" w:rsidRPr="00762752" w:rsidRDefault="007F196D" w:rsidP="007F196D">
      <w:pPr>
        <w:rPr>
          <w:rFonts w:ascii="Times New Roman" w:hAnsi="Times New Roman"/>
          <w:lang w:val="fr-CA"/>
        </w:rPr>
      </w:pPr>
    </w:p>
    <w:p w:rsidR="007F196D" w:rsidRPr="00762752" w:rsidRDefault="007F196D" w:rsidP="007F196D">
      <w:pPr>
        <w:rPr>
          <w:rFonts w:ascii="Times New Roman" w:eastAsiaTheme="majorEastAsia" w:hAnsi="Times New Roman"/>
          <w:b/>
          <w:bCs/>
          <w:i/>
          <w:iCs/>
          <w:sz w:val="28"/>
          <w:szCs w:val="28"/>
          <w:lang w:val="fr-CA"/>
        </w:rPr>
      </w:pPr>
    </w:p>
    <w:p w:rsidR="007F196D" w:rsidRDefault="007F196D" w:rsidP="007F196D">
      <w:pPr>
        <w:pStyle w:val="Heading2"/>
        <w:rPr>
          <w:rFonts w:ascii="Times New Roman" w:hAnsi="Times New Roman" w:cs="Times New Roman"/>
        </w:rPr>
      </w:pPr>
      <w:bookmarkStart w:id="7" w:name="_Toc448132243"/>
      <w:proofErr w:type="spellStart"/>
      <w:r w:rsidRPr="00762752">
        <w:rPr>
          <w:rFonts w:ascii="Times New Roman" w:hAnsi="Times New Roman" w:cs="Times New Roman"/>
        </w:rPr>
        <w:lastRenderedPageBreak/>
        <w:t>Diagramme</w:t>
      </w:r>
      <w:proofErr w:type="spellEnd"/>
      <w:r w:rsidRPr="00762752">
        <w:rPr>
          <w:rFonts w:ascii="Times New Roman" w:hAnsi="Times New Roman" w:cs="Times New Roman"/>
        </w:rPr>
        <w:t xml:space="preserve"> du </w:t>
      </w:r>
      <w:proofErr w:type="spellStart"/>
      <w:r w:rsidRPr="00762752">
        <w:rPr>
          <w:rFonts w:ascii="Times New Roman" w:hAnsi="Times New Roman" w:cs="Times New Roman"/>
        </w:rPr>
        <w:t>projet</w:t>
      </w:r>
      <w:bookmarkEnd w:id="7"/>
      <w:proofErr w:type="spellEnd"/>
    </w:p>
    <w:p w:rsidR="00A40D88" w:rsidRPr="00042409" w:rsidRDefault="00A40D88" w:rsidP="00A40D88">
      <w:pPr>
        <w:rPr>
          <w:lang w:val="fr-CA"/>
        </w:rPr>
      </w:pPr>
      <w:r>
        <w:object w:dxaOrig="8578" w:dyaOrig="8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1pt;height:447pt" o:ole="">
            <v:imagedata r:id="rId7" o:title=""/>
          </v:shape>
          <o:OLEObject Type="Embed" ProgID="Visio.Drawing.11" ShapeID="_x0000_i1025" DrawAspect="Content" ObjectID="_1521874100" r:id="rId8"/>
        </w:object>
      </w:r>
    </w:p>
    <w:p w:rsidR="00042409" w:rsidRDefault="00042409" w:rsidP="00A40D88">
      <w:pPr>
        <w:pStyle w:val="Heading1"/>
        <w:rPr>
          <w:lang w:val="fr-CA"/>
        </w:rPr>
      </w:pPr>
      <w:bookmarkStart w:id="8" w:name="_Toc448132244"/>
      <w:r>
        <w:rPr>
          <w:lang w:val="fr-CA"/>
        </w:rPr>
        <w:t>Les choix de conception</w:t>
      </w:r>
      <w:bookmarkEnd w:id="8"/>
    </w:p>
    <w:p w:rsidR="00042409" w:rsidRDefault="00042409" w:rsidP="00A40D88">
      <w:pPr>
        <w:pStyle w:val="Heading1"/>
        <w:rPr>
          <w:lang w:val="fr-CA"/>
        </w:rPr>
      </w:pPr>
      <w:bookmarkStart w:id="9" w:name="_Toc448132245"/>
      <w:r>
        <w:rPr>
          <w:lang w:val="fr-CA"/>
        </w:rPr>
        <w:t>L</w:t>
      </w:r>
      <w:r w:rsidRPr="00042409">
        <w:rPr>
          <w:lang w:val="fr-CA"/>
        </w:rPr>
        <w:t>a conformité de la conception pa</w:t>
      </w:r>
      <w:r>
        <w:rPr>
          <w:lang w:val="fr-CA"/>
        </w:rPr>
        <w:t>r rapport au cahier de charges</w:t>
      </w:r>
      <w:bookmarkEnd w:id="9"/>
    </w:p>
    <w:p w:rsidR="00042409" w:rsidRDefault="00042409" w:rsidP="00A40D88">
      <w:pPr>
        <w:pStyle w:val="Heading1"/>
        <w:rPr>
          <w:lang w:val="fr-CA"/>
        </w:rPr>
      </w:pPr>
    </w:p>
    <w:p w:rsidR="00042409" w:rsidRDefault="00042409" w:rsidP="00A40D88">
      <w:pPr>
        <w:pStyle w:val="Heading1"/>
        <w:rPr>
          <w:lang w:val="fr-CA"/>
        </w:rPr>
      </w:pPr>
      <w:bookmarkStart w:id="10" w:name="_Toc448132246"/>
      <w:r>
        <w:rPr>
          <w:lang w:val="fr-CA"/>
        </w:rPr>
        <w:t>L</w:t>
      </w:r>
      <w:r w:rsidRPr="00042409">
        <w:rPr>
          <w:lang w:val="fr-CA"/>
        </w:rPr>
        <w:t>es prototypes intermédiaires et fina</w:t>
      </w:r>
      <w:r>
        <w:rPr>
          <w:lang w:val="fr-CA"/>
        </w:rPr>
        <w:t>ux</w:t>
      </w:r>
      <w:bookmarkEnd w:id="10"/>
    </w:p>
    <w:p w:rsidR="00042409" w:rsidRDefault="00042409" w:rsidP="00A40D88">
      <w:pPr>
        <w:pStyle w:val="Heading1"/>
        <w:rPr>
          <w:lang w:val="fr-CA"/>
        </w:rPr>
      </w:pPr>
      <w:bookmarkStart w:id="11" w:name="_Toc448132247"/>
      <w:r>
        <w:rPr>
          <w:lang w:val="fr-CA"/>
        </w:rPr>
        <w:t>Le code</w:t>
      </w:r>
      <w:bookmarkEnd w:id="11"/>
    </w:p>
    <w:p w:rsidR="00042409" w:rsidRPr="00042409" w:rsidRDefault="00042409" w:rsidP="00A40D88">
      <w:pPr>
        <w:pStyle w:val="Heading1"/>
        <w:rPr>
          <w:lang w:val="fr-CA"/>
        </w:rPr>
      </w:pPr>
      <w:bookmarkStart w:id="12" w:name="_Toc448132248"/>
      <w:r>
        <w:rPr>
          <w:lang w:val="fr-CA"/>
        </w:rPr>
        <w:t>L</w:t>
      </w:r>
      <w:r w:rsidRPr="00042409">
        <w:rPr>
          <w:lang w:val="fr-CA"/>
        </w:rPr>
        <w:t>es tests effectués ainsi que les résultats du projet accompagnés par des captures d’écran et/ou des images.</w:t>
      </w:r>
      <w:bookmarkEnd w:id="12"/>
    </w:p>
    <w:p w:rsidR="00A40D88" w:rsidRDefault="00A40D88" w:rsidP="00A40D88">
      <w:pPr>
        <w:pStyle w:val="Heading1"/>
      </w:pPr>
      <w:bookmarkStart w:id="13" w:name="_Toc448132249"/>
      <w:proofErr w:type="spellStart"/>
      <w:r>
        <w:t>Références</w:t>
      </w:r>
      <w:bookmarkEnd w:id="13"/>
      <w:proofErr w:type="spellEnd"/>
    </w:p>
    <w:p w:rsidR="00CA493B" w:rsidRPr="00CA493B" w:rsidRDefault="00CA493B" w:rsidP="00CA493B"/>
    <w:sectPr w:rsidR="00CA493B" w:rsidRPr="00CA493B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B41EB"/>
    <w:rsid w:val="001C080F"/>
    <w:rsid w:val="001C2AB9"/>
    <w:rsid w:val="001D3E63"/>
    <w:rsid w:val="001D488E"/>
    <w:rsid w:val="00244A9C"/>
    <w:rsid w:val="00250A53"/>
    <w:rsid w:val="00254A77"/>
    <w:rsid w:val="00270234"/>
    <w:rsid w:val="00273B27"/>
    <w:rsid w:val="002A05CB"/>
    <w:rsid w:val="002B13F3"/>
    <w:rsid w:val="002B3D73"/>
    <w:rsid w:val="002C133E"/>
    <w:rsid w:val="0031217E"/>
    <w:rsid w:val="0031258B"/>
    <w:rsid w:val="00314741"/>
    <w:rsid w:val="003434A5"/>
    <w:rsid w:val="003579DD"/>
    <w:rsid w:val="00365A81"/>
    <w:rsid w:val="00370D6C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6B27"/>
    <w:rsid w:val="00442751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E3882"/>
    <w:rsid w:val="00733AD2"/>
    <w:rsid w:val="00762752"/>
    <w:rsid w:val="00795AB2"/>
    <w:rsid w:val="007A4644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13CE7"/>
    <w:rsid w:val="008265A8"/>
    <w:rsid w:val="0084219E"/>
    <w:rsid w:val="008529CB"/>
    <w:rsid w:val="0086779A"/>
    <w:rsid w:val="00884777"/>
    <w:rsid w:val="008A7288"/>
    <w:rsid w:val="008C3E63"/>
    <w:rsid w:val="008D122E"/>
    <w:rsid w:val="008E23D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40D88"/>
    <w:rsid w:val="00A51FCE"/>
    <w:rsid w:val="00A62E83"/>
    <w:rsid w:val="00A76509"/>
    <w:rsid w:val="00A84178"/>
    <w:rsid w:val="00AA475D"/>
    <w:rsid w:val="00AC1506"/>
    <w:rsid w:val="00AD1310"/>
    <w:rsid w:val="00AF05FA"/>
    <w:rsid w:val="00B066AD"/>
    <w:rsid w:val="00B2537E"/>
    <w:rsid w:val="00B300B4"/>
    <w:rsid w:val="00B438D0"/>
    <w:rsid w:val="00B52CB0"/>
    <w:rsid w:val="00B553E9"/>
    <w:rsid w:val="00B756C7"/>
    <w:rsid w:val="00C03EE5"/>
    <w:rsid w:val="00C36240"/>
    <w:rsid w:val="00C8621C"/>
    <w:rsid w:val="00CA493B"/>
    <w:rsid w:val="00CB0BF4"/>
    <w:rsid w:val="00D0651F"/>
    <w:rsid w:val="00D3191B"/>
    <w:rsid w:val="00D51A31"/>
    <w:rsid w:val="00D534B4"/>
    <w:rsid w:val="00D77229"/>
    <w:rsid w:val="00D809EF"/>
    <w:rsid w:val="00D92161"/>
    <w:rsid w:val="00D94DE5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4397"/>
    <w:rsid w:val="00EC41E1"/>
    <w:rsid w:val="00ED5242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arc" idref="#_x0000_s1039"/>
        <o:r id="V:Rule2" type="arc" idref="#_x0000_s1028"/>
        <o:r id="V:Rule3" type="arc" idref="#_x0000_s1029"/>
        <o:r id="V:Rule4" type="arc" idref="#_x0000_s1032"/>
        <o:r id="V:Rule5" type="arc" idref="#_x0000_s1035"/>
        <o:r id="V:Rule6" type="arc" idref="#_x0000_s1036"/>
        <o:r id="V:Rule7" type="connector" idref="#_x0000_s1040"/>
        <o:r id="V:Rule8" type="connector" idref="#_x0000_s1043"/>
        <o:r id="V:Rule9" type="connector" idref="#_x0000_s1044"/>
        <o:r id="V:Rule10" type="connector" idref="#_x0000_s1045"/>
        <o:r id="V:Rule11" type="connector" idref="#_x0000_s1041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77BC-2AAA-40AA-B32B-39E6D6F8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Ntawiniga Frederic (NHQ-AC)</cp:lastModifiedBy>
  <cp:revision>23</cp:revision>
  <cp:lastPrinted>2016-02-18T01:09:00Z</cp:lastPrinted>
  <dcterms:created xsi:type="dcterms:W3CDTF">2016-03-10T16:13:00Z</dcterms:created>
  <dcterms:modified xsi:type="dcterms:W3CDTF">2016-04-11T14:02:00Z</dcterms:modified>
</cp:coreProperties>
</file>