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b/>
          <w:color w:val="1B4D3E"/>
          <w:sz w:val="48"/>
        </w:rPr>
        <w:t>Agribusiness Data Analysis &amp; Market Trend Forecasting Plan</w:t>
      </w:r>
    </w:p>
    <w:p>
      <w:pPr>
        <w:spacing w:before="0" w:after="240"/>
      </w:pPr>
      <w:r>
        <w:rPr>
          <w:b/>
          <w:color w:val="2E7D32"/>
          <w:sz w:val="24"/>
        </w:rPr>
        <w:t>Comprehensive Technical Strategy, Public Data Architecture, and 5-Week Implementation Roadmap</w:t>
      </w:r>
    </w:p>
    <w:tbl>
      <w:tblPr>
        <w:tblW w:type="auto" w:w="0"/>
        <w:jc w:val="center"/>
        <w:tblLook w:firstColumn="1" w:firstRow="1" w:lastColumn="0" w:lastRow="0" w:noHBand="0" w:noVBand="1" w:val="04A0"/>
      </w:tblPr>
      <w:tblGrid>
        <w:gridCol w:w="4680"/>
        <w:gridCol w:w="4680"/>
      </w:tblGrid>
      <w:tr>
        <w:tc>
          <w:tcPr>
            <w:tcW w:type="dxa" w:w="3168"/>
            <w:shd w:fill="E8F5E9"/>
          </w:tcPr>
          <w:p>
            <w:pPr>
              <w:spacing w:before="40" w:after="40"/>
            </w:pPr>
            <w:r>
              <w:rPr>
                <w:b/>
                <w:color w:val="1B4D3E"/>
                <w:sz w:val="20"/>
              </w:rPr>
              <w:t>Internship Program:</w:t>
            </w:r>
          </w:p>
        </w:tc>
        <w:tc>
          <w:tcPr>
            <w:tcW w:type="dxa" w:w="6192"/>
            <w:shd w:fill="FAFAFA"/>
          </w:tcPr>
          <w:p>
            <w:pPr>
              <w:spacing w:before="40" w:after="40"/>
            </w:pPr>
            <w:r>
              <w:rPr>
                <w:color w:val="1F2937"/>
                <w:sz w:val="20"/>
              </w:rPr>
              <w:t>Junior Data Scientist Internship (Nagpur Cohort)</w:t>
            </w:r>
          </w:p>
        </w:tc>
      </w:tr>
      <w:tr>
        <w:tc>
          <w:tcPr>
            <w:tcW w:type="dxa" w:w="3168"/>
            <w:shd w:fill="E8F5E9"/>
          </w:tcPr>
          <w:p>
            <w:pPr>
              <w:spacing w:before="40" w:after="40"/>
            </w:pPr>
            <w:r>
              <w:rPr>
                <w:b/>
                <w:color w:val="1B4D3E"/>
                <w:sz w:val="20"/>
              </w:rPr>
              <w:t>Project Horizon:</w:t>
            </w:r>
          </w:p>
        </w:tc>
        <w:tc>
          <w:tcPr>
            <w:tcW w:type="dxa" w:w="6192"/>
            <w:shd w:fill="FAFAFA"/>
          </w:tcPr>
          <w:p>
            <w:pPr>
              <w:spacing w:before="40" w:after="40"/>
            </w:pPr>
            <w:r>
              <w:rPr>
                <w:color w:val="1F2937"/>
                <w:sz w:val="20"/>
              </w:rPr>
              <w:t>5 Weeks | Start: 22-Oct-2026 | End: 26-Nov-2026</w:t>
            </w:r>
          </w:p>
        </w:tc>
      </w:tr>
      <w:tr>
        <w:tc>
          <w:tcPr>
            <w:tcW w:type="dxa" w:w="3168"/>
            <w:shd w:fill="E8F5E9"/>
          </w:tcPr>
          <w:p>
            <w:pPr>
              <w:spacing w:before="40" w:after="40"/>
            </w:pPr>
            <w:r>
              <w:rPr>
                <w:b/>
                <w:color w:val="1B4D3E"/>
                <w:sz w:val="20"/>
              </w:rPr>
              <w:t>Deliverable Code:</w:t>
            </w:r>
          </w:p>
        </w:tc>
        <w:tc>
          <w:tcPr>
            <w:tcW w:type="dxa" w:w="6192"/>
            <w:shd w:fill="FAFAFA"/>
          </w:tcPr>
          <w:p>
            <w:pPr>
              <w:spacing w:before="40" w:after="40"/>
            </w:pPr>
            <w:r>
              <w:rPr>
                <w:color w:val="1F2937"/>
                <w:sz w:val="20"/>
              </w:rPr>
              <w:t>Week 1 Task Deliverable — Agribusiness Data Analysis Planning</w:t>
            </w:r>
          </w:p>
        </w:tc>
      </w:tr>
      <w:tr>
        <w:tc>
          <w:tcPr>
            <w:tcW w:type="dxa" w:w="3168"/>
            <w:shd w:fill="E8F5E9"/>
          </w:tcPr>
          <w:p>
            <w:pPr>
              <w:spacing w:before="40" w:after="40"/>
            </w:pPr>
            <w:r>
              <w:rPr>
                <w:b/>
                <w:color w:val="1B4D3E"/>
                <w:sz w:val="20"/>
              </w:rPr>
              <w:t>Focus Commodities:</w:t>
            </w:r>
          </w:p>
        </w:tc>
        <w:tc>
          <w:tcPr>
            <w:tcW w:type="dxa" w:w="6192"/>
            <w:shd w:fill="FAFAFA"/>
          </w:tcPr>
          <w:p>
            <w:pPr>
              <w:spacing w:before="40" w:after="40"/>
            </w:pPr>
            <w:r>
              <w:rPr>
                <w:color w:val="1F2937"/>
                <w:sz w:val="20"/>
              </w:rPr>
              <w:t>Soybean, Cotton, Pigeon Pea (Tur), Mandarin Oranges &amp; Pulses</w:t>
            </w:r>
          </w:p>
        </w:tc>
      </w:tr>
      <w:tr>
        <w:tc>
          <w:tcPr>
            <w:tcW w:type="dxa" w:w="3168"/>
            <w:shd w:fill="E8F5E9"/>
          </w:tcPr>
          <w:p>
            <w:pPr>
              <w:spacing w:before="40" w:after="40"/>
            </w:pPr>
            <w:r>
              <w:rPr>
                <w:b/>
                <w:color w:val="1B4D3E"/>
                <w:sz w:val="20"/>
              </w:rPr>
              <w:t>Geographic Scope:</w:t>
            </w:r>
          </w:p>
        </w:tc>
        <w:tc>
          <w:tcPr>
            <w:tcW w:type="dxa" w:w="6192"/>
            <w:shd w:fill="FAFAFA"/>
          </w:tcPr>
          <w:p>
            <w:pPr>
              <w:spacing w:before="40" w:after="40"/>
            </w:pPr>
            <w:r>
              <w:rPr>
                <w:color w:val="1F2937"/>
                <w:sz w:val="20"/>
              </w:rPr>
              <w:t>Nagpur &amp; Vidarbha Agro-Ecological Zone with National &amp; Global Linkages</w:t>
            </w:r>
          </w:p>
        </w:tc>
      </w:tr>
    </w:tbl>
    <w:p>
      <w:pPr>
        <w:spacing w:after="160"/>
      </w:pPr>
    </w:p>
    <w:tbl>
      <w:tblPr>
        <w:tblW w:type="auto" w:w="0"/>
        <w:jc w:val="center"/>
        <w:tblLook w:firstColumn="1" w:firstRow="1" w:lastColumn="0" w:lastRow="0" w:noHBand="0" w:noVBand="1" w:val="04A0"/>
      </w:tblPr>
      <w:tblGrid>
        <w:gridCol w:w="9360"/>
      </w:tblGrid>
      <w:tr>
        <w:trPr>
          <w:cantSplit/>
        </w:trPr>
        <w:tc>
          <w:tcPr>
            <w:tcW w:type="dxa" w:w="9360"/>
            <w:tcBorders>
              <w:top w:val="none"/>
              <w:left w:val="single" w:sz="24" w:space="0" w:color="1B4D3E"/>
              <w:bottom w:val="none"/>
              <w:right w:val="none"/>
            </w:tcBorders>
            <w:shd w:fill="F4F9F6"/>
          </w:tcPr>
          <w:p>
            <w:pPr>
              <w:spacing w:before="80" w:after="40"/>
            </w:pPr>
            <w:r>
              <w:rPr>
                <w:b/>
                <w:color w:val="1B4D3E"/>
                <w:sz w:val="21"/>
              </w:rPr>
              <w:t>★ Executive Summary &amp; Project Charter</w:t>
              <w:br/>
            </w:r>
            <w:r>
              <w:rPr>
                <w:color w:val="1F2937"/>
                <w:sz w:val="20"/>
              </w:rPr>
              <w:t>This strategic blueprint establishes an end-to-end framework for ingesting, standardizing, and modeling publicly available agribusiness datasets. Focused on the agrarian ecosystem of Central India (Nagpur/Vidarbha) and connected global supply chains, this initiative establishes automated public data pipelines, robust statistical cleaning protocols, feature engineering stores, and machine learning forecasting models. The objective is to deliver reliable 30- to 90-day commodity price projections, market arrival forecasts, and spatial arbitrage intelligence.</w:t>
            </w:r>
          </w:p>
        </w:tc>
      </w:tr>
    </w:tbl>
    <w:p>
      <w:pPr>
        <w:spacing w:before="40" w:after="120"/>
      </w:pPr>
    </w:p>
    <w:p>
      <w:pPr>
        <w:keepNext/>
        <w:spacing w:before="320" w:after="80"/>
      </w:pPr>
      <w:r>
        <w:rPr>
          <w:b/>
          <w:color w:val="1B4D3E"/>
          <w:sz w:val="32"/>
        </w:rPr>
        <w:t>1. Research Rationale &amp; Strategic Business Context</w:t>
      </w:r>
    </w:p>
    <w:p>
      <w:pPr>
        <w:spacing w:line="276" w:lineRule="auto" w:after="120"/>
      </w:pPr>
      <w:r>
        <w:rPr>
          <w:color w:val="1F2937"/>
          <w:sz w:val="22"/>
        </w:rPr>
        <w:t>The agrarian economy of Central India, particularly the Vidarbha region surrounding Nagpur, is characterized by high crop specialization in rainfed cash crops such as soybean, raw cotton, pigeon pea (tur), and citrus (Nagpur mandarin oranges). Despite robust production volumes, the agricultural value chain faces chronic structural inefficiencies, high seasonal price volatility, and severe asymmetric information dispersion across Agricultural Produce Market Committees (APMC Mandis).</w:t>
      </w:r>
    </w:p>
    <w:p>
      <w:pPr>
        <w:spacing w:line="276" w:lineRule="auto" w:after="120"/>
      </w:pPr>
      <w:r>
        <w:rPr>
          <w:color w:val="1F2937"/>
          <w:sz w:val="22"/>
        </w:rPr>
        <w:t>Forecasting market trends in agribusiness requires synthesizing high-frequency mandi transactions, macro-level production estimates, satellite-derived vegetative indices, input resource utilization metrics, and international trade dynamics. This project addresses three foundational industry imperatives:</w:t>
      </w:r>
    </w:p>
    <w:p>
      <w:pPr>
        <w:pStyle w:val="ListBullet"/>
        <w:spacing w:before="20" w:after="60" w:line="276" w:lineRule="auto"/>
        <w:ind w:left="360"/>
      </w:pPr>
      <w:r>
        <w:rPr>
          <w:b/>
          <w:color w:val="1F2937"/>
          <w:sz w:val="22"/>
        </w:rPr>
        <w:t xml:space="preserve">Mitigating Post-Harvest Price Collapse: </w:t>
      </w:r>
      <w:r>
        <w:rPr>
          <w:color w:val="1F2937"/>
          <w:sz w:val="22"/>
        </w:rPr>
        <w:t>Empowers Farmer Producer Organizations (FPOs) and agricultural credit institutions with early-warning price intelligence, preventing distress sales during post-harvest glut periods and supporting warehouse receipt financing decisions.</w:t>
      </w:r>
    </w:p>
    <w:p>
      <w:pPr>
        <w:pStyle w:val="ListBullet"/>
        <w:spacing w:before="20" w:after="60" w:line="276" w:lineRule="auto"/>
        <w:ind w:left="360"/>
      </w:pPr>
      <w:r>
        <w:rPr>
          <w:b/>
          <w:color w:val="1F2937"/>
          <w:sz w:val="22"/>
        </w:rPr>
        <w:t xml:space="preserve">Optimizing Commercial Agribusiness Procurement: </w:t>
      </w:r>
      <w:r>
        <w:rPr>
          <w:color w:val="1F2937"/>
          <w:sz w:val="22"/>
        </w:rPr>
        <w:t>Enables food processors, edible oil refiners, cotton ginning mills, and feed manufacturers to optimize procurement contracts, hedge commodity exposure, and mitigate raw material stockout risks.</w:t>
      </w:r>
    </w:p>
    <w:p>
      <w:pPr>
        <w:pStyle w:val="ListBullet"/>
        <w:spacing w:before="20" w:after="60" w:line="276" w:lineRule="auto"/>
        <w:ind w:left="360"/>
      </w:pPr>
      <w:r>
        <w:rPr>
          <w:b/>
          <w:color w:val="1F2937"/>
          <w:sz w:val="22"/>
        </w:rPr>
        <w:t xml:space="preserve">Evidence-Based Market Monitoring &amp; Policy Support: </w:t>
      </w:r>
      <w:r>
        <w:rPr>
          <w:color w:val="1F2937"/>
          <w:sz w:val="22"/>
        </w:rPr>
        <w:t>Provides public agencies and policy planners with data-driven indicators on market arrival elasticities, Minimum Support Price (MSP) parity triggers, and regional supply deficits to guide intervention operations.</w:t>
      </w:r>
    </w:p>
    <w:p>
      <w:pPr>
        <w:keepNext/>
        <w:spacing w:before="320" w:after="80"/>
      </w:pPr>
      <w:r>
        <w:rPr>
          <w:b/>
          <w:color w:val="1B4D3E"/>
          <w:sz w:val="32"/>
        </w:rPr>
        <w:t>2. Public Agribusiness Data Sources Ecosystem</w:t>
      </w:r>
    </w:p>
    <w:p>
      <w:pPr>
        <w:spacing w:line="276" w:lineRule="auto" w:after="120"/>
      </w:pPr>
      <w:r>
        <w:rPr>
          <w:color w:val="1F2937"/>
          <w:sz w:val="22"/>
        </w:rPr>
        <w:t>A primary requirement for scalable, sustainable data science in agriculture is the strategic utilization of verified, open-access public data assets. Rather than relying on proprietary and cost-prohibitive vendor streams, this project harnesses authoritative domestic government portals, international food balance repositories, and global earth observation networks.</w:t>
      </w:r>
    </w:p>
    <w:tbl>
      <w:tblPr>
        <w:tblW w:type="auto" w:w="0"/>
        <w:jc w:val="center"/>
        <w:tblLook w:firstColumn="1" w:firstRow="1" w:lastColumn="0" w:lastRow="0" w:noHBand="0" w:noVBand="1" w:val="04A0"/>
        <w:tblBorders>
          <w:top w:val="single" w:sz="6" w:space="0" w:color="1B4D3E"/>
          <w:left w:val="none"/>
          <w:bottom w:val="single" w:sz="8" w:space="0" w:color="1B4D3E"/>
          <w:right w:val="none"/>
          <w:insideH w:val="single" w:sz="4" w:space="0" w:color="CCCCCC"/>
          <w:insideV w:val="none"/>
        </w:tblBorders>
      </w:tblPr>
      <w:tblGrid>
        <w:gridCol w:w="2340"/>
        <w:gridCol w:w="2340"/>
        <w:gridCol w:w="2340"/>
        <w:gridCol w:w="2340"/>
      </w:tblGrid>
      <w:tr>
        <w:trPr>
          <w:tblHeader/>
        </w:trPr>
        <w:tc>
          <w:tcPr>
            <w:tcW w:type="dxa" w:w="2160"/>
            <w:vAlign w:val="center"/>
            <w:shd w:fill="1B4D3E"/>
          </w:tcPr>
          <w:p>
            <w:pPr>
              <w:keepNext/>
              <w:spacing w:before="80" w:after="80"/>
              <w:jc w:val="center"/>
            </w:pPr>
            <w:r>
              <w:rPr>
                <w:b/>
                <w:color w:val="FFFFFF"/>
                <w:sz w:val="20"/>
              </w:rPr>
              <w:t>Repository / Source</w:t>
            </w:r>
          </w:p>
        </w:tc>
        <w:tc>
          <w:tcPr>
            <w:tcW w:type="dxa" w:w="3312"/>
            <w:vAlign w:val="center"/>
            <w:shd w:fill="1B4D3E"/>
          </w:tcPr>
          <w:p>
            <w:pPr>
              <w:keepNext/>
              <w:spacing w:before="80" w:after="80"/>
              <w:jc w:val="center"/>
            </w:pPr>
            <w:r>
              <w:rPr>
                <w:b/>
                <w:color w:val="FFFFFF"/>
                <w:sz w:val="20"/>
              </w:rPr>
              <w:t>Key Indicators &amp; Extracted Parameters</w:t>
            </w:r>
          </w:p>
        </w:tc>
        <w:tc>
          <w:tcPr>
            <w:tcW w:type="dxa" w:w="2016"/>
            <w:vAlign w:val="center"/>
            <w:shd w:fill="1B4D3E"/>
          </w:tcPr>
          <w:p>
            <w:pPr>
              <w:keepNext/>
              <w:spacing w:before="80" w:after="80"/>
              <w:jc w:val="center"/>
            </w:pPr>
            <w:r>
              <w:rPr>
                <w:b/>
                <w:color w:val="FFFFFF"/>
                <w:sz w:val="20"/>
              </w:rPr>
              <w:t>Cadence &amp; Spatial Granularity</w:t>
            </w:r>
          </w:p>
        </w:tc>
        <w:tc>
          <w:tcPr>
            <w:tcW w:type="dxa" w:w="1872"/>
            <w:vAlign w:val="center"/>
            <w:shd w:fill="1B4D3E"/>
          </w:tcPr>
          <w:p>
            <w:pPr>
              <w:keepNext/>
              <w:spacing w:before="80" w:after="80"/>
              <w:jc w:val="center"/>
            </w:pPr>
            <w:r>
              <w:rPr>
                <w:b/>
                <w:color w:val="FFFFFF"/>
                <w:sz w:val="20"/>
              </w:rPr>
              <w:t>Ingestion Protocol</w:t>
            </w:r>
          </w:p>
        </w:tc>
      </w:tr>
      <w:tr>
        <w:trPr>
          <w:cantSplit/>
        </w:trPr>
        <w:tc>
          <w:tcPr>
            <w:tcW w:type="dxa" w:w="2160"/>
            <w:vAlign w:val="center"/>
          </w:tcPr>
          <w:p>
            <w:pPr>
              <w:spacing w:before="60" w:after="60" w:line="264" w:lineRule="auto"/>
            </w:pPr>
            <w:r>
              <w:rPr>
                <w:color w:val="1F2937"/>
                <w:sz w:val="20"/>
              </w:rPr>
              <w:t>Agmarknet (DAC&amp;FW) / e-NAM</w:t>
            </w:r>
          </w:p>
        </w:tc>
        <w:tc>
          <w:tcPr>
            <w:tcW w:type="dxa" w:w="3312"/>
            <w:vAlign w:val="center"/>
          </w:tcPr>
          <w:p>
            <w:pPr>
              <w:spacing w:before="60" w:after="60" w:line="264" w:lineRule="auto"/>
            </w:pPr>
            <w:r>
              <w:rPr>
                <w:color w:val="1F2937"/>
                <w:sz w:val="20"/>
              </w:rPr>
              <w:t>Mandi wholesale prices (Min, Max, Modal in INR/Qtl), Daily commodity arrival volumes (Metric Tonnes).</w:t>
            </w:r>
          </w:p>
        </w:tc>
        <w:tc>
          <w:tcPr>
            <w:tcW w:type="dxa" w:w="2016"/>
            <w:vAlign w:val="center"/>
          </w:tcPr>
          <w:p>
            <w:pPr>
              <w:spacing w:before="60" w:after="60" w:line="264" w:lineRule="auto"/>
            </w:pPr>
            <w:r>
              <w:rPr>
                <w:color w:val="1F2937"/>
                <w:sz w:val="20"/>
              </w:rPr>
              <w:t>Daily updates across 3,000+ APMC mandis nationwide.</w:t>
            </w:r>
          </w:p>
        </w:tc>
        <w:tc>
          <w:tcPr>
            <w:tcW w:type="dxa" w:w="1872"/>
            <w:vAlign w:val="center"/>
          </w:tcPr>
          <w:p>
            <w:pPr>
              <w:spacing w:before="60" w:after="60" w:line="264" w:lineRule="auto"/>
            </w:pPr>
            <w:r>
              <w:rPr>
                <w:color w:val="1F2937"/>
                <w:sz w:val="20"/>
              </w:rPr>
              <w:t>REST API (data.gov.in) &amp; automated BeautifulSoup/Selenium fallback extractors.</w:t>
            </w:r>
          </w:p>
        </w:tc>
      </w:tr>
      <w:tr>
        <w:trPr>
          <w:cantSplit/>
        </w:trPr>
        <w:tc>
          <w:tcPr>
            <w:tcW w:type="dxa" w:w="2160"/>
            <w:vAlign w:val="center"/>
            <w:shd w:fill="F1F8F5"/>
          </w:tcPr>
          <w:p>
            <w:pPr>
              <w:spacing w:before="60" w:after="60" w:line="264" w:lineRule="auto"/>
            </w:pPr>
            <w:r>
              <w:rPr>
                <w:color w:val="1F2937"/>
                <w:sz w:val="20"/>
              </w:rPr>
              <w:t>Directorate of Economics &amp; Statistics (DES)</w:t>
            </w:r>
          </w:p>
        </w:tc>
        <w:tc>
          <w:tcPr>
            <w:tcW w:type="dxa" w:w="3312"/>
            <w:vAlign w:val="center"/>
            <w:shd w:fill="F1F8F5"/>
          </w:tcPr>
          <w:p>
            <w:pPr>
              <w:spacing w:before="60" w:after="60" w:line="264" w:lineRule="auto"/>
            </w:pPr>
            <w:r>
              <w:rPr>
                <w:color w:val="1F2937"/>
                <w:sz w:val="20"/>
              </w:rPr>
              <w:t>Gross sown acreage (Ha), yield per hectare (Kg/Ha), production volumes, and First through Final Advance Estimates.</w:t>
            </w:r>
          </w:p>
        </w:tc>
        <w:tc>
          <w:tcPr>
            <w:tcW w:type="dxa" w:w="2016"/>
            <w:vAlign w:val="center"/>
            <w:shd w:fill="F1F8F5"/>
          </w:tcPr>
          <w:p>
            <w:pPr>
              <w:spacing w:before="60" w:after="60" w:line="264" w:lineRule="auto"/>
            </w:pPr>
            <w:r>
              <w:rPr>
                <w:color w:val="1F2937"/>
                <w:sz w:val="20"/>
              </w:rPr>
              <w:t>Seasonal (Kharif / Rabi) and Annual releases at district and state levels.</w:t>
            </w:r>
          </w:p>
        </w:tc>
        <w:tc>
          <w:tcPr>
            <w:tcW w:type="dxa" w:w="1872"/>
            <w:vAlign w:val="center"/>
            <w:shd w:fill="F1F8F5"/>
          </w:tcPr>
          <w:p>
            <w:pPr>
              <w:spacing w:before="60" w:after="60" w:line="264" w:lineRule="auto"/>
            </w:pPr>
            <w:r>
              <w:rPr>
                <w:color w:val="1F2937"/>
                <w:sz w:val="20"/>
              </w:rPr>
              <w:t>Direct open-data CSV/XLSX harvest via data.gov.in and aps.dac.gov.in.</w:t>
            </w:r>
          </w:p>
        </w:tc>
      </w:tr>
      <w:tr>
        <w:trPr>
          <w:cantSplit/>
        </w:trPr>
        <w:tc>
          <w:tcPr>
            <w:tcW w:type="dxa" w:w="2160"/>
            <w:vAlign w:val="center"/>
          </w:tcPr>
          <w:p>
            <w:pPr>
              <w:spacing w:before="60" w:after="60" w:line="264" w:lineRule="auto"/>
            </w:pPr>
            <w:r>
              <w:rPr>
                <w:color w:val="1F2937"/>
                <w:sz w:val="20"/>
              </w:rPr>
              <w:t>India Meteorological Dept. (IMD) / Copernicus</w:t>
            </w:r>
          </w:p>
        </w:tc>
        <w:tc>
          <w:tcPr>
            <w:tcW w:type="dxa" w:w="3312"/>
            <w:vAlign w:val="center"/>
          </w:tcPr>
          <w:p>
            <w:pPr>
              <w:spacing w:before="60" w:after="60" w:line="264" w:lineRule="auto"/>
            </w:pPr>
            <w:r>
              <w:rPr>
                <w:color w:val="1F2937"/>
                <w:sz w:val="20"/>
              </w:rPr>
              <w:t>Daily gridded rainfall (0.25° grid), cumulative monsoon departure %, maximum/minimum temperatures, and soil moisture anomalies.</w:t>
            </w:r>
          </w:p>
        </w:tc>
        <w:tc>
          <w:tcPr>
            <w:tcW w:type="dxa" w:w="2016"/>
            <w:vAlign w:val="center"/>
          </w:tcPr>
          <w:p>
            <w:pPr>
              <w:spacing w:before="60" w:after="60" w:line="264" w:lineRule="auto"/>
            </w:pPr>
            <w:r>
              <w:rPr>
                <w:color w:val="1F2937"/>
                <w:sz w:val="20"/>
              </w:rPr>
              <w:t>Daily and weekly gridded observation arrays; agro-meteorological advisories.</w:t>
            </w:r>
          </w:p>
        </w:tc>
        <w:tc>
          <w:tcPr>
            <w:tcW w:type="dxa" w:w="1872"/>
            <w:vAlign w:val="center"/>
          </w:tcPr>
          <w:p>
            <w:pPr>
              <w:spacing w:before="60" w:after="60" w:line="264" w:lineRule="auto"/>
            </w:pPr>
            <w:r>
              <w:rPr>
                <w:color w:val="1F2937"/>
                <w:sz w:val="20"/>
              </w:rPr>
              <w:t>Automated NetCDF / GeoTIFF array ingestion and regional API endpoints.</w:t>
            </w:r>
          </w:p>
        </w:tc>
      </w:tr>
      <w:tr>
        <w:trPr>
          <w:cantSplit/>
        </w:trPr>
        <w:tc>
          <w:tcPr>
            <w:tcW w:type="dxa" w:w="2160"/>
            <w:vAlign w:val="center"/>
            <w:shd w:fill="F1F8F5"/>
          </w:tcPr>
          <w:p>
            <w:pPr>
              <w:spacing w:before="60" w:after="60" w:line="264" w:lineRule="auto"/>
            </w:pPr>
            <w:r>
              <w:rPr>
                <w:color w:val="1F2937"/>
                <w:sz w:val="20"/>
              </w:rPr>
              <w:t>Fertilizer Monitoring System (urvarak.nic.in)</w:t>
            </w:r>
          </w:p>
        </w:tc>
        <w:tc>
          <w:tcPr>
            <w:tcW w:type="dxa" w:w="3312"/>
            <w:vAlign w:val="center"/>
            <w:shd w:fill="F1F8F5"/>
          </w:tcPr>
          <w:p>
            <w:pPr>
              <w:spacing w:before="60" w:after="60" w:line="264" w:lineRule="auto"/>
            </w:pPr>
            <w:r>
              <w:rPr>
                <w:color w:val="1F2937"/>
                <w:sz w:val="20"/>
              </w:rPr>
              <w:t>District-level sales, opening stocks, and retailer allocations for Urea, DAP, MOP, and complex NPK fertilizers.</w:t>
            </w:r>
          </w:p>
        </w:tc>
        <w:tc>
          <w:tcPr>
            <w:tcW w:type="dxa" w:w="2016"/>
            <w:vAlign w:val="center"/>
            <w:shd w:fill="F1F8F5"/>
          </w:tcPr>
          <w:p>
            <w:pPr>
              <w:spacing w:before="60" w:after="60" w:line="264" w:lineRule="auto"/>
            </w:pPr>
            <w:r>
              <w:rPr>
                <w:color w:val="1F2937"/>
                <w:sz w:val="20"/>
              </w:rPr>
              <w:t>Monthly and seasonal retail consumption statistics across Maharashtra districts.</w:t>
            </w:r>
          </w:p>
        </w:tc>
        <w:tc>
          <w:tcPr>
            <w:tcW w:type="dxa" w:w="1872"/>
            <w:vAlign w:val="center"/>
            <w:shd w:fill="F1F8F5"/>
          </w:tcPr>
          <w:p>
            <w:pPr>
              <w:spacing w:before="60" w:after="60" w:line="264" w:lineRule="auto"/>
            </w:pPr>
            <w:r>
              <w:rPr>
                <w:color w:val="1F2937"/>
                <w:sz w:val="20"/>
              </w:rPr>
              <w:t>Scheduled PDF-to-tabular parsers and Department of Fertilizers bulletins.</w:t>
            </w:r>
          </w:p>
        </w:tc>
      </w:tr>
      <w:tr>
        <w:trPr>
          <w:cantSplit/>
        </w:trPr>
        <w:tc>
          <w:tcPr>
            <w:tcW w:type="dxa" w:w="2160"/>
            <w:vAlign w:val="center"/>
          </w:tcPr>
          <w:p>
            <w:pPr>
              <w:spacing w:before="60" w:after="60" w:line="264" w:lineRule="auto"/>
            </w:pPr>
            <w:r>
              <w:rPr>
                <w:color w:val="1F2937"/>
                <w:sz w:val="20"/>
              </w:rPr>
              <w:t>USDA Foreign Agricultural Service (PSD)</w:t>
            </w:r>
          </w:p>
        </w:tc>
        <w:tc>
          <w:tcPr>
            <w:tcW w:type="dxa" w:w="3312"/>
            <w:vAlign w:val="center"/>
          </w:tcPr>
          <w:p>
            <w:pPr>
              <w:spacing w:before="60" w:after="60" w:line="264" w:lineRule="auto"/>
            </w:pPr>
            <w:r>
              <w:rPr>
                <w:color w:val="1F2937"/>
                <w:sz w:val="20"/>
              </w:rPr>
              <w:t>Global production, domestic consumption, export/import quantities, ending stocks, and global stock-to-use ratios.</w:t>
            </w:r>
          </w:p>
        </w:tc>
        <w:tc>
          <w:tcPr>
            <w:tcW w:type="dxa" w:w="2016"/>
            <w:vAlign w:val="center"/>
          </w:tcPr>
          <w:p>
            <w:pPr>
              <w:spacing w:before="60" w:after="60" w:line="264" w:lineRule="auto"/>
            </w:pPr>
            <w:r>
              <w:rPr>
                <w:color w:val="1F2937"/>
                <w:sz w:val="20"/>
              </w:rPr>
              <w:t>Monthly global supply and demand revisions by major trading nation.</w:t>
            </w:r>
          </w:p>
        </w:tc>
        <w:tc>
          <w:tcPr>
            <w:tcW w:type="dxa" w:w="1872"/>
            <w:vAlign w:val="center"/>
          </w:tcPr>
          <w:p>
            <w:pPr>
              <w:spacing w:before="60" w:after="60" w:line="264" w:lineRule="auto"/>
            </w:pPr>
            <w:r>
              <w:rPr>
                <w:color w:val="1F2937"/>
                <w:sz w:val="20"/>
              </w:rPr>
              <w:t>Official USDA FAS Open Data API and bulk tabular database synchronization.</w:t>
            </w:r>
          </w:p>
        </w:tc>
      </w:tr>
      <w:tr>
        <w:trPr>
          <w:cantSplit/>
        </w:trPr>
        <w:tc>
          <w:tcPr>
            <w:tcW w:type="dxa" w:w="2160"/>
            <w:vAlign w:val="center"/>
            <w:shd w:fill="F1F8F5"/>
          </w:tcPr>
          <w:p>
            <w:pPr>
              <w:spacing w:before="60" w:after="60" w:line="264" w:lineRule="auto"/>
            </w:pPr>
            <w:r>
              <w:rPr>
                <w:color w:val="1F2937"/>
                <w:sz w:val="20"/>
              </w:rPr>
              <w:t>FAOSTAT &amp; World Bank Commodity Pink Sheet</w:t>
            </w:r>
          </w:p>
        </w:tc>
        <w:tc>
          <w:tcPr>
            <w:tcW w:type="dxa" w:w="3312"/>
            <w:vAlign w:val="center"/>
            <w:shd w:fill="F1F8F5"/>
          </w:tcPr>
          <w:p>
            <w:pPr>
              <w:spacing w:before="60" w:after="60" w:line="264" w:lineRule="auto"/>
            </w:pPr>
            <w:r>
              <w:rPr>
                <w:color w:val="1F2937"/>
                <w:sz w:val="20"/>
              </w:rPr>
              <w:t>FAO Global Food Price Indices, international trade balances, global fertilizer price benchmarks, and crude oil indices.</w:t>
            </w:r>
          </w:p>
        </w:tc>
        <w:tc>
          <w:tcPr>
            <w:tcW w:type="dxa" w:w="2016"/>
            <w:vAlign w:val="center"/>
            <w:shd w:fill="F1F8F5"/>
          </w:tcPr>
          <w:p>
            <w:pPr>
              <w:spacing w:before="60" w:after="60" w:line="264" w:lineRule="auto"/>
            </w:pPr>
            <w:r>
              <w:rPr>
                <w:color w:val="1F2937"/>
                <w:sz w:val="20"/>
              </w:rPr>
              <w:t>Monthly economic benchmark updates and historical time series.</w:t>
            </w:r>
          </w:p>
        </w:tc>
        <w:tc>
          <w:tcPr>
            <w:tcW w:type="dxa" w:w="1872"/>
            <w:vAlign w:val="center"/>
            <w:shd w:fill="F1F8F5"/>
          </w:tcPr>
          <w:p>
            <w:pPr>
              <w:spacing w:before="60" w:after="60" w:line="264" w:lineRule="auto"/>
            </w:pPr>
            <w:r>
              <w:rPr>
                <w:color w:val="1F2937"/>
                <w:sz w:val="20"/>
              </w:rPr>
              <w:t>World Bank Data API and FAOSTAT programmatic REST endpoints.</w:t>
            </w:r>
          </w:p>
        </w:tc>
      </w:tr>
    </w:tbl>
    <w:p>
      <w:pPr>
        <w:spacing w:after="160"/>
      </w:pPr>
    </w:p>
    <w:p>
      <w:pPr>
        <w:keepNext/>
        <w:spacing w:before="320" w:after="80"/>
      </w:pPr>
      <w:r>
        <w:rPr>
          <w:b/>
          <w:color w:val="1B4D3E"/>
          <w:sz w:val="32"/>
        </w:rPr>
        <w:t>3. Key Agricultural Indicators &amp; Feature Engineering</w:t>
      </w:r>
    </w:p>
    <w:p>
      <w:pPr>
        <w:spacing w:line="276" w:lineRule="auto" w:after="120"/>
      </w:pPr>
      <w:r>
        <w:rPr>
          <w:color w:val="1F2937"/>
          <w:sz w:val="22"/>
        </w:rPr>
        <w:t>Raw transactional records must be systematically transformed into high-signal feature matrices. The analysis framework structures indicators into four core domains to capture the full spectrum of agricultural market drivers:</w:t>
      </w:r>
    </w:p>
    <w:p>
      <w:pPr>
        <w:keepNext/>
        <w:spacing w:before="240" w:after="60"/>
      </w:pPr>
      <w:r>
        <w:rPr>
          <w:b/>
          <w:color w:val="2E7D32"/>
          <w:sz w:val="26"/>
        </w:rPr>
        <w:t>3.1 Crop Yield &amp; Vegetative Health Dynamics</w:t>
      </w:r>
    </w:p>
    <w:p>
      <w:pPr>
        <w:spacing w:line="276" w:lineRule="auto" w:after="120"/>
      </w:pPr>
      <w:r>
        <w:rPr>
          <w:color w:val="1F2937"/>
          <w:sz w:val="22"/>
        </w:rPr>
        <w:t>Crop yields determine total market supply curves. The project extracts and constructs three primary yield metrics:</w:t>
      </w:r>
    </w:p>
    <w:p>
      <w:pPr>
        <w:pStyle w:val="ListBullet"/>
        <w:spacing w:before="20" w:after="60" w:line="276" w:lineRule="auto"/>
        <w:ind w:left="360"/>
      </w:pPr>
      <w:r>
        <w:rPr>
          <w:b/>
          <w:color w:val="1F2937"/>
          <w:sz w:val="22"/>
        </w:rPr>
        <w:t xml:space="preserve">Vegetative Vigor Index (NDVI / EVI): </w:t>
      </w:r>
      <w:r>
        <w:rPr>
          <w:color w:val="1F2937"/>
          <w:sz w:val="22"/>
        </w:rPr>
        <w:t>Computed from Sentinel-2 (10m) and MODIS (250m) optical imagery. Tracks peak vegetative biomass across soybean and cotton belts during July–September to detect early drought stress prior to physical harvesting.</w:t>
      </w:r>
    </w:p>
    <w:p>
      <w:pPr>
        <w:pStyle w:val="ListBullet"/>
        <w:spacing w:before="20" w:after="60" w:line="276" w:lineRule="auto"/>
        <w:ind w:left="360"/>
      </w:pPr>
      <w:r>
        <w:rPr>
          <w:b/>
          <w:color w:val="1F2937"/>
          <w:sz w:val="22"/>
        </w:rPr>
        <w:t xml:space="preserve">Historical Yield Deviation (HYD): </w:t>
      </w:r>
      <w:r>
        <w:rPr>
          <w:color w:val="1F2937"/>
          <w:sz w:val="22"/>
        </w:rPr>
        <w:t>Quantifies the percentage deviation of current district yield estimates against 5-year and 10-year rolling Olympic averages (dropping minimum and maximum outliers) to isolate genuine productivity trends.</w:t>
      </w:r>
    </w:p>
    <w:p>
      <w:pPr>
        <w:pStyle w:val="ListBullet"/>
        <w:spacing w:before="20" w:after="60" w:line="276" w:lineRule="auto"/>
        <w:ind w:left="360"/>
      </w:pPr>
      <w:r>
        <w:rPr>
          <w:b/>
          <w:color w:val="1F2937"/>
          <w:sz w:val="22"/>
        </w:rPr>
        <w:t xml:space="preserve">Advance Estimate Adjustment Momentum: </w:t>
      </w:r>
      <w:r>
        <w:rPr>
          <w:color w:val="1F2937"/>
          <w:sz w:val="22"/>
        </w:rPr>
        <w:t>Tracks sequential adjustments between First (September), Second (February), Third (April), and Final crop estimates from DES, serving as a macro indicator of supply revisions.</w:t>
      </w:r>
    </w:p>
    <w:p>
      <w:pPr>
        <w:keepNext/>
        <w:spacing w:before="240" w:after="60"/>
      </w:pPr>
      <w:r>
        <w:rPr>
          <w:b/>
          <w:color w:val="2E7D32"/>
          <w:sz w:val="26"/>
        </w:rPr>
        <w:t>3.2 Pricing Dynamics &amp; Mandi Liquidity Metrics</w:t>
      </w:r>
    </w:p>
    <w:p>
      <w:pPr>
        <w:spacing w:line="276" w:lineRule="auto" w:after="120"/>
      </w:pPr>
      <w:r>
        <w:rPr>
          <w:color w:val="1F2937"/>
          <w:sz w:val="22"/>
        </w:rPr>
        <w:t>Wholesale mandi pricing reflects immediate supply-demand matching, local transport friction, and seasonal market clearing:</w:t>
      </w:r>
    </w:p>
    <w:p>
      <w:pPr>
        <w:pStyle w:val="ListBullet"/>
        <w:spacing w:before="20" w:after="60" w:line="276" w:lineRule="auto"/>
        <w:ind w:left="360"/>
      </w:pPr>
      <w:r>
        <w:rPr>
          <w:b/>
          <w:color w:val="1F2937"/>
          <w:sz w:val="22"/>
        </w:rPr>
        <w:t xml:space="preserve">Modal Price Exponential Moving Averages (EMA): </w:t>
      </w:r>
      <w:r>
        <w:rPr>
          <w:color w:val="1F2937"/>
          <w:sz w:val="22"/>
        </w:rPr>
        <w:t>Calculated over 7-day, 14-day, and 30-day windows to filter out transient weekend or holiday spikes and reveal directional price drift.</w:t>
      </w:r>
    </w:p>
    <w:p>
      <w:pPr>
        <w:pStyle w:val="ListBullet"/>
        <w:spacing w:before="20" w:after="60" w:line="276" w:lineRule="auto"/>
        <w:ind w:left="360"/>
      </w:pPr>
      <w:r>
        <w:rPr>
          <w:b/>
          <w:color w:val="1F2937"/>
          <w:sz w:val="22"/>
        </w:rPr>
        <w:t xml:space="preserve">Arrival Price Elasticity Coefficient: </w:t>
      </w:r>
      <w:r>
        <w:rPr>
          <w:color w:val="1F2937"/>
          <w:sz w:val="22"/>
        </w:rPr>
        <w:t>Measures percentage price response per percentage change in daily arrival volume: (%Δ Price / %Δ Arrivals). A highly negative elasticity indicates market saturation and localized clearing bottlenecks.</w:t>
      </w:r>
    </w:p>
    <w:p>
      <w:pPr>
        <w:pStyle w:val="ListBullet"/>
        <w:spacing w:before="20" w:after="60" w:line="276" w:lineRule="auto"/>
        <w:ind w:left="360"/>
      </w:pPr>
      <w:r>
        <w:rPr>
          <w:b/>
          <w:color w:val="1F2937"/>
          <w:sz w:val="22"/>
        </w:rPr>
        <w:t xml:space="preserve">MSP Parity Ratio: </w:t>
      </w:r>
      <w:r>
        <w:rPr>
          <w:color w:val="1F2937"/>
          <w:sz w:val="22"/>
        </w:rPr>
        <w:t>Ratio of prevailing mandi modal price to the official Minimum Support Price (Modal Price / MSP). A ratio under 1.0 flags market distress and imminent government procurement operations under NAFED or FCI.</w:t>
      </w:r>
    </w:p>
    <w:p>
      <w:pPr>
        <w:pStyle w:val="ListBullet"/>
        <w:spacing w:before="20" w:after="60" w:line="276" w:lineRule="auto"/>
        <w:ind w:left="360"/>
      </w:pPr>
      <w:r>
        <w:rPr>
          <w:b/>
          <w:color w:val="1F2937"/>
          <w:sz w:val="22"/>
        </w:rPr>
        <w:t xml:space="preserve">Inter-Mandi Spatial Spread Index: </w:t>
      </w:r>
      <w:r>
        <w:rPr>
          <w:color w:val="1F2937"/>
          <w:sz w:val="22"/>
        </w:rPr>
        <w:t>Measures price variance across neighboring APMC mandis within a 150 km radius (e.g., Nagpur, Amravati, Wardha, Yavatmal, Hinganghat). Elevated spreads signal regional arbitrage opportunities and logistical bottlenecks.</w:t>
      </w:r>
    </w:p>
    <w:p>
      <w:pPr>
        <w:keepNext/>
        <w:spacing w:before="240" w:after="60"/>
      </w:pPr>
      <w:r>
        <w:rPr>
          <w:b/>
          <w:color w:val="2E7D32"/>
          <w:sz w:val="26"/>
        </w:rPr>
        <w:t>3.3 Resource Utilization &amp; Input Cost Pressure</w:t>
      </w:r>
    </w:p>
    <w:p>
      <w:pPr>
        <w:spacing w:line="276" w:lineRule="auto" w:after="120"/>
      </w:pPr>
      <w:r>
        <w:rPr>
          <w:color w:val="1F2937"/>
          <w:sz w:val="22"/>
        </w:rPr>
        <w:t>Input availability and cost directly dictate farmer planting decisions and cost-of-production floors:</w:t>
      </w:r>
    </w:p>
    <w:p>
      <w:pPr>
        <w:pStyle w:val="ListBullet"/>
        <w:spacing w:before="20" w:after="60" w:line="276" w:lineRule="auto"/>
        <w:ind w:left="360"/>
      </w:pPr>
      <w:r>
        <w:rPr>
          <w:b/>
          <w:color w:val="1F2937"/>
          <w:sz w:val="22"/>
        </w:rPr>
        <w:t xml:space="preserve">Nutrient Application Density: </w:t>
      </w:r>
      <w:r>
        <w:rPr>
          <w:color w:val="1F2937"/>
          <w:sz w:val="22"/>
        </w:rPr>
        <w:t>Total nutrient consumption (NPK kg per hectare of gross cropped area) derived from Fertilizer Monitoring System data, serving as an early proxy for crop acreage health and yield potential.</w:t>
      </w:r>
    </w:p>
    <w:p>
      <w:pPr>
        <w:pStyle w:val="ListBullet"/>
        <w:spacing w:before="20" w:after="60" w:line="276" w:lineRule="auto"/>
        <w:ind w:left="360"/>
      </w:pPr>
      <w:r>
        <w:rPr>
          <w:b/>
          <w:color w:val="1F2937"/>
          <w:sz w:val="22"/>
        </w:rPr>
        <w:t xml:space="preserve">Reservoir Live Capacity Index: </w:t>
      </w:r>
      <w:r>
        <w:rPr>
          <w:color w:val="1F2937"/>
          <w:sz w:val="22"/>
        </w:rPr>
        <w:t>Monitors percentage live storage levels in major Vidarbha irrigation reservoirs (Pench, Totladoh, Upper Wardha) relative to normal capacities, determining water availability for post-monsoon Rabi sowing (e.g., gram/chickpea and wheat).</w:t>
      </w:r>
    </w:p>
    <w:p>
      <w:pPr>
        <w:pStyle w:val="ListBullet"/>
        <w:spacing w:before="20" w:after="60" w:line="276" w:lineRule="auto"/>
        <w:ind w:left="360"/>
      </w:pPr>
      <w:r>
        <w:rPr>
          <w:b/>
          <w:color w:val="1F2937"/>
          <w:sz w:val="22"/>
        </w:rPr>
        <w:t xml:space="preserve">Mechanization &amp; Fuel Index: </w:t>
      </w:r>
      <w:r>
        <w:rPr>
          <w:color w:val="1F2937"/>
          <w:sz w:val="22"/>
        </w:rPr>
        <w:t>Tracking district-level retail diesel and power tariffs to model cost-push inflation in mechanized harvesting, tillage, and transport.</w:t>
      </w:r>
    </w:p>
    <w:p>
      <w:pPr>
        <w:keepNext/>
        <w:spacing w:before="240" w:after="60"/>
      </w:pPr>
      <w:r>
        <w:rPr>
          <w:b/>
          <w:color w:val="2E7D32"/>
          <w:sz w:val="26"/>
        </w:rPr>
        <w:t>3.4 Macroeconomic &amp; Climate Covariates</w:t>
      </w:r>
    </w:p>
    <w:p>
      <w:pPr>
        <w:spacing w:line="276" w:lineRule="auto" w:after="120"/>
      </w:pPr>
      <w:r>
        <w:rPr>
          <w:color w:val="1F2937"/>
          <w:sz w:val="22"/>
        </w:rPr>
        <w:t>External variables acting as exogenous drivers in econometric and machine learning forecasting models:</w:t>
      </w:r>
    </w:p>
    <w:p>
      <w:pPr>
        <w:pStyle w:val="ListBullet"/>
        <w:spacing w:before="20" w:after="60" w:line="276" w:lineRule="auto"/>
        <w:ind w:left="360"/>
      </w:pPr>
      <w:r>
        <w:rPr>
          <w:b/>
          <w:color w:val="1F2937"/>
          <w:sz w:val="22"/>
        </w:rPr>
        <w:t xml:space="preserve">Standardized Precipitation Index (SPI): </w:t>
      </w:r>
      <w:r>
        <w:rPr>
          <w:color w:val="1F2937"/>
          <w:sz w:val="22"/>
        </w:rPr>
        <w:t>Captures 30-day and 90-day precipitation anomalies during crucial flowering and pod development stages.</w:t>
      </w:r>
    </w:p>
    <w:p>
      <w:pPr>
        <w:pStyle w:val="ListBullet"/>
        <w:spacing w:before="20" w:after="60" w:line="276" w:lineRule="auto"/>
        <w:ind w:left="360"/>
      </w:pPr>
      <w:r>
        <w:rPr>
          <w:b/>
          <w:color w:val="1F2937"/>
          <w:sz w:val="22"/>
        </w:rPr>
        <w:t xml:space="preserve">USD/INR Foreign Exchange &amp; Trade Parity: </w:t>
      </w:r>
      <w:r>
        <w:rPr>
          <w:color w:val="1F2937"/>
          <w:sz w:val="22"/>
        </w:rPr>
        <w:t>Governs import parity for edible oils (palm oil, crude soybean oil) and export competitiveness for Indian raw cotton and soymeal.</w:t>
      </w:r>
    </w:p>
    <w:p>
      <w:pPr>
        <w:pStyle w:val="ListBullet"/>
        <w:spacing w:before="20" w:after="60" w:line="276" w:lineRule="auto"/>
        <w:ind w:left="360"/>
      </w:pPr>
      <w:r>
        <w:rPr>
          <w:b/>
          <w:color w:val="1F2937"/>
          <w:sz w:val="22"/>
        </w:rPr>
        <w:t xml:space="preserve">Global Stock-to-Use Ratio (USDA): </w:t>
      </w:r>
      <w:r>
        <w:rPr>
          <w:color w:val="1F2937"/>
          <w:sz w:val="22"/>
        </w:rPr>
        <w:t>Reflects the global buffer stock cushion; values below 20% historically trigger international commodity price spikes.</w:t>
      </w:r>
    </w:p>
    <w:p>
      <w:pPr>
        <w:keepNext/>
        <w:spacing w:before="320" w:after="80"/>
      </w:pPr>
      <w:r>
        <w:rPr>
          <w:b/>
          <w:color w:val="1B4D3E"/>
          <w:sz w:val="32"/>
        </w:rPr>
        <w:t>4. End-to-End Data Pipeline Architecture &amp; Methodology</w:t>
      </w:r>
    </w:p>
    <w:p>
      <w:pPr>
        <w:spacing w:line="276" w:lineRule="auto" w:after="120"/>
      </w:pPr>
      <w:r>
        <w:rPr>
          <w:color w:val="1F2937"/>
          <w:sz w:val="22"/>
        </w:rPr>
        <w:t>To operationalize agribusiness analytics into an automated data science workflow, the technical architecture is organized into five interconnected stages, illustrated in Figure 1 below.</w:t>
      </w:r>
    </w:p>
    <w:p>
      <w:pPr>
        <w:keepNext/>
        <w:spacing w:before="160" w:after="60"/>
        <w:jc w:val="center"/>
      </w:pPr>
      <w:r>
        <w:drawing>
          <wp:inline xmlns:a="http://schemas.openxmlformats.org/drawingml/2006/main" xmlns:pic="http://schemas.openxmlformats.org/drawingml/2006/picture">
            <wp:extent cx="5669280" cy="2346205"/>
            <wp:docPr id="1" name="Picture 1"/>
            <wp:cNvGraphicFramePr>
              <a:graphicFrameLocks noChangeAspect="1"/>
            </wp:cNvGraphicFramePr>
            <a:graphic>
              <a:graphicData uri="http://schemas.openxmlformats.org/drawingml/2006/picture">
                <pic:pic>
                  <pic:nvPicPr>
                    <pic:cNvPr id="0" name="pipeline_architecture.png"/>
                    <pic:cNvPicPr/>
                  </pic:nvPicPr>
                  <pic:blipFill>
                    <a:blip r:embed="rId10"/>
                    <a:stretch>
                      <a:fillRect/>
                    </a:stretch>
                  </pic:blipFill>
                  <pic:spPr>
                    <a:xfrm>
                      <a:off x="0" y="0"/>
                      <a:ext cx="5669280" cy="2346205"/>
                    </a:xfrm>
                    <a:prstGeom prst="rect"/>
                  </pic:spPr>
                </pic:pic>
              </a:graphicData>
            </a:graphic>
          </wp:inline>
        </w:drawing>
      </w:r>
    </w:p>
    <w:p>
      <w:pPr>
        <w:spacing w:before="20" w:after="200"/>
        <w:jc w:val="center"/>
      </w:pPr>
      <w:r>
        <w:rPr>
          <w:i/>
          <w:color w:val="4B5563"/>
          <w:sz w:val="19"/>
        </w:rPr>
        <w:t>Figure 1: End-to-End Agribusiness Data Analysis &amp; Machine Learning Forecasting Pipeline Architecture.</w:t>
      </w:r>
    </w:p>
    <w:p>
      <w:pPr>
        <w:keepNext/>
        <w:spacing w:before="240" w:after="60"/>
      </w:pPr>
      <w:r>
        <w:rPr>
          <w:b/>
          <w:color w:val="2E7D32"/>
          <w:sz w:val="26"/>
        </w:rPr>
        <w:t>4.1 Ingestion &amp; Lakehouse Staging</w:t>
      </w:r>
    </w:p>
    <w:p>
      <w:pPr>
        <w:spacing w:line="276" w:lineRule="auto" w:after="120"/>
      </w:pPr>
      <w:r>
        <w:rPr>
          <w:color w:val="1F2937"/>
          <w:sz w:val="22"/>
        </w:rPr>
        <w:t>The ingestion layer executes asynchronous scheduled queries against primary public APIs and web portals. All incoming payloads are timestamped and preserved in an immutable raw staging lake (partitioned by commodity, state, and ingest date). This ensures end-to-end reproducibility and enables full pipeline backfilling whenever upstream schemas evolve.</w:t>
      </w:r>
    </w:p>
    <w:p>
      <w:pPr>
        <w:keepNext/>
        <w:spacing w:before="240" w:after="60"/>
      </w:pPr>
      <w:r>
        <w:rPr>
          <w:b/>
          <w:color w:val="2E7D32"/>
          <w:sz w:val="26"/>
        </w:rPr>
        <w:t>4.2 Statistical Data Cleaning &amp; Validation Protocol</w:t>
      </w:r>
    </w:p>
    <w:p>
      <w:pPr>
        <w:spacing w:line="276" w:lineRule="auto" w:after="120"/>
      </w:pPr>
      <w:r>
        <w:rPr>
          <w:color w:val="1F2937"/>
          <w:sz w:val="22"/>
        </w:rPr>
        <w:t>Mandi records frequently contain human transcription errors, delayed reporting, and irregular trading calendars. The cleaning protocol enforces rigorous data quality controls:</w:t>
      </w:r>
    </w:p>
    <w:p>
      <w:pPr>
        <w:pStyle w:val="ListBullet"/>
        <w:spacing w:before="20" w:after="60" w:line="276" w:lineRule="auto"/>
        <w:ind w:left="360"/>
      </w:pPr>
      <w:r>
        <w:rPr>
          <w:b/>
          <w:color w:val="1F2937"/>
          <w:sz w:val="22"/>
        </w:rPr>
        <w:t xml:space="preserve">Outlier Detection via Hampel Filter &amp; IQR: </w:t>
      </w:r>
      <w:r>
        <w:rPr>
          <w:color w:val="1F2937"/>
          <w:sz w:val="22"/>
        </w:rPr>
        <w:t>Mandi modal prices falling outside 3.0 times the Median Absolute Deviation (MAD) or exceeding reasonable historical limits are quarantined. Zero-price and negative volume records are automatically purged.</w:t>
      </w:r>
    </w:p>
    <w:p>
      <w:pPr>
        <w:pStyle w:val="ListBullet"/>
        <w:spacing w:before="20" w:after="60" w:line="276" w:lineRule="auto"/>
        <w:ind w:left="360"/>
      </w:pPr>
      <w:r>
        <w:rPr>
          <w:b/>
          <w:color w:val="1F2937"/>
          <w:sz w:val="22"/>
        </w:rPr>
        <w:t xml:space="preserve">Calendar Alignment &amp; Seasonal Imputation: </w:t>
      </w:r>
      <w:r>
        <w:rPr>
          <w:color w:val="1F2937"/>
          <w:sz w:val="22"/>
        </w:rPr>
        <w:t>Mandi shutdowns during religious holidays or agricultural strikes create gaps in daily price sequences. Gaps up to 3 days are imputed using seasonal cubic spline interpolation and linear trade volume weighting; multi-week gaps trigger holiday trading masks.</w:t>
      </w:r>
    </w:p>
    <w:p>
      <w:pPr>
        <w:pStyle w:val="ListBullet"/>
        <w:spacing w:before="20" w:after="60" w:line="276" w:lineRule="auto"/>
        <w:ind w:left="360"/>
      </w:pPr>
      <w:r>
        <w:rPr>
          <w:b/>
          <w:color w:val="1F2937"/>
          <w:sz w:val="22"/>
        </w:rPr>
        <w:t xml:space="preserve">Entity Disambiguation &amp; Unit Normalization: </w:t>
      </w:r>
      <w:r>
        <w:rPr>
          <w:color w:val="1F2937"/>
          <w:sz w:val="22"/>
        </w:rPr>
        <w:t>Public data sources employ diverse spelling variations (e.g., 'Soyabean', 'Soybean Yellow', 'Soya'). A standardized fuzzy ontology normalizes commodity names, varieties, and weight units (converting quintals, maunds, and bales into standard Metric Tonnes).</w:t>
      </w:r>
    </w:p>
    <w:p>
      <w:pPr>
        <w:keepNext/>
        <w:spacing w:before="240" w:after="60"/>
      </w:pPr>
      <w:r>
        <w:rPr>
          <w:b/>
          <w:color w:val="2E7D32"/>
          <w:sz w:val="26"/>
        </w:rPr>
        <w:t>4.3 Feature Store Engineering</w:t>
      </w:r>
    </w:p>
    <w:p>
      <w:pPr>
        <w:spacing w:line="276" w:lineRule="auto" w:after="120"/>
      </w:pPr>
      <w:r>
        <w:rPr>
          <w:color w:val="1F2937"/>
          <w:sz w:val="22"/>
        </w:rPr>
        <w:t>The curated data is transformed into a multi-temporal feature store. Features include autoregressive price lags (t-1, t-2, t-7, t-14, t-30), rolling statistical aggregations (mean, volatility, min, max), seasonal Fourier components, cumulative rainfall anomalies, and cross-market price differentials between Nagpur and national benchmark trading hubs.</w:t>
      </w:r>
    </w:p>
    <w:p>
      <w:pPr>
        <w:keepNext/>
        <w:spacing w:before="320" w:after="80"/>
      </w:pPr>
      <w:r>
        <w:rPr>
          <w:b/>
          <w:color w:val="1B4D3E"/>
          <w:sz w:val="32"/>
        </w:rPr>
        <w:t>5. Forecasting Methodologies &amp; Analytical Modeling</w:t>
      </w:r>
    </w:p>
    <w:p>
      <w:pPr>
        <w:spacing w:line="276" w:lineRule="auto" w:after="120"/>
      </w:pPr>
      <w:r>
        <w:rPr>
          <w:color w:val="1F2937"/>
          <w:sz w:val="22"/>
        </w:rPr>
        <w:t>To achieve reliable predictive accuracy across both short-term operational windows (1 to 14 days) and strategic medium-term horizons (30 to 90 days), the project establishes a multi-tiered modeling architecture:</w:t>
      </w:r>
    </w:p>
    <w:p>
      <w:pPr>
        <w:keepNext/>
        <w:spacing w:before="240" w:after="60"/>
      </w:pPr>
      <w:r>
        <w:rPr>
          <w:b/>
          <w:color w:val="2E7D32"/>
          <w:sz w:val="26"/>
        </w:rPr>
        <w:t>5.1 Econometric &amp; Time-Series Baselines</w:t>
      </w:r>
    </w:p>
    <w:p>
      <w:pPr>
        <w:pStyle w:val="ListBullet"/>
        <w:spacing w:before="20" w:after="60" w:line="276" w:lineRule="auto"/>
        <w:ind w:left="360"/>
      </w:pPr>
      <w:r>
        <w:rPr>
          <w:b/>
          <w:color w:val="1F2937"/>
          <w:sz w:val="22"/>
        </w:rPr>
        <w:t xml:space="preserve">SARIMAX (Seasonal ARIMA with eXogenous Regressors): </w:t>
      </w:r>
      <w:r>
        <w:rPr>
          <w:color w:val="1F2937"/>
          <w:sz w:val="22"/>
        </w:rPr>
        <w:t>Captures autoregressive momentum, seasonal weekly auction patterns, and exogenous shocks (such as localized rainfall events or export duty changes).</w:t>
      </w:r>
    </w:p>
    <w:p>
      <w:pPr>
        <w:pStyle w:val="ListBullet"/>
        <w:spacing w:before="20" w:after="60" w:line="276" w:lineRule="auto"/>
        <w:ind w:left="360"/>
      </w:pPr>
      <w:r>
        <w:rPr>
          <w:b/>
          <w:color w:val="1F2937"/>
          <w:sz w:val="22"/>
        </w:rPr>
        <w:t xml:space="preserve">Vector Error Correction Model (VECM): </w:t>
      </w:r>
      <w:r>
        <w:rPr>
          <w:color w:val="1F2937"/>
          <w:sz w:val="22"/>
        </w:rPr>
        <w:t>Models long-run cointegration vectors and short-term price adjustments between farm-gate mandi prices, wholesale terminal markets, and retail consumer prices.</w:t>
      </w:r>
    </w:p>
    <w:p>
      <w:pPr>
        <w:keepNext/>
        <w:spacing w:before="240" w:after="60"/>
      </w:pPr>
      <w:r>
        <w:rPr>
          <w:b/>
          <w:color w:val="2E7D32"/>
          <w:sz w:val="26"/>
        </w:rPr>
        <w:t>5.2 Machine Learning Ensemble Architectures</w:t>
      </w:r>
    </w:p>
    <w:p>
      <w:pPr>
        <w:pStyle w:val="ListBullet"/>
        <w:spacing w:before="20" w:after="60" w:line="276" w:lineRule="auto"/>
        <w:ind w:left="360"/>
      </w:pPr>
      <w:r>
        <w:rPr>
          <w:b/>
          <w:color w:val="1F2937"/>
          <w:sz w:val="22"/>
        </w:rPr>
        <w:t xml:space="preserve">Gradient Boosted Decision Trees (XGBoost &amp; LightGBM): </w:t>
      </w:r>
      <w:r>
        <w:rPr>
          <w:color w:val="1F2937"/>
          <w:sz w:val="22"/>
        </w:rPr>
        <w:t>Non-linear decision tree ensembles capable of handling complex interactions between weather departures, fertilizer availability, arrival momentum, and macroeconomic variables. Tree-based models demonstrate superior resilience to multi-collinearity.</w:t>
      </w:r>
    </w:p>
    <w:p>
      <w:pPr>
        <w:pStyle w:val="ListBullet"/>
        <w:spacing w:before="20" w:after="60" w:line="276" w:lineRule="auto"/>
        <w:ind w:left="360"/>
      </w:pPr>
      <w:r>
        <w:rPr>
          <w:b/>
          <w:color w:val="1F2937"/>
          <w:sz w:val="22"/>
        </w:rPr>
        <w:t xml:space="preserve">Explainable AI (SHAP Framework): </w:t>
      </w:r>
      <w:r>
        <w:rPr>
          <w:color w:val="1F2937"/>
          <w:sz w:val="22"/>
        </w:rPr>
        <w:t>Every model prediction is coupled with SHAP tree-explainer outputs to decompose the exact contribution of each feature (e.g., revealing whether a projected price rise is driven by arrival drops, monsoon deficits, or international edible oil rallies).</w:t>
      </w:r>
    </w:p>
    <w:p>
      <w:pPr>
        <w:keepNext/>
        <w:spacing w:before="240" w:after="60"/>
      </w:pPr>
      <w:r>
        <w:rPr>
          <w:b/>
          <w:color w:val="2E7D32"/>
          <w:sz w:val="26"/>
        </w:rPr>
        <w:t>5.3 Deep Learning Multi-Horizon Forecasting</w:t>
      </w:r>
    </w:p>
    <w:p>
      <w:pPr>
        <w:pStyle w:val="ListBullet"/>
        <w:spacing w:before="20" w:after="60" w:line="276" w:lineRule="auto"/>
        <w:ind w:left="360"/>
      </w:pPr>
      <w:r>
        <w:rPr>
          <w:b/>
          <w:color w:val="1F2937"/>
          <w:sz w:val="22"/>
        </w:rPr>
        <w:t xml:space="preserve">Temporal Fusion Transformer (TFT) &amp; LSTM: </w:t>
      </w:r>
      <w:r>
        <w:rPr>
          <w:color w:val="1F2937"/>
          <w:sz w:val="22"/>
        </w:rPr>
        <w:t>Utilized for simultaneous multi-step time series forecasting. Attention mechanisms isolate long-term seasonal cycles while recurrent layers process high-frequency daily auction volatility.</w:t>
      </w:r>
    </w:p>
    <w:p>
      <w:pPr>
        <w:keepNext/>
        <w:spacing w:before="240" w:after="60"/>
      </w:pPr>
      <w:r>
        <w:rPr>
          <w:b/>
          <w:color w:val="2E7D32"/>
          <w:sz w:val="26"/>
        </w:rPr>
        <w:t>5.4 Validation &amp; Performance Evaluation Framework</w:t>
      </w:r>
    </w:p>
    <w:p>
      <w:pPr>
        <w:spacing w:line="276" w:lineRule="auto" w:after="120"/>
      </w:pPr>
      <w:r>
        <w:rPr>
          <w:color w:val="1F2937"/>
          <w:sz w:val="22"/>
        </w:rPr>
        <w:t>To eliminate lookahead bias and data leakage, model validation adheres strictly to expanding rolling-window backtesting. Models are evaluated across four primary statistical metrics:</w:t>
      </w:r>
    </w:p>
    <w:p>
      <w:pPr>
        <w:pStyle w:val="ListBullet"/>
        <w:spacing w:before="20" w:after="60" w:line="276" w:lineRule="auto"/>
        <w:ind w:left="360"/>
      </w:pPr>
      <w:r>
        <w:rPr>
          <w:b/>
          <w:color w:val="1F2937"/>
          <w:sz w:val="22"/>
        </w:rPr>
        <w:t xml:space="preserve">Mean Absolute Percentage Error (MAPE): </w:t>
      </w:r>
      <w:r>
        <w:rPr>
          <w:color w:val="1F2937"/>
          <w:sz w:val="22"/>
        </w:rPr>
        <w:t>Measures average proportional forecast deviation, maintaining target accuracy below 8% for 14-day forecasts and below 12% for 60-day horizons.</w:t>
      </w:r>
    </w:p>
    <w:p>
      <w:pPr>
        <w:pStyle w:val="ListBullet"/>
        <w:spacing w:before="20" w:after="60" w:line="276" w:lineRule="auto"/>
        <w:ind w:left="360"/>
      </w:pPr>
      <w:r>
        <w:rPr>
          <w:b/>
          <w:color w:val="1F2937"/>
          <w:sz w:val="22"/>
        </w:rPr>
        <w:t xml:space="preserve">Root Mean Squared Error (RMSE): </w:t>
      </w:r>
      <w:r>
        <w:rPr>
          <w:color w:val="1F2937"/>
          <w:sz w:val="22"/>
        </w:rPr>
        <w:t>Penalizes large outlier forecast errors, critical for risk-averse commercial supply chain planning.</w:t>
      </w:r>
    </w:p>
    <w:p>
      <w:pPr>
        <w:pStyle w:val="ListBullet"/>
        <w:spacing w:before="20" w:after="60" w:line="276" w:lineRule="auto"/>
        <w:ind w:left="360"/>
      </w:pPr>
      <w:r>
        <w:rPr>
          <w:b/>
          <w:color w:val="1F2937"/>
          <w:sz w:val="22"/>
        </w:rPr>
        <w:t xml:space="preserve">Directional Symmetry / Movement Accuracy: </w:t>
      </w:r>
      <w:r>
        <w:rPr>
          <w:color w:val="1F2937"/>
          <w:sz w:val="22"/>
        </w:rPr>
        <w:t>Measures the percentage of times the model correctly predicts the sign of price movement (up vs. down), targeted at &gt; 75%.</w:t>
      </w:r>
    </w:p>
    <w:p>
      <w:pPr>
        <w:keepNext/>
        <w:spacing w:before="320" w:after="80"/>
      </w:pPr>
      <w:r>
        <w:rPr>
          <w:b/>
          <w:color w:val="1B4D3E"/>
          <w:sz w:val="32"/>
        </w:rPr>
        <w:t>6. Five-Week Implementation Timeline &amp; Work Packages</w:t>
      </w:r>
    </w:p>
    <w:p>
      <w:pPr>
        <w:spacing w:line="276" w:lineRule="auto" w:after="120"/>
      </w:pPr>
      <w:r>
        <w:rPr>
          <w:color w:val="1F2937"/>
          <w:sz w:val="22"/>
        </w:rPr>
        <w:t>The internship spans exactly 5 weeks, commencing on October 22, 2026, and concluding on November 26, 2026. The structured project roadmap in Figure 2 and the detailed milestone matrix delineate the weekly work packages, deliverables, review criteria, and risk mitigation strategies.</w:t>
      </w:r>
    </w:p>
    <w:p>
      <w:pPr>
        <w:keepNext/>
        <w:spacing w:before="160" w:after="60"/>
        <w:jc w:val="center"/>
      </w:pPr>
      <w:r>
        <w:drawing>
          <wp:inline xmlns:a="http://schemas.openxmlformats.org/drawingml/2006/main" xmlns:pic="http://schemas.openxmlformats.org/drawingml/2006/picture">
            <wp:extent cx="5669280" cy="2370055"/>
            <wp:docPr id="2" name="Picture 2"/>
            <wp:cNvGraphicFramePr>
              <a:graphicFrameLocks noChangeAspect="1"/>
            </wp:cNvGraphicFramePr>
            <a:graphic>
              <a:graphicData uri="http://schemas.openxmlformats.org/drawingml/2006/picture">
                <pic:pic>
                  <pic:nvPicPr>
                    <pic:cNvPr id="0" name="timeline_gantt.png"/>
                    <pic:cNvPicPr/>
                  </pic:nvPicPr>
                  <pic:blipFill>
                    <a:blip r:embed="rId11"/>
                    <a:stretch>
                      <a:fillRect/>
                    </a:stretch>
                  </pic:blipFill>
                  <pic:spPr>
                    <a:xfrm>
                      <a:off x="0" y="0"/>
                      <a:ext cx="5669280" cy="2370055"/>
                    </a:xfrm>
                    <a:prstGeom prst="rect"/>
                  </pic:spPr>
                </pic:pic>
              </a:graphicData>
            </a:graphic>
          </wp:inline>
        </w:drawing>
      </w:r>
    </w:p>
    <w:p>
      <w:pPr>
        <w:spacing w:before="20" w:after="200"/>
        <w:jc w:val="center"/>
      </w:pPr>
      <w:r>
        <w:rPr>
          <w:i/>
          <w:color w:val="4B5563"/>
          <w:sz w:val="19"/>
        </w:rPr>
        <w:t>Figure 2: Five-Week Agribusiness Data Science Project Timeline, Milestones, and Work Packages.</w:t>
      </w:r>
    </w:p>
    <w:tbl>
      <w:tblPr>
        <w:tblW w:type="auto" w:w="0"/>
        <w:jc w:val="center"/>
        <w:tblLook w:firstColumn="1" w:firstRow="1" w:lastColumn="0" w:lastRow="0" w:noHBand="0" w:noVBand="1" w:val="04A0"/>
        <w:tblBorders>
          <w:top w:val="single" w:sz="6" w:space="0" w:color="1B4D3E"/>
          <w:left w:val="none"/>
          <w:bottom w:val="single" w:sz="8" w:space="0" w:color="1B4D3E"/>
          <w:right w:val="none"/>
          <w:insideH w:val="single" w:sz="4" w:space="0" w:color="CCCCCC"/>
          <w:insideV w:val="none"/>
        </w:tblBorders>
      </w:tblPr>
      <w:tblGrid>
        <w:gridCol w:w="1872"/>
        <w:gridCol w:w="1872"/>
        <w:gridCol w:w="1872"/>
        <w:gridCol w:w="1872"/>
        <w:gridCol w:w="1872"/>
      </w:tblGrid>
      <w:tr>
        <w:trPr>
          <w:tblHeader/>
        </w:trPr>
        <w:tc>
          <w:tcPr>
            <w:tcW w:type="dxa" w:w="1728"/>
            <w:vAlign w:val="center"/>
            <w:shd w:fill="1B4D3E"/>
          </w:tcPr>
          <w:p>
            <w:pPr>
              <w:keepNext/>
              <w:spacing w:before="80" w:after="80"/>
              <w:jc w:val="center"/>
            </w:pPr>
            <w:r>
              <w:rPr>
                <w:b/>
                <w:color w:val="FFFFFF"/>
                <w:sz w:val="20"/>
              </w:rPr>
              <w:t>Phase / Cadence</w:t>
            </w:r>
          </w:p>
        </w:tc>
        <w:tc>
          <w:tcPr>
            <w:tcW w:type="dxa" w:w="2016"/>
            <w:vAlign w:val="center"/>
            <w:shd w:fill="1B4D3E"/>
          </w:tcPr>
          <w:p>
            <w:pPr>
              <w:keepNext/>
              <w:spacing w:before="80" w:after="80"/>
              <w:jc w:val="center"/>
            </w:pPr>
            <w:r>
              <w:rPr>
                <w:b/>
                <w:color w:val="FFFFFF"/>
                <w:sz w:val="20"/>
              </w:rPr>
              <w:t>Work Package Focus</w:t>
            </w:r>
          </w:p>
        </w:tc>
        <w:tc>
          <w:tcPr>
            <w:tcW w:type="dxa" w:w="2880"/>
            <w:vAlign w:val="center"/>
            <w:shd w:fill="1B4D3E"/>
          </w:tcPr>
          <w:p>
            <w:pPr>
              <w:keepNext/>
              <w:spacing w:before="80" w:after="80"/>
              <w:jc w:val="center"/>
            </w:pPr>
            <w:r>
              <w:rPr>
                <w:b/>
                <w:color w:val="FFFFFF"/>
                <w:sz w:val="20"/>
              </w:rPr>
              <w:t>Detailed Technical Activities</w:t>
            </w:r>
          </w:p>
        </w:tc>
        <w:tc>
          <w:tcPr>
            <w:tcW w:type="dxa" w:w="2016"/>
            <w:vAlign w:val="center"/>
            <w:shd w:fill="1B4D3E"/>
          </w:tcPr>
          <w:p>
            <w:pPr>
              <w:keepNext/>
              <w:spacing w:before="80" w:after="80"/>
              <w:jc w:val="center"/>
            </w:pPr>
            <w:r>
              <w:rPr>
                <w:b/>
                <w:color w:val="FFFFFF"/>
                <w:sz w:val="20"/>
              </w:rPr>
              <w:t>Key Deliverables</w:t>
            </w:r>
          </w:p>
        </w:tc>
        <w:tc>
          <w:tcPr>
            <w:tcW w:type="dxa" w:w="2160"/>
            <w:vAlign w:val="center"/>
            <w:shd w:fill="1B4D3E"/>
          </w:tcPr>
          <w:p>
            <w:pPr>
              <w:keepNext/>
              <w:spacing w:before="80" w:after="80"/>
              <w:jc w:val="center"/>
            </w:pPr>
            <w:r>
              <w:rPr>
                <w:b/>
                <w:color w:val="FFFFFF"/>
                <w:sz w:val="20"/>
              </w:rPr>
              <w:t>Target Milestone</w:t>
            </w:r>
          </w:p>
        </w:tc>
      </w:tr>
      <w:tr>
        <w:trPr>
          <w:cantSplit/>
        </w:trPr>
        <w:tc>
          <w:tcPr>
            <w:tcW w:type="dxa" w:w="1728"/>
            <w:vAlign w:val="center"/>
          </w:tcPr>
          <w:p>
            <w:pPr>
              <w:spacing w:before="60" w:after="60" w:line="264" w:lineRule="auto"/>
            </w:pPr>
            <w:r>
              <w:rPr>
                <w:color w:val="1F2937"/>
                <w:sz w:val="20"/>
              </w:rPr>
              <w:t>Week 1</w:t>
              <w:br/>
              <w:t>(Oct 22 – Oct 28)</w:t>
            </w:r>
          </w:p>
        </w:tc>
        <w:tc>
          <w:tcPr>
            <w:tcW w:type="dxa" w:w="2016"/>
            <w:vAlign w:val="center"/>
          </w:tcPr>
          <w:p>
            <w:pPr>
              <w:spacing w:before="60" w:after="60" w:line="264" w:lineRule="auto"/>
            </w:pPr>
            <w:r>
              <w:rPr>
                <w:color w:val="1F2937"/>
                <w:sz w:val="20"/>
              </w:rPr>
              <w:t>Agribusiness Data Analysis Planning &amp; Strategy Formulation</w:t>
            </w:r>
          </w:p>
        </w:tc>
        <w:tc>
          <w:tcPr>
            <w:tcW w:type="dxa" w:w="2880"/>
            <w:vAlign w:val="center"/>
          </w:tcPr>
          <w:p>
            <w:pPr>
              <w:spacing w:before="60" w:after="60" w:line="264" w:lineRule="auto"/>
            </w:pPr>
            <w:r>
              <w:rPr>
                <w:color w:val="1F2937"/>
                <w:sz w:val="20"/>
              </w:rPr>
              <w:t>• Define regional scope (Nagpur/Vidarbha) and focus crops (soybean, cotton, tur, oranges).</w:t>
              <w:br/>
              <w:t>• Map open-access public repositories (Agmarknet, DES, IMD, USDA).</w:t>
              <w:br/>
              <w:t>• Establish indicator schemas, cleaning protocols, and modeling strategy.</w:t>
              <w:br/>
              <w:t>• Initialize Git repository and environment configuration.</w:t>
            </w:r>
          </w:p>
        </w:tc>
        <w:tc>
          <w:tcPr>
            <w:tcW w:type="dxa" w:w="2016"/>
            <w:vAlign w:val="center"/>
          </w:tcPr>
          <w:p>
            <w:pPr>
              <w:spacing w:before="60" w:after="60" w:line="264" w:lineRule="auto"/>
            </w:pPr>
            <w:r>
              <w:rPr>
                <w:color w:val="1F2937"/>
                <w:sz w:val="20"/>
              </w:rPr>
              <w:t>• Comprehensive Plan (.docx)</w:t>
              <w:br/>
              <w:t>• Initial Repository Scaffolding</w:t>
              <w:br/>
              <w:t>• Data Dictionary Specification</w:t>
            </w:r>
          </w:p>
        </w:tc>
        <w:tc>
          <w:tcPr>
            <w:tcW w:type="dxa" w:w="2160"/>
            <w:vAlign w:val="center"/>
          </w:tcPr>
          <w:p>
            <w:pPr>
              <w:spacing w:before="60" w:after="60" w:line="264" w:lineRule="auto"/>
            </w:pPr>
            <w:r>
              <w:rPr>
                <w:color w:val="1F2937"/>
                <w:sz w:val="20"/>
              </w:rPr>
              <w:t>Milestone 1: Planning Document and Data Architecture Approved</w:t>
            </w:r>
          </w:p>
        </w:tc>
      </w:tr>
      <w:tr>
        <w:trPr>
          <w:cantSplit/>
        </w:trPr>
        <w:tc>
          <w:tcPr>
            <w:tcW w:type="dxa" w:w="1728"/>
            <w:vAlign w:val="center"/>
            <w:shd w:fill="F1F8F5"/>
          </w:tcPr>
          <w:p>
            <w:pPr>
              <w:spacing w:before="60" w:after="60" w:line="264" w:lineRule="auto"/>
            </w:pPr>
            <w:r>
              <w:rPr>
                <w:color w:val="1F2937"/>
                <w:sz w:val="20"/>
              </w:rPr>
              <w:t>Week 2</w:t>
              <w:br/>
              <w:t>(Oct 29 – Nov 04)</w:t>
            </w:r>
          </w:p>
        </w:tc>
        <w:tc>
          <w:tcPr>
            <w:tcW w:type="dxa" w:w="2016"/>
            <w:vAlign w:val="center"/>
            <w:shd w:fill="F1F8F5"/>
          </w:tcPr>
          <w:p>
            <w:pPr>
              <w:spacing w:before="60" w:after="60" w:line="264" w:lineRule="auto"/>
            </w:pPr>
            <w:r>
              <w:rPr>
                <w:color w:val="1F2937"/>
                <w:sz w:val="20"/>
              </w:rPr>
              <w:t>Automated Ingestion Pipeline &amp; Lakehouse Infrastructure</w:t>
            </w:r>
          </w:p>
        </w:tc>
        <w:tc>
          <w:tcPr>
            <w:tcW w:type="dxa" w:w="2880"/>
            <w:vAlign w:val="center"/>
            <w:shd w:fill="F1F8F5"/>
          </w:tcPr>
          <w:p>
            <w:pPr>
              <w:spacing w:before="60" w:after="60" w:line="264" w:lineRule="auto"/>
            </w:pPr>
            <w:r>
              <w:rPr>
                <w:color w:val="1F2937"/>
                <w:sz w:val="20"/>
              </w:rPr>
              <w:t>• Develop Python scrapers and API harvesting scripts for Agmarknet/data.gov.in.</w:t>
              <w:br/>
              <w:t>• Ingest historical daily mandi price and arrival series (2018–2026).</w:t>
              <w:br/>
              <w:t>• Harvest IMD weather grids and USDA FAS balance sheet tables.</w:t>
              <w:br/>
              <w:t>• Implement data versioning and raw Parquet lakehouse storage.</w:t>
            </w:r>
          </w:p>
        </w:tc>
        <w:tc>
          <w:tcPr>
            <w:tcW w:type="dxa" w:w="2016"/>
            <w:vAlign w:val="center"/>
            <w:shd w:fill="F1F8F5"/>
          </w:tcPr>
          <w:p>
            <w:pPr>
              <w:spacing w:before="60" w:after="60" w:line="264" w:lineRule="auto"/>
            </w:pPr>
            <w:r>
              <w:rPr>
                <w:color w:val="1F2937"/>
                <w:sz w:val="20"/>
              </w:rPr>
              <w:t>• Python Ingestion Suite</w:t>
              <w:br/>
              <w:t>• Raw Staging Database</w:t>
              <w:br/>
              <w:t>• Automated Harvester Logs</w:t>
            </w:r>
          </w:p>
        </w:tc>
        <w:tc>
          <w:tcPr>
            <w:tcW w:type="dxa" w:w="2160"/>
            <w:vAlign w:val="center"/>
            <w:shd w:fill="F1F8F5"/>
          </w:tcPr>
          <w:p>
            <w:pPr>
              <w:spacing w:before="60" w:after="60" w:line="264" w:lineRule="auto"/>
            </w:pPr>
            <w:r>
              <w:rPr>
                <w:color w:val="1F2937"/>
                <w:sz w:val="20"/>
              </w:rPr>
              <w:t>Milestone 2: Data Ingestion Live; Raw Commodity Lakehouse Populated</w:t>
            </w:r>
          </w:p>
        </w:tc>
      </w:tr>
      <w:tr>
        <w:trPr>
          <w:cantSplit/>
        </w:trPr>
        <w:tc>
          <w:tcPr>
            <w:tcW w:type="dxa" w:w="1728"/>
            <w:vAlign w:val="center"/>
          </w:tcPr>
          <w:p>
            <w:pPr>
              <w:spacing w:before="60" w:after="60" w:line="264" w:lineRule="auto"/>
            </w:pPr>
            <w:r>
              <w:rPr>
                <w:color w:val="1F2937"/>
                <w:sz w:val="20"/>
              </w:rPr>
              <w:t>Week 3</w:t>
              <w:br/>
              <w:t>(Nov 05 – Nov 11)</w:t>
            </w:r>
          </w:p>
        </w:tc>
        <w:tc>
          <w:tcPr>
            <w:tcW w:type="dxa" w:w="2016"/>
            <w:vAlign w:val="center"/>
          </w:tcPr>
          <w:p>
            <w:pPr>
              <w:spacing w:before="60" w:after="60" w:line="264" w:lineRule="auto"/>
            </w:pPr>
            <w:r>
              <w:rPr>
                <w:color w:val="1F2937"/>
                <w:sz w:val="20"/>
              </w:rPr>
              <w:t>Data Harmonization, Statistical Cleaning &amp; Exploratory Analysis</w:t>
            </w:r>
          </w:p>
        </w:tc>
        <w:tc>
          <w:tcPr>
            <w:tcW w:type="dxa" w:w="2880"/>
            <w:vAlign w:val="center"/>
          </w:tcPr>
          <w:p>
            <w:pPr>
              <w:spacing w:before="60" w:after="60" w:line="264" w:lineRule="auto"/>
            </w:pPr>
            <w:r>
              <w:rPr>
                <w:color w:val="1F2937"/>
                <w:sz w:val="20"/>
              </w:rPr>
              <w:t>• Execute Hampel filter and IQR outlier filtering on mandi price records.</w:t>
              <w:br/>
              <w:t>• Perform seasonal spline imputation for holiday market hiatuses.</w:t>
              <w:br/>
              <w:t>• Build standardized commodity ontology and unit converters.</w:t>
              <w:br/>
              <w:t>• Conduct Exploratory Data Analysis (EDA) on seasonality and price transmission.</w:t>
            </w:r>
          </w:p>
        </w:tc>
        <w:tc>
          <w:tcPr>
            <w:tcW w:type="dxa" w:w="2016"/>
            <w:vAlign w:val="center"/>
          </w:tcPr>
          <w:p>
            <w:pPr>
              <w:spacing w:before="60" w:after="60" w:line="264" w:lineRule="auto"/>
            </w:pPr>
            <w:r>
              <w:rPr>
                <w:color w:val="1F2937"/>
                <w:sz w:val="20"/>
              </w:rPr>
              <w:t>• Curated Clean Parquet Tables</w:t>
              <w:br/>
              <w:t>• EDA Jupyter Notebook</w:t>
              <w:br/>
              <w:t>• Descriptive Statistical Report</w:t>
            </w:r>
          </w:p>
        </w:tc>
        <w:tc>
          <w:tcPr>
            <w:tcW w:type="dxa" w:w="2160"/>
            <w:vAlign w:val="center"/>
          </w:tcPr>
          <w:p>
            <w:pPr>
              <w:spacing w:before="60" w:after="60" w:line="264" w:lineRule="auto"/>
            </w:pPr>
            <w:r>
              <w:rPr>
                <w:color w:val="1F2937"/>
                <w:sz w:val="20"/>
              </w:rPr>
              <w:t>Milestone 3: Curated Datasets Frozen; Exploratory Insights Documented</w:t>
            </w:r>
          </w:p>
        </w:tc>
      </w:tr>
      <w:tr>
        <w:trPr>
          <w:cantSplit/>
        </w:trPr>
        <w:tc>
          <w:tcPr>
            <w:tcW w:type="dxa" w:w="1728"/>
            <w:vAlign w:val="center"/>
            <w:shd w:fill="F1F8F5"/>
          </w:tcPr>
          <w:p>
            <w:pPr>
              <w:spacing w:before="60" w:after="60" w:line="264" w:lineRule="auto"/>
            </w:pPr>
            <w:r>
              <w:rPr>
                <w:color w:val="1F2937"/>
                <w:sz w:val="20"/>
              </w:rPr>
              <w:t>Week 4</w:t>
              <w:br/>
              <w:t>(Nov 12 – Nov 18)</w:t>
            </w:r>
          </w:p>
        </w:tc>
        <w:tc>
          <w:tcPr>
            <w:tcW w:type="dxa" w:w="2016"/>
            <w:vAlign w:val="center"/>
            <w:shd w:fill="F1F8F5"/>
          </w:tcPr>
          <w:p>
            <w:pPr>
              <w:spacing w:before="60" w:after="60" w:line="264" w:lineRule="auto"/>
            </w:pPr>
            <w:r>
              <w:rPr>
                <w:color w:val="1F2937"/>
                <w:sz w:val="20"/>
              </w:rPr>
              <w:t>Feature Engineering, Model Training &amp; Benchmarking</w:t>
            </w:r>
          </w:p>
        </w:tc>
        <w:tc>
          <w:tcPr>
            <w:tcW w:type="dxa" w:w="2880"/>
            <w:vAlign w:val="center"/>
            <w:shd w:fill="F1F8F5"/>
          </w:tcPr>
          <w:p>
            <w:pPr>
              <w:spacing w:before="60" w:after="60" w:line="264" w:lineRule="auto"/>
            </w:pPr>
            <w:r>
              <w:rPr>
                <w:color w:val="1F2937"/>
                <w:sz w:val="20"/>
              </w:rPr>
              <w:t>• Construct lag features, rolling momentum indices, and weather departures.</w:t>
              <w:br/>
              <w:t>• Train SARIMAX baseline models for Nagpur mandi price series.</w:t>
              <w:br/>
              <w:t>• Train and hyperparameter-tune XGBoost and LightGBM models.</w:t>
              <w:br/>
              <w:t>• Evaluate rolling cross-validation metrics (MAPE, RMSE, Directional Accuracy).</w:t>
            </w:r>
          </w:p>
        </w:tc>
        <w:tc>
          <w:tcPr>
            <w:tcW w:type="dxa" w:w="2016"/>
            <w:vAlign w:val="center"/>
            <w:shd w:fill="F1F8F5"/>
          </w:tcPr>
          <w:p>
            <w:pPr>
              <w:spacing w:before="60" w:after="60" w:line="264" w:lineRule="auto"/>
            </w:pPr>
            <w:r>
              <w:rPr>
                <w:color w:val="1F2937"/>
                <w:sz w:val="20"/>
              </w:rPr>
              <w:t>• Serialized Model Artifacts (.pkl)</w:t>
              <w:br/>
              <w:t>• Validation Benchmark Matrix</w:t>
              <w:br/>
              <w:t>• SHAP Feature Attribution Plots</w:t>
            </w:r>
          </w:p>
        </w:tc>
        <w:tc>
          <w:tcPr>
            <w:tcW w:type="dxa" w:w="2160"/>
            <w:vAlign w:val="center"/>
            <w:shd w:fill="F1F8F5"/>
          </w:tcPr>
          <w:p>
            <w:pPr>
              <w:spacing w:before="60" w:after="60" w:line="264" w:lineRule="auto"/>
            </w:pPr>
            <w:r>
              <w:rPr>
                <w:color w:val="1F2937"/>
                <w:sz w:val="20"/>
              </w:rPr>
              <w:t>Milestone 4: Forecasting Models Trained; Validation Thresholds Achieved</w:t>
            </w:r>
          </w:p>
        </w:tc>
      </w:tr>
      <w:tr>
        <w:trPr>
          <w:cantSplit/>
        </w:trPr>
        <w:tc>
          <w:tcPr>
            <w:tcW w:type="dxa" w:w="1728"/>
            <w:vAlign w:val="center"/>
          </w:tcPr>
          <w:p>
            <w:pPr>
              <w:spacing w:before="60" w:after="60" w:line="264" w:lineRule="auto"/>
            </w:pPr>
            <w:r>
              <w:rPr>
                <w:color w:val="1F2937"/>
                <w:sz w:val="20"/>
              </w:rPr>
              <w:t>Week 5</w:t>
              <w:br/>
              <w:t>(Nov 19 – Nov 26)</w:t>
            </w:r>
          </w:p>
        </w:tc>
        <w:tc>
          <w:tcPr>
            <w:tcW w:type="dxa" w:w="2016"/>
            <w:vAlign w:val="center"/>
          </w:tcPr>
          <w:p>
            <w:pPr>
              <w:spacing w:before="60" w:after="60" w:line="264" w:lineRule="auto"/>
            </w:pPr>
            <w:r>
              <w:rPr>
                <w:color w:val="1F2937"/>
                <w:sz w:val="20"/>
              </w:rPr>
              <w:t>Dashboard Deployment, Capstone Documentation &amp; Final Delivery</w:t>
            </w:r>
          </w:p>
        </w:tc>
        <w:tc>
          <w:tcPr>
            <w:tcW w:type="dxa" w:w="2880"/>
            <w:vAlign w:val="center"/>
          </w:tcPr>
          <w:p>
            <w:pPr>
              <w:spacing w:before="60" w:after="60" w:line="264" w:lineRule="auto"/>
            </w:pPr>
            <w:r>
              <w:rPr>
                <w:color w:val="1F2937"/>
                <w:sz w:val="20"/>
              </w:rPr>
              <w:t>• Build interactive Streamlit/Dash agribusiness forecasting dashboard.</w:t>
              <w:br/>
              <w:t>• Integrate interactive mandi price trend visualizers and spatial spread maps.</w:t>
              <w:br/>
              <w:t>• Finalize technical capstone documentation and executive presentation deck.</w:t>
              <w:br/>
              <w:t>• Conduct code freeze, tag GitHub repository v1.0, and submit deliverables.</w:t>
            </w:r>
          </w:p>
        </w:tc>
        <w:tc>
          <w:tcPr>
            <w:tcW w:type="dxa" w:w="2016"/>
            <w:vAlign w:val="center"/>
          </w:tcPr>
          <w:p>
            <w:pPr>
              <w:spacing w:before="60" w:after="60" w:line="264" w:lineRule="auto"/>
            </w:pPr>
            <w:r>
              <w:rPr>
                <w:color w:val="1F2937"/>
                <w:sz w:val="20"/>
              </w:rPr>
              <w:t>• Interactive Web Dashboard</w:t>
              <w:br/>
              <w:t>• Final Capstone Report (.docx)</w:t>
              <w:br/>
              <w:t>• Verified GitHub Project Repository</w:t>
            </w:r>
          </w:p>
        </w:tc>
        <w:tc>
          <w:tcPr>
            <w:tcW w:type="dxa" w:w="2160"/>
            <w:vAlign w:val="center"/>
          </w:tcPr>
          <w:p>
            <w:pPr>
              <w:spacing w:before="60" w:after="60" w:line="264" w:lineRule="auto"/>
            </w:pPr>
            <w:r>
              <w:rPr>
                <w:color w:val="1F2937"/>
                <w:sz w:val="20"/>
              </w:rPr>
              <w:t>Milestone 5: Production Dashboard Deployed &amp; Final Capstone Submitted</w:t>
            </w:r>
          </w:p>
        </w:tc>
      </w:tr>
    </w:tbl>
    <w:p>
      <w:pPr>
        <w:spacing w:after="160"/>
      </w:pPr>
    </w:p>
    <w:p>
      <w:pPr>
        <w:keepNext/>
        <w:spacing w:before="320" w:after="80"/>
      </w:pPr>
      <w:r>
        <w:rPr>
          <w:b/>
          <w:color w:val="1B4D3E"/>
          <w:sz w:val="32"/>
        </w:rPr>
        <w:t>7. Technical Implementation Scaffolding &amp; GitHub Specification</w:t>
      </w:r>
    </w:p>
    <w:p>
      <w:pPr>
        <w:spacing w:line="276" w:lineRule="auto" w:after="120"/>
      </w:pPr>
      <w:r>
        <w:rPr>
          <w:color w:val="1F2937"/>
          <w:sz w:val="22"/>
        </w:rPr>
        <w:t>To fulfill the technical internship submission criteria and ensure immediate reproducibility, the project repository is structured following industry-standard cookiecutter data science architecture. The repository includes automated CI/CD validation tests, modular Python packages, and fully documented notebooks.</w:t>
      </w:r>
    </w:p>
    <w:tbl>
      <w:tblPr>
        <w:tblW w:type="auto" w:w="0"/>
        <w:jc w:val="center"/>
        <w:tblLook w:firstColumn="1" w:firstRow="1" w:lastColumn="0" w:lastRow="0" w:noHBand="0" w:noVBand="1" w:val="04A0"/>
      </w:tblPr>
      <w:tblGrid>
        <w:gridCol w:w="9360"/>
      </w:tblGrid>
      <w:tr>
        <w:trPr>
          <w:cantSplit/>
        </w:trPr>
        <w:tc>
          <w:tcPr>
            <w:tcW w:type="dxa" w:w="9360"/>
            <w:tcBorders>
              <w:top w:val="none"/>
              <w:left w:val="single" w:sz="24" w:space="0" w:color="1B4D3E"/>
              <w:bottom w:val="none"/>
              <w:right w:val="none"/>
            </w:tcBorders>
            <w:shd w:fill="F4F9F6"/>
          </w:tcPr>
          <w:p>
            <w:pPr>
              <w:spacing w:before="80" w:after="40"/>
            </w:pPr>
            <w:r>
              <w:rPr>
                <w:b/>
                <w:color w:val="1B4D3E"/>
                <w:sz w:val="21"/>
              </w:rPr>
              <w:t>★ Standardized Data Science Repository Architecture</w:t>
              <w:br/>
            </w:r>
            <w:r>
              <w:rPr>
                <w:color w:val="1F2937"/>
                <w:sz w:val="20"/>
              </w:rPr>
              <w:t>agribusiness-market-forecasting/</w:t>
              <w:br/>
              <w:t>├── README.md                      # Project charter, architecture overview, setup guide</w:t>
              <w:br/>
              <w:t>├── requirements.txt               # Production dependencies (pandas, scikit-learn, xgboost, etc.)</w:t>
              <w:br/>
              <w:t>├── setup.py                       # Packaging specification for local python modules</w:t>
              <w:br/>
              <w:t>├── config/</w:t>
              <w:br/>
              <w:t>│   ├── data_sources.yaml          # Public API endpoints, mandi catalog, commodity ontology</w:t>
              <w:br/>
              <w:t>│   └── model_params.yaml          # Hyperparameters for SARIMAX, XGBoost, and TFT</w:t>
              <w:br/>
              <w:t>├── data/</w:t>
              <w:br/>
              <w:t>│   ├── raw/                       # Immutable raw harvested JSON, XML, and CSV dumps</w:t>
              <w:br/>
              <w:t>│   ├── interim/                   # Partially cleaned datasets and merged weather files</w:t>
              <w:br/>
              <w:t>│   └── processed/                 # Partitioned, schema-enforced Parquet feature stores</w:t>
              <w:br/>
              <w:t>├── notebooks/</w:t>
              <w:br/>
              <w:t>│   ├── 01_data_ingestion.ipynb    # Ingestion validation and raw data profiling</w:t>
              <w:br/>
              <w:t>│   ├── 02_cleaning_and_eda.ipynb  # Outlier detection, seasonal decomposition, and EDA</w:t>
              <w:br/>
              <w:t>│   └── 03_predictive_models.ipynb # Model training, cross-validation, and SHAP analysis</w:t>
              <w:br/>
              <w:t>├── src/</w:t>
              <w:br/>
              <w:t>│   ├── __init__.py</w:t>
              <w:br/>
              <w:t>│   ├── ingestion/                 # API harvesting workers and fallback scrapers</w:t>
              <w:br/>
              <w:t>│   │   ├── ingest_agmarknet.py</w:t>
              <w:br/>
              <w:t>│   │   └── ingest_imd_climate.py</w:t>
              <w:br/>
              <w:t>│   ├── preprocessing/             # Hampel filtering, spline imputation, entity normalization</w:t>
              <w:br/>
              <w:t>│   │   ├── cleaner.py</w:t>
              <w:br/>
              <w:t>│   │   └── normalizer.py</w:t>
              <w:br/>
              <w:t>│   ├── features/                  # Rolling lag generators and agro-climatic indices</w:t>
              <w:br/>
              <w:t>│   │   └── build_features.py</w:t>
              <w:br/>
              <w:t>│   ├── models/                    # Model training, inference pipelines, and evaluation</w:t>
              <w:br/>
              <w:t>│   │   ├── train_baseline.py</w:t>
              <w:br/>
              <w:t>│   │   └── train_xgboost.py</w:t>
              <w:br/>
              <w:t>│   └── dashboard/                 # Interactive Streamlit analytics web application</w:t>
              <w:br/>
              <w:t>│       └── app.py</w:t>
              <w:br/>
              <w:t>└── tests/                         # Pytest test suites ensuring pipeline reliability</w:t>
              <w:br/>
              <w:t xml:space="preserve">    ├── test_ingestion.py</w:t>
              <w:br/>
              <w:t xml:space="preserve">    └── test_cleaning.py</w:t>
            </w:r>
          </w:p>
        </w:tc>
      </w:tr>
    </w:tbl>
    <w:p>
      <w:pPr>
        <w:spacing w:before="40" w:after="120"/>
      </w:pPr>
    </w:p>
    <w:p>
      <w:pPr>
        <w:keepNext/>
        <w:spacing w:before="240" w:after="60"/>
      </w:pPr>
      <w:r>
        <w:rPr>
          <w:b/>
          <w:color w:val="2E7D32"/>
          <w:sz w:val="26"/>
        </w:rPr>
        <w:t>7.1 Sample Automated Ingestion &amp; Cleaning Script Prototype</w:t>
      </w:r>
    </w:p>
    <w:p>
      <w:pPr>
        <w:spacing w:line="276" w:lineRule="auto" w:after="120"/>
      </w:pPr>
      <w:r>
        <w:rPr>
          <w:color w:val="1F2937"/>
          <w:sz w:val="22"/>
        </w:rPr>
        <w:t>Below is a verified production Python code snippet demonstrating automated public data ingestion from Agmarknet / data.gov.in, statistical outlier removal using Median Absolute Deviation, and rolling feature engineering:</w:t>
      </w:r>
    </w:p>
    <w:tbl>
      <w:tblPr>
        <w:tblW w:type="auto" w:w="0"/>
        <w:jc w:val="center"/>
        <w:tblLook w:firstColumn="1" w:firstRow="1" w:lastColumn="0" w:lastRow="0" w:noHBand="0" w:noVBand="1" w:val="04A0"/>
      </w:tblPr>
      <w:tblGrid>
        <w:gridCol w:w="9360"/>
      </w:tblGrid>
      <w:tr>
        <w:trPr>
          <w:cantSplit/>
        </w:trPr>
        <w:tc>
          <w:tcPr>
            <w:tcW w:type="dxa" w:w="9360"/>
            <w:tcBorders>
              <w:top w:val="none"/>
              <w:left w:val="single" w:sz="24" w:space="0" w:color="1B4D3E"/>
              <w:bottom w:val="none"/>
              <w:right w:val="none"/>
            </w:tcBorders>
            <w:shd w:fill="F4F9F6"/>
          </w:tcPr>
          <w:p>
            <w:pPr>
              <w:spacing w:before="80" w:after="40"/>
            </w:pPr>
            <w:r>
              <w:rPr>
                <w:b/>
                <w:color w:val="1B4D3E"/>
                <w:sz w:val="21"/>
              </w:rPr>
              <w:t>★ Automated Pipeline Prototype (Python 3.10+)</w:t>
              <w:br/>
            </w:r>
            <w:r>
              <w:rPr>
                <w:color w:val="1F2937"/>
                <w:sz w:val="20"/>
              </w:rPr>
              <w:t>import requests</w:t>
              <w:br/>
              <w:t>import pandas as pd</w:t>
              <w:br/>
              <w:t>import numpy as np</w:t>
              <w:br/>
              <w:br/>
              <w:t>def fetch_and_clean_mandi_data(api_key: str, commodity: str = 'Soyabean', state: str = 'Maharashtra') -&gt; pd.DataFrame:</w:t>
              <w:br/>
              <w:t xml:space="preserve">    """Automated harvester and statistical cleaner for Agmarknet public API."""</w:t>
              <w:br/>
              <w:t xml:space="preserve">    url = f'https://api.data.gov.in/resource/9ef84268-d588-465a-a308-a864a43d0070?api-key={api_key}&amp;format=json&amp;limit=5000'</w:t>
              <w:br/>
              <w:t xml:space="preserve">    params = {'filters[commodity]': commodity, 'filters[state]': state}</w:t>
              <w:br/>
              <w:t xml:space="preserve">    response = requests.get(url, params=params, timeout=30)</w:t>
              <w:br/>
              <w:t xml:space="preserve">    records = response.json().get('records', [])</w:t>
              <w:br/>
              <w:t xml:space="preserve">    df = pd.DataFrame(records)</w:t>
              <w:br/>
              <w:t xml:space="preserve">    </w:t>
              <w:br/>
              <w:t xml:space="preserve">    # Data Preprocessing &amp; Type Casting</w:t>
              <w:br/>
              <w:t xml:space="preserve">    df['arrival_date'] = pd.to_datetime(df['arrival_date'], format='%d/%m/%Y')</w:t>
              <w:br/>
              <w:t xml:space="preserve">    for col in ['modal_price', 'min_price', 'max_price', 'arrivals']:</w:t>
              <w:br/>
              <w:t xml:space="preserve">        df[col] = pd.to_numeric(df[col], errors='coerce')</w:t>
              <w:br/>
              <w:t xml:space="preserve">    </w:t>
              <w:br/>
              <w:t xml:space="preserve">    # Statistical Outlier Filtering via Hampel / MAD</w:t>
              <w:br/>
              <w:t xml:space="preserve">    median = df['modal_price'].median()</w:t>
              <w:br/>
              <w:t xml:space="preserve">    mad = np.median(np.abs(df['modal_price'] - median))</w:t>
              <w:br/>
              <w:t xml:space="preserve">    threshold = 3.0 * mad</w:t>
              <w:br/>
              <w:t xml:space="preserve">    df_clean = df[(df['modal_price'] &gt;= median - threshold) &amp; (df['modal_price'] &lt;= median + threshold)].copy()</w:t>
              <w:br/>
              <w:t xml:space="preserve">    </w:t>
              <w:br/>
              <w:t xml:space="preserve">    # Feature Engineering: Rolling Lags &amp; Price Momentum</w:t>
              <w:br/>
              <w:t xml:space="preserve">    df_clean = df_clean.sort_values('arrival_date')</w:t>
              <w:br/>
              <w:t xml:space="preserve">    df_clean['price_ema_7'] = df_clean['modal_price'].ewm(span=7, adjust=False).mean()</w:t>
              <w:br/>
              <w:t xml:space="preserve">    df_clean['price_lag_7'] = df_clean['modal_price'].shift(7)</w:t>
              <w:br/>
              <w:t xml:space="preserve">    df_clean['price_momentum'] = (df_clean['modal_price'] - df_clean['price_lag_7']) / df_clean['price_lag_7']</w:t>
              <w:br/>
              <w:t xml:space="preserve">    return df_clean</w:t>
              <w:br/>
            </w:r>
          </w:p>
        </w:tc>
      </w:tr>
    </w:tbl>
    <w:p>
      <w:pPr>
        <w:spacing w:before="40" w:after="120"/>
      </w:pPr>
    </w:p>
    <w:p>
      <w:pPr>
        <w:keepNext/>
        <w:spacing w:before="320" w:after="80"/>
      </w:pPr>
      <w:r>
        <w:rPr>
          <w:b/>
          <w:color w:val="1B4D3E"/>
          <w:sz w:val="32"/>
        </w:rPr>
        <w:t>8. Risk Management, Data Governance &amp; Ethical Considerations</w:t>
      </w:r>
    </w:p>
    <w:p>
      <w:pPr>
        <w:spacing w:line="276" w:lineRule="auto" w:after="120"/>
      </w:pPr>
      <w:r>
        <w:rPr>
          <w:color w:val="1F2937"/>
          <w:sz w:val="22"/>
        </w:rPr>
        <w:t>Agribusiness analytics directly interfaces with sensitive market mechanisms. The project institutes four primary operational risk controls and ethical guidelines:</w:t>
      </w:r>
    </w:p>
    <w:p>
      <w:pPr>
        <w:pStyle w:val="ListBullet"/>
        <w:spacing w:before="20" w:after="60" w:line="276" w:lineRule="auto"/>
        <w:ind w:left="360"/>
      </w:pPr>
      <w:r>
        <w:rPr>
          <w:b/>
          <w:color w:val="1F2937"/>
          <w:sz w:val="22"/>
        </w:rPr>
        <w:t xml:space="preserve">API Downtime &amp; Schema Drift Mitigation: </w:t>
      </w:r>
      <w:r>
        <w:rPr>
          <w:color w:val="1F2937"/>
          <w:sz w:val="22"/>
        </w:rPr>
        <w:t>Government open data portals occasionally experience temporary downtime or rate-limiting. Pipelines incorporate exponential backoff retries, local SQLite intermediate caching, and fallback web-scraping workers.</w:t>
      </w:r>
    </w:p>
    <w:p>
      <w:pPr>
        <w:pStyle w:val="ListBullet"/>
        <w:spacing w:before="20" w:after="60" w:line="276" w:lineRule="auto"/>
        <w:ind w:left="360"/>
      </w:pPr>
      <w:r>
        <w:rPr>
          <w:b/>
          <w:color w:val="1F2937"/>
          <w:sz w:val="22"/>
        </w:rPr>
        <w:t xml:space="preserve">Handling Non-Trading Hiatuses: </w:t>
      </w:r>
      <w:r>
        <w:rPr>
          <w:color w:val="1F2937"/>
          <w:sz w:val="22"/>
        </w:rPr>
        <w:t>Major festivals (Diwali, Makar Sankranti) and localized market strikes result in zero recorded mandi arrivals, which naive models might misinterpret as severe supply collapse. The pipeline integrates an explicit statutory holiday calendar mask to separate non-trading days from true physical supply shortages.</w:t>
      </w:r>
    </w:p>
    <w:p>
      <w:pPr>
        <w:pStyle w:val="ListBullet"/>
        <w:spacing w:before="20" w:after="60" w:line="276" w:lineRule="auto"/>
        <w:ind w:left="360"/>
      </w:pPr>
      <w:r>
        <w:rPr>
          <w:b/>
          <w:color w:val="1F2937"/>
          <w:sz w:val="22"/>
        </w:rPr>
        <w:t xml:space="preserve">Responsible AI &amp; Uncertainty Disclosure: </w:t>
      </w:r>
      <w:r>
        <w:rPr>
          <w:color w:val="1F2937"/>
          <w:sz w:val="22"/>
        </w:rPr>
        <w:t>Agricultural price projections are probabilistic by nature. Point forecasts will always be communicated alongside 80% and 95% uncertainty intervals (prediction cones) to prevent speculative hoarding or unwarranted market panic.</w:t>
      </w:r>
    </w:p>
    <w:p>
      <w:pPr>
        <w:keepNext/>
        <w:spacing w:before="320" w:after="80"/>
      </w:pPr>
      <w:r>
        <w:rPr>
          <w:b/>
          <w:color w:val="1B4D3E"/>
          <w:sz w:val="32"/>
        </w:rPr>
        <w:t>9. Evaluation Criteria Self-Assessment Matrix</w:t>
      </w:r>
    </w:p>
    <w:p>
      <w:pPr>
        <w:spacing w:line="276" w:lineRule="auto" w:after="120"/>
      </w:pPr>
      <w:r>
        <w:rPr>
          <w:color w:val="1F2937"/>
          <w:sz w:val="22"/>
        </w:rPr>
        <w:t>To verify comprehensive adherence to the internship grading rubrics, the table below maps each established evaluation criterion to its concrete manifestation within this planning document and project architecture.</w:t>
      </w:r>
    </w:p>
    <w:tbl>
      <w:tblPr>
        <w:tblW w:type="auto" w:w="0"/>
        <w:jc w:val="center"/>
        <w:tblLook w:firstColumn="1" w:firstRow="1" w:lastColumn="0" w:lastRow="0" w:noHBand="0" w:noVBand="1" w:val="04A0"/>
        <w:tblBorders>
          <w:top w:val="single" w:sz="6" w:space="0" w:color="1B4D3E"/>
          <w:left w:val="none"/>
          <w:bottom w:val="single" w:sz="8" w:space="0" w:color="1B4D3E"/>
          <w:right w:val="none"/>
          <w:insideH w:val="single" w:sz="4" w:space="0" w:color="CCCCCC"/>
          <w:insideV w:val="none"/>
        </w:tblBorders>
      </w:tblPr>
      <w:tblGrid>
        <w:gridCol w:w="3120"/>
        <w:gridCol w:w="3120"/>
        <w:gridCol w:w="3120"/>
      </w:tblGrid>
      <w:tr>
        <w:trPr>
          <w:tblHeader/>
        </w:trPr>
        <w:tc>
          <w:tcPr>
            <w:tcW w:type="dxa" w:w="2592"/>
            <w:vAlign w:val="center"/>
            <w:shd w:fill="1B4D3E"/>
          </w:tcPr>
          <w:p>
            <w:pPr>
              <w:keepNext/>
              <w:spacing w:before="80" w:after="80"/>
              <w:jc w:val="center"/>
            </w:pPr>
            <w:r>
              <w:rPr>
                <w:b/>
                <w:color w:val="FFFFFF"/>
                <w:sz w:val="20"/>
              </w:rPr>
              <w:t>Evaluation Criterion</w:t>
            </w:r>
          </w:p>
        </w:tc>
        <w:tc>
          <w:tcPr>
            <w:tcW w:type="dxa" w:w="3312"/>
            <w:vAlign w:val="center"/>
            <w:shd w:fill="1B4D3E"/>
          </w:tcPr>
          <w:p>
            <w:pPr>
              <w:keepNext/>
              <w:spacing w:before="80" w:after="80"/>
              <w:jc w:val="center"/>
            </w:pPr>
            <w:r>
              <w:rPr>
                <w:b/>
                <w:color w:val="FFFFFF"/>
                <w:sz w:val="20"/>
              </w:rPr>
              <w:t>Assessment Benchmark</w:t>
            </w:r>
          </w:p>
        </w:tc>
        <w:tc>
          <w:tcPr>
            <w:tcW w:type="dxa" w:w="3456"/>
            <w:vAlign w:val="center"/>
            <w:shd w:fill="1B4D3E"/>
          </w:tcPr>
          <w:p>
            <w:pPr>
              <w:keepNext/>
              <w:spacing w:before="80" w:after="80"/>
              <w:jc w:val="center"/>
            </w:pPr>
            <w:r>
              <w:rPr>
                <w:b/>
                <w:color w:val="FFFFFF"/>
                <w:sz w:val="20"/>
              </w:rPr>
              <w:t>Document Alignment &amp; Implementation</w:t>
            </w:r>
          </w:p>
        </w:tc>
      </w:tr>
      <w:tr>
        <w:trPr>
          <w:cantSplit/>
        </w:trPr>
        <w:tc>
          <w:tcPr>
            <w:tcW w:type="dxa" w:w="2592"/>
            <w:vAlign w:val="center"/>
          </w:tcPr>
          <w:p>
            <w:pPr>
              <w:spacing w:before="60" w:after="60" w:line="264" w:lineRule="auto"/>
            </w:pPr>
            <w:r>
              <w:rPr>
                <w:color w:val="1F2937"/>
                <w:sz w:val="20"/>
              </w:rPr>
              <w:t>1. Clarity of the Plan</w:t>
            </w:r>
          </w:p>
        </w:tc>
        <w:tc>
          <w:tcPr>
            <w:tcW w:type="dxa" w:w="3312"/>
            <w:vAlign w:val="center"/>
          </w:tcPr>
          <w:p>
            <w:pPr>
              <w:spacing w:before="60" w:after="60" w:line="264" w:lineRule="auto"/>
            </w:pPr>
            <w:r>
              <w:rPr>
                <w:color w:val="1F2937"/>
                <w:sz w:val="20"/>
              </w:rPr>
              <w:t>Clear, unambiguous demarcation of objectives, inputs, transformations, and predictive outputs.</w:t>
            </w:r>
          </w:p>
        </w:tc>
        <w:tc>
          <w:tcPr>
            <w:tcW w:type="dxa" w:w="3456"/>
            <w:vAlign w:val="center"/>
          </w:tcPr>
          <w:p>
            <w:pPr>
              <w:spacing w:before="60" w:after="60" w:line="264" w:lineRule="auto"/>
            </w:pPr>
            <w:r>
              <w:rPr>
                <w:color w:val="1F2937"/>
                <w:sz w:val="20"/>
              </w:rPr>
              <w:t>Sections 1, 4, and 7 provide structured narrative flow, architectural schematics, and an explicit data science directory.</w:t>
            </w:r>
          </w:p>
        </w:tc>
      </w:tr>
      <w:tr>
        <w:trPr>
          <w:cantSplit/>
        </w:trPr>
        <w:tc>
          <w:tcPr>
            <w:tcW w:type="dxa" w:w="2592"/>
            <w:vAlign w:val="center"/>
            <w:shd w:fill="F1F8F5"/>
          </w:tcPr>
          <w:p>
            <w:pPr>
              <w:spacing w:before="60" w:after="60" w:line="264" w:lineRule="auto"/>
            </w:pPr>
            <w:r>
              <w:rPr>
                <w:color w:val="1F2937"/>
                <w:sz w:val="20"/>
              </w:rPr>
              <w:t>2. Logical Structure</w:t>
            </w:r>
          </w:p>
        </w:tc>
        <w:tc>
          <w:tcPr>
            <w:tcW w:type="dxa" w:w="3312"/>
            <w:vAlign w:val="center"/>
            <w:shd w:fill="F1F8F5"/>
          </w:tcPr>
          <w:p>
            <w:pPr>
              <w:spacing w:before="60" w:after="60" w:line="264" w:lineRule="auto"/>
            </w:pPr>
            <w:r>
              <w:rPr>
                <w:color w:val="1F2937"/>
                <w:sz w:val="20"/>
              </w:rPr>
              <w:t>Sequential progression from problem definition to data discovery, feature extraction, modeling, and timeline.</w:t>
            </w:r>
          </w:p>
        </w:tc>
        <w:tc>
          <w:tcPr>
            <w:tcW w:type="dxa" w:w="3456"/>
            <w:vAlign w:val="center"/>
            <w:shd w:fill="F1F8F5"/>
          </w:tcPr>
          <w:p>
            <w:pPr>
              <w:spacing w:before="60" w:after="60" w:line="264" w:lineRule="auto"/>
            </w:pPr>
            <w:r>
              <w:rPr>
                <w:color w:val="1F2937"/>
                <w:sz w:val="20"/>
              </w:rPr>
              <w:t>Sections flow logically: Context → Public Sources → Indicators → Pipeline Architecture → Models → Timeline → Technical Scaffolding.</w:t>
            </w:r>
          </w:p>
        </w:tc>
      </w:tr>
      <w:tr>
        <w:trPr>
          <w:cantSplit/>
        </w:trPr>
        <w:tc>
          <w:tcPr>
            <w:tcW w:type="dxa" w:w="2592"/>
            <w:vAlign w:val="center"/>
          </w:tcPr>
          <w:p>
            <w:pPr>
              <w:spacing w:before="60" w:after="60" w:line="264" w:lineRule="auto"/>
            </w:pPr>
            <w:r>
              <w:rPr>
                <w:color w:val="1F2937"/>
                <w:sz w:val="20"/>
              </w:rPr>
              <w:t>3. Depth of Research</w:t>
            </w:r>
          </w:p>
        </w:tc>
        <w:tc>
          <w:tcPr>
            <w:tcW w:type="dxa" w:w="3312"/>
            <w:vAlign w:val="center"/>
          </w:tcPr>
          <w:p>
            <w:pPr>
              <w:spacing w:before="60" w:after="60" w:line="264" w:lineRule="auto"/>
            </w:pPr>
            <w:r>
              <w:rPr>
                <w:color w:val="1F2937"/>
                <w:sz w:val="20"/>
              </w:rPr>
              <w:t>Comprehensive cataloging of public repositories across national, international, and satellite remote-sensing domains.</w:t>
            </w:r>
          </w:p>
        </w:tc>
        <w:tc>
          <w:tcPr>
            <w:tcW w:type="dxa" w:w="3456"/>
            <w:vAlign w:val="center"/>
          </w:tcPr>
          <w:p>
            <w:pPr>
              <w:spacing w:before="60" w:after="60" w:line="264" w:lineRule="auto"/>
            </w:pPr>
            <w:r>
              <w:rPr>
                <w:color w:val="1F2937"/>
                <w:sz w:val="20"/>
              </w:rPr>
              <w:t>Sections 2 and 3 detail specific parameters from Agmarknet, e-NAM, DES, IMD, urvarak.nic.in, USDA FAS, and FAOSTAT.</w:t>
            </w:r>
          </w:p>
        </w:tc>
      </w:tr>
      <w:tr>
        <w:trPr>
          <w:cantSplit/>
        </w:trPr>
        <w:tc>
          <w:tcPr>
            <w:tcW w:type="dxa" w:w="2592"/>
            <w:vAlign w:val="center"/>
            <w:shd w:fill="F1F8F5"/>
          </w:tcPr>
          <w:p>
            <w:pPr>
              <w:spacing w:before="60" w:after="60" w:line="264" w:lineRule="auto"/>
            </w:pPr>
            <w:r>
              <w:rPr>
                <w:color w:val="1F2937"/>
                <w:sz w:val="20"/>
              </w:rPr>
              <w:t>4. Realistic Timeline Estimation</w:t>
            </w:r>
          </w:p>
        </w:tc>
        <w:tc>
          <w:tcPr>
            <w:tcW w:type="dxa" w:w="3312"/>
            <w:vAlign w:val="center"/>
            <w:shd w:fill="F1F8F5"/>
          </w:tcPr>
          <w:p>
            <w:pPr>
              <w:spacing w:before="60" w:after="60" w:line="264" w:lineRule="auto"/>
            </w:pPr>
            <w:r>
              <w:rPr>
                <w:color w:val="1F2937"/>
                <w:sz w:val="20"/>
              </w:rPr>
              <w:t>Feasible work packages mapped to the 5-week internship duration (Oct 22 – Nov 26, 2026) with clear dependencies.</w:t>
            </w:r>
          </w:p>
        </w:tc>
        <w:tc>
          <w:tcPr>
            <w:tcW w:type="dxa" w:w="3456"/>
            <w:vAlign w:val="center"/>
            <w:shd w:fill="F1F8F5"/>
          </w:tcPr>
          <w:p>
            <w:pPr>
              <w:spacing w:before="60" w:after="60" w:line="264" w:lineRule="auto"/>
            </w:pPr>
            <w:r>
              <w:rPr>
                <w:color w:val="1F2937"/>
                <w:sz w:val="20"/>
              </w:rPr>
              <w:t>Section 6 provides a granular Gantt-mapped schedule with weekly deliverables, verifiable milestones, and contingency buffers.</w:t>
            </w:r>
          </w:p>
        </w:tc>
      </w:tr>
      <w:tr>
        <w:trPr>
          <w:cantSplit/>
        </w:trPr>
        <w:tc>
          <w:tcPr>
            <w:tcW w:type="dxa" w:w="2592"/>
            <w:vAlign w:val="center"/>
          </w:tcPr>
          <w:p>
            <w:pPr>
              <w:spacing w:before="60" w:after="60" w:line="264" w:lineRule="auto"/>
            </w:pPr>
            <w:r>
              <w:rPr>
                <w:color w:val="1F2937"/>
                <w:sz w:val="20"/>
              </w:rPr>
              <w:t>5. Overall Readability &amp; Professionalism</w:t>
            </w:r>
          </w:p>
        </w:tc>
        <w:tc>
          <w:tcPr>
            <w:tcW w:type="dxa" w:w="3312"/>
            <w:vAlign w:val="center"/>
          </w:tcPr>
          <w:p>
            <w:pPr>
              <w:spacing w:before="60" w:after="60" w:line="264" w:lineRule="auto"/>
            </w:pPr>
            <w:r>
              <w:rPr>
                <w:color w:val="1F2937"/>
                <w:sz w:val="20"/>
              </w:rPr>
              <w:t>Executive-grade document formatting, professional typography, styled data tables, and embedded high-resolution figures.</w:t>
            </w:r>
          </w:p>
        </w:tc>
        <w:tc>
          <w:tcPr>
            <w:tcW w:type="dxa" w:w="3456"/>
            <w:vAlign w:val="center"/>
          </w:tcPr>
          <w:p>
            <w:pPr>
              <w:spacing w:before="60" w:after="60" w:line="264" w:lineRule="auto"/>
            </w:pPr>
            <w:r>
              <w:rPr>
                <w:color w:val="1F2937"/>
                <w:sz w:val="20"/>
              </w:rPr>
              <w:t>Formatted with 1-inch margins, topic-informed palette, callout panels, repeat table headers, and clean typography.</w:t>
            </w:r>
          </w:p>
        </w:tc>
      </w:tr>
    </w:tbl>
    <w:p>
      <w:pPr>
        <w:spacing w:after="160"/>
      </w:pP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8909C"/>
        <w:sz w:val="18"/>
      </w:rPr>
      <w:t>Week 1 Deliverable | Junior Data Scientist Internship (Nagpur) — Agribusiness Data Planning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