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1CE56" w14:textId="77777777" w:rsidR="00CD51C4" w:rsidRPr="00CD51C4" w:rsidRDefault="00CD51C4" w:rsidP="00CD51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D51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Competitor Analysis Table</w:t>
      </w:r>
    </w:p>
    <w:tbl>
      <w:tblPr>
        <w:tblW w:w="1521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8"/>
        <w:gridCol w:w="4861"/>
        <w:gridCol w:w="4482"/>
        <w:gridCol w:w="4660"/>
      </w:tblGrid>
      <w:tr w:rsidR="00264636" w:rsidRPr="002F6A1A" w14:paraId="44E68A77" w14:textId="77777777" w:rsidTr="00264636">
        <w:trPr>
          <w:trHeight w:val="30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855C9D" w14:textId="77777777" w:rsidR="00264636" w:rsidRPr="00CD51C4" w:rsidRDefault="00264636" w:rsidP="00CD51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Company</w:t>
            </w:r>
          </w:p>
        </w:tc>
        <w:tc>
          <w:tcPr>
            <w:tcW w:w="0" w:type="auto"/>
            <w:vAlign w:val="center"/>
            <w:hideMark/>
          </w:tcPr>
          <w:p w14:paraId="683E9C52" w14:textId="77777777" w:rsidR="00264636" w:rsidRPr="00CD51C4" w:rsidRDefault="00264636" w:rsidP="00CD51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Tech Stack</w:t>
            </w:r>
          </w:p>
        </w:tc>
        <w:tc>
          <w:tcPr>
            <w:tcW w:w="0" w:type="auto"/>
            <w:vAlign w:val="center"/>
            <w:hideMark/>
          </w:tcPr>
          <w:p w14:paraId="44FFD2DA" w14:textId="77777777" w:rsidR="00264636" w:rsidRPr="00CD51C4" w:rsidRDefault="00264636" w:rsidP="00CD51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Product Specs</w:t>
            </w:r>
          </w:p>
        </w:tc>
        <w:tc>
          <w:tcPr>
            <w:tcW w:w="0" w:type="auto"/>
            <w:vAlign w:val="center"/>
            <w:hideMark/>
          </w:tcPr>
          <w:p w14:paraId="72EB3894" w14:textId="77777777" w:rsidR="00264636" w:rsidRPr="00CD51C4" w:rsidRDefault="00264636" w:rsidP="00CD51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  <w:t>Regulations/Standards Used</w:t>
            </w:r>
          </w:p>
        </w:tc>
      </w:tr>
      <w:tr w:rsidR="00264636" w:rsidRPr="002F6A1A" w14:paraId="0E4AE9A4" w14:textId="77777777" w:rsidTr="00264636">
        <w:trPr>
          <w:trHeight w:val="3975"/>
          <w:tblCellSpacing w:w="15" w:type="dxa"/>
        </w:trPr>
        <w:tc>
          <w:tcPr>
            <w:tcW w:w="0" w:type="auto"/>
            <w:vAlign w:val="center"/>
            <w:hideMark/>
          </w:tcPr>
          <w:p w14:paraId="5B5AC514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CO2 AI</w:t>
            </w:r>
          </w:p>
        </w:tc>
        <w:tc>
          <w:tcPr>
            <w:tcW w:w="0" w:type="auto"/>
            <w:vAlign w:val="center"/>
            <w:hideMark/>
          </w:tcPr>
          <w:p w14:paraId="444785E7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- Frontend: React, jQuery,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Webflow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- Backend/Infrastructure: AWS (S3, Lambda, CloudFront), nginx, Varnish - Analytics/Tracking: Google Analytics 4,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Hubspot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, Google Tag Manager - Other: Sentry for error tracking, Slack integration, AI/ML models for emission factor matching (proprietary, not detailed publicly) - Deployment: HTTPS/SSL, Cloudflare for CDN</w:t>
            </w:r>
          </w:p>
        </w:tc>
        <w:tc>
          <w:tcPr>
            <w:tcW w:w="0" w:type="auto"/>
            <w:vAlign w:val="center"/>
            <w:hideMark/>
          </w:tcPr>
          <w:p w14:paraId="06E8CF81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- Enterprise-scale AI platform for automating corporate and product carbon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footprinting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- Matches millions of activity data points to emission factors in minutes - Handles thousands of SKUs for product-level emissions allocation - Supplier data integration and benchmarking for Scope 3 - Decarbonization strategy tools with ROI projections (e.g., 300% ROI from year one, 70% time savings) - Used in supply chains, including chemicals/biotech manufacturing for precise footprints</w:t>
            </w:r>
          </w:p>
        </w:tc>
        <w:tc>
          <w:tcPr>
            <w:tcW w:w="0" w:type="auto"/>
            <w:vAlign w:val="center"/>
            <w:hideMark/>
          </w:tcPr>
          <w:p w14:paraId="7650A15A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- Compliant with GHG Protocol (full accreditation) - Product Environmental Footprint (PEF) - Partnership for Carbon Transparency (PACT) - Together for Sustainability (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TfS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 - Aligns with ISO 14064 for verification</w:t>
            </w:r>
          </w:p>
        </w:tc>
      </w:tr>
      <w:tr w:rsidR="00264636" w:rsidRPr="002F6A1A" w14:paraId="44176E30" w14:textId="77777777" w:rsidTr="00264636">
        <w:trPr>
          <w:trHeight w:val="3665"/>
          <w:tblCellSpacing w:w="15" w:type="dxa"/>
        </w:trPr>
        <w:tc>
          <w:tcPr>
            <w:tcW w:w="0" w:type="auto"/>
            <w:vAlign w:val="center"/>
            <w:hideMark/>
          </w:tcPr>
          <w:p w14:paraId="6AF1FA4A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CodeCarbon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1BCE2F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- Language: Python (core library) - Key Libraries: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psutil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(for CPU/RAM monitoring),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pynvml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/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nvidia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-ml-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py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(for GPU power), requests (for API calls to carbon intensity data) - Dependencies (inferred from docs/GitHub): pandas (data handling), matplotlib (visualizations),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prometheus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-client (metrics export),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logfire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(logging) - Installation: pip/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conda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; supports cloud (e.g., Google Cloud intensity data) - Outputs: CSV, Prometheus, HTTP endpoints for real-time tracking</w:t>
            </w:r>
          </w:p>
        </w:tc>
        <w:tc>
          <w:tcPr>
            <w:tcW w:w="0" w:type="auto"/>
            <w:vAlign w:val="center"/>
            <w:hideMark/>
          </w:tcPr>
          <w:p w14:paraId="25C1D118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- Open-source Python package for tracking CO2 emissions from compute resources (GPU + CPU + RAM) - Integrates via decorators/trackers in ML code for real-time estimation - Applies regional carbon intensity to power consumption - Widely used in ML/biotech for experiment tracking (e.g., model training emissions) - Features: Cloud support, offline mode with defaults, emissions calculator for papers</w:t>
            </w:r>
          </w:p>
        </w:tc>
        <w:tc>
          <w:tcPr>
            <w:tcW w:w="0" w:type="auto"/>
            <w:vAlign w:val="center"/>
            <w:hideMark/>
          </w:tcPr>
          <w:p w14:paraId="09EF803E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- Methodology aligned with GHG Protocol for Scope 2 (electricity emissions) - Carbon intensity sources: Electricity Maps API (real-time regional data), Google Cloud published intensities, weighted averages from energy sources (coal, gas, etc.) - No formal certification, but uses standard emission factors from public datasets</w:t>
            </w:r>
          </w:p>
        </w:tc>
      </w:tr>
      <w:tr w:rsidR="00264636" w:rsidRPr="002F6A1A" w14:paraId="6C63F5BA" w14:textId="77777777" w:rsidTr="00264636">
        <w:trPr>
          <w:trHeight w:val="3665"/>
          <w:tblCellSpacing w:w="15" w:type="dxa"/>
        </w:trPr>
        <w:tc>
          <w:tcPr>
            <w:tcW w:w="0" w:type="auto"/>
            <w:vAlign w:val="center"/>
            <w:hideMark/>
          </w:tcPr>
          <w:p w14:paraId="51EB12F5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lastRenderedPageBreak/>
              <w:t>Eco2AI</w:t>
            </w:r>
          </w:p>
        </w:tc>
        <w:tc>
          <w:tcPr>
            <w:tcW w:w="0" w:type="auto"/>
            <w:vAlign w:val="center"/>
            <w:hideMark/>
          </w:tcPr>
          <w:p w14:paraId="424333F2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- Language: Python (core library) - Key Libraries: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psutil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(hardware monitoring),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GPUtil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or similar for GPU, requests for regional data - Dependencies (inferred from docs/GitHub): pandas (logging),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numpy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(calculations) - Installation: pip; records to local files (JSON/CSV) - Supports decorators for function-level tracking</w:t>
            </w:r>
          </w:p>
        </w:tc>
        <w:tc>
          <w:tcPr>
            <w:tcW w:w="0" w:type="auto"/>
            <w:vAlign w:val="center"/>
            <w:hideMark/>
          </w:tcPr>
          <w:p w14:paraId="272C96D1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- Open-source Python library for CO2 emission tracking in code, focused on ML models - Monitors CPU/GPU energy in real-time, estimates emissions using regional coefficients - Logs details: duration, power (kWh), emissions (kg CO2), hardware specs, OS/country - Examples in biotech/ML: Training large models like </w:t>
            </w:r>
            <w:proofErr w:type="spellStart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ruDALL</w:t>
            </w:r>
            <w:proofErr w:type="spellEnd"/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-E (1.3B/12B params) with optimizations reducing energy by 10% - Global average fallback (436.529 kg/MWh from 2022 review)</w:t>
            </w:r>
          </w:p>
        </w:tc>
        <w:tc>
          <w:tcPr>
            <w:tcW w:w="0" w:type="auto"/>
            <w:vAlign w:val="center"/>
            <w:hideMark/>
          </w:tcPr>
          <w:p w14:paraId="1F5A75BF" w14:textId="77777777" w:rsidR="00264636" w:rsidRPr="00CD51C4" w:rsidRDefault="00264636" w:rsidP="00CD51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CD51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- Aligned with GHG Protocol Scope 2 methodologies for energy/electricity - Uses regional CO2 coefficients for accuracy; global average from Global Electricity Review (2022) - Emphasis on sustainable AI tracking, no formal ISO/GHG certification but supports research compliance</w:t>
            </w:r>
          </w:p>
        </w:tc>
      </w:tr>
    </w:tbl>
    <w:p w14:paraId="0B78C5FC" w14:textId="6FCBA775" w:rsidR="00D37FEC" w:rsidRPr="002F6A1A" w:rsidRDefault="00D37FEC" w:rsidP="00CD51C4">
      <w:pPr>
        <w:spacing w:line="240" w:lineRule="auto"/>
        <w:jc w:val="both"/>
        <w:rPr>
          <w:sz w:val="22"/>
          <w:szCs w:val="22"/>
        </w:rPr>
      </w:pPr>
    </w:p>
    <w:p w14:paraId="26B4CF4E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67D90950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2208A766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50BB7EB9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52DF303E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63B19F60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0E3482F3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3157E3B5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6237CB6B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05B9886F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405709B4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5FB1F768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7BA44BF5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3039519C" w14:textId="77777777" w:rsidR="002F6A1A" w:rsidRPr="002F6A1A" w:rsidRDefault="002F6A1A" w:rsidP="00CD51C4">
      <w:pPr>
        <w:spacing w:line="240" w:lineRule="auto"/>
        <w:jc w:val="both"/>
        <w:rPr>
          <w:sz w:val="22"/>
          <w:szCs w:val="22"/>
        </w:rPr>
      </w:pPr>
    </w:p>
    <w:p w14:paraId="73D0087A" w14:textId="13671925" w:rsidR="002F6A1A" w:rsidRDefault="002F6A1A" w:rsidP="00CD51C4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D51C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CO2 AI</w:t>
      </w:r>
    </w:p>
    <w:p w14:paraId="692CEC0A" w14:textId="77777777" w:rsidR="002F6A1A" w:rsidRDefault="002F6A1A" w:rsidP="00CD51C4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75C62F7" w14:textId="7536F4B9" w:rsidR="002F6A1A" w:rsidRDefault="002F6A1A" w:rsidP="00CD51C4">
      <w:pPr>
        <w:spacing w:line="240" w:lineRule="auto"/>
        <w:jc w:val="both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4221EFF" wp14:editId="2B182908">
            <wp:extent cx="3376246" cy="3797873"/>
            <wp:effectExtent l="0" t="0" r="2540" b="0"/>
            <wp:docPr id="72508660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6606" name="Picture 1" descr="A screenshot of a black screen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54" cy="390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92FBBF5" wp14:editId="2A7177E8">
            <wp:extent cx="3234973" cy="3798277"/>
            <wp:effectExtent l="0" t="0" r="3810" b="0"/>
            <wp:docPr id="664985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85487" name="Picture 6649854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03" cy="38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7E2">
        <w:rPr>
          <w:b/>
          <w:bCs/>
          <w:noProof/>
          <w:sz w:val="36"/>
          <w:szCs w:val="36"/>
        </w:rPr>
        <w:drawing>
          <wp:inline distT="0" distB="0" distL="0" distR="0" wp14:anchorId="5857614E" wp14:editId="09695275">
            <wp:extent cx="3043768" cy="3465449"/>
            <wp:effectExtent l="0" t="0" r="4445" b="1905"/>
            <wp:docPr id="1350217983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17983" name="Picture 3" descr="A screenshot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708" cy="347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C277" w14:textId="77777777" w:rsidR="00E347E2" w:rsidRPr="00E347E2" w:rsidRDefault="00E347E2" w:rsidP="00E347E2">
      <w:pPr>
        <w:rPr>
          <w:sz w:val="36"/>
          <w:szCs w:val="36"/>
        </w:rPr>
      </w:pPr>
    </w:p>
    <w:p w14:paraId="41073ABB" w14:textId="77777777" w:rsidR="00E347E2" w:rsidRPr="00E347E2" w:rsidRDefault="00E347E2" w:rsidP="00E347E2">
      <w:pPr>
        <w:rPr>
          <w:sz w:val="36"/>
          <w:szCs w:val="36"/>
        </w:rPr>
      </w:pPr>
    </w:p>
    <w:p w14:paraId="31B94BD7" w14:textId="77777777" w:rsidR="00E347E2" w:rsidRDefault="00E347E2" w:rsidP="00E347E2">
      <w:pPr>
        <w:rPr>
          <w:b/>
          <w:bCs/>
          <w:noProof/>
          <w:sz w:val="36"/>
          <w:szCs w:val="36"/>
        </w:rPr>
      </w:pPr>
    </w:p>
    <w:p w14:paraId="749E205A" w14:textId="714C2583" w:rsidR="00E347E2" w:rsidRDefault="00E347E2" w:rsidP="00E347E2">
      <w:pPr>
        <w:tabs>
          <w:tab w:val="left" w:pos="22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3289CF7" w14:textId="77777777" w:rsidR="00E347E2" w:rsidRDefault="00E347E2" w:rsidP="00E347E2">
      <w:pPr>
        <w:tabs>
          <w:tab w:val="left" w:pos="2240"/>
        </w:tabs>
        <w:rPr>
          <w:sz w:val="36"/>
          <w:szCs w:val="36"/>
        </w:rPr>
      </w:pPr>
    </w:p>
    <w:p w14:paraId="302DE3D7" w14:textId="43ED7AF3" w:rsidR="00E347E2" w:rsidRDefault="00E347E2" w:rsidP="00E347E2">
      <w:pPr>
        <w:tabs>
          <w:tab w:val="left" w:pos="2240"/>
        </w:tabs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CD51C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CodeCarbon</w:t>
      </w:r>
      <w:proofErr w:type="spellEnd"/>
    </w:p>
    <w:p w14:paraId="655B22BD" w14:textId="0E77D0C9" w:rsidR="00E347E2" w:rsidRDefault="00E347E2" w:rsidP="00E347E2">
      <w:pPr>
        <w:tabs>
          <w:tab w:val="left" w:pos="2240"/>
        </w:tabs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DA931D4" wp14:editId="6A84D745">
            <wp:extent cx="3472788" cy="3904810"/>
            <wp:effectExtent l="0" t="0" r="0" b="0"/>
            <wp:docPr id="829323746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23746" name="Picture 4" descr="A screenshot of a pho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55" cy="40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0" distR="0" wp14:anchorId="25915815" wp14:editId="6FA568BD">
            <wp:extent cx="5133049" cy="2874274"/>
            <wp:effectExtent l="0" t="0" r="0" b="0"/>
            <wp:docPr id="134065774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57748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070" cy="29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0" distR="0" wp14:anchorId="2EC1DAF6" wp14:editId="358D5101">
            <wp:extent cx="2362954" cy="2263140"/>
            <wp:effectExtent l="0" t="0" r="0" b="0"/>
            <wp:docPr id="17820251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25109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983" cy="232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1B7" w14:textId="77777777" w:rsidR="00E347E2" w:rsidRDefault="00E347E2" w:rsidP="00E347E2">
      <w:pPr>
        <w:tabs>
          <w:tab w:val="left" w:pos="2240"/>
        </w:tabs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CD51C4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  <w:lastRenderedPageBreak/>
        <w:t>Eco2AI</w:t>
      </w:r>
    </w:p>
    <w:p w14:paraId="3AE54DB8" w14:textId="0D19E5B0" w:rsidR="00E347E2" w:rsidRPr="00E347E2" w:rsidRDefault="00E347E2" w:rsidP="00E347E2">
      <w:pPr>
        <w:tabs>
          <w:tab w:val="left" w:pos="2240"/>
        </w:tabs>
        <w:rPr>
          <w:b/>
          <w:bCs/>
          <w:sz w:val="200"/>
          <w:szCs w:val="200"/>
        </w:rPr>
      </w:pPr>
      <w:r>
        <w:rPr>
          <w:b/>
          <w:bCs/>
          <w:noProof/>
          <w:sz w:val="200"/>
          <w:szCs w:val="200"/>
        </w:rPr>
        <w:drawing>
          <wp:inline distT="0" distB="0" distL="0" distR="0" wp14:anchorId="21875C53" wp14:editId="03A59227">
            <wp:extent cx="4165600" cy="5765800"/>
            <wp:effectExtent l="0" t="0" r="0" b="0"/>
            <wp:docPr id="183257237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72376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0"/>
          <w:szCs w:val="200"/>
        </w:rPr>
        <w:t xml:space="preserve"> </w:t>
      </w:r>
    </w:p>
    <w:sectPr w:rsidR="00E347E2" w:rsidRPr="00E347E2" w:rsidSect="00CD51C4">
      <w:type w:val="continuous"/>
      <w:pgSz w:w="16840" w:h="11920" w:orient="landscape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1C4"/>
    <w:rsid w:val="00264636"/>
    <w:rsid w:val="002F6A1A"/>
    <w:rsid w:val="00444A9D"/>
    <w:rsid w:val="00571C5C"/>
    <w:rsid w:val="006C1703"/>
    <w:rsid w:val="00725CB1"/>
    <w:rsid w:val="007966DE"/>
    <w:rsid w:val="007F7AC4"/>
    <w:rsid w:val="00B51876"/>
    <w:rsid w:val="00CC26E5"/>
    <w:rsid w:val="00CD51C4"/>
    <w:rsid w:val="00D37FEC"/>
    <w:rsid w:val="00E044EF"/>
    <w:rsid w:val="00E3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04D48"/>
  <w15:chartTrackingRefBased/>
  <w15:docId w15:val="{24CD5F3B-4D7A-EB4D-B940-10D3831D5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1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1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51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1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1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1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1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1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1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1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1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D51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1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1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1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1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1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1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51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51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1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51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51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51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1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51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1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1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51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Aymen Maqsood Mulbagal</dc:creator>
  <cp:keywords/>
  <dc:description/>
  <cp:lastModifiedBy>Aymen Maqsood Mulbagal</cp:lastModifiedBy>
  <cp:revision>2</cp:revision>
  <dcterms:created xsi:type="dcterms:W3CDTF">2025-09-09T20:27:00Z</dcterms:created>
  <dcterms:modified xsi:type="dcterms:W3CDTF">2025-09-10T13:11:00Z</dcterms:modified>
</cp:coreProperties>
</file>