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183C5D"/>
          <w:sz w:val="40"/>
        </w:rPr>
        <w:t>MULUGETA GEREMEW GELESO</w:t>
      </w:r>
    </w:p>
    <w:p>
      <w:pPr>
        <w:spacing w:after="20"/>
        <w:jc w:val="center"/>
      </w:pPr>
      <w:r>
        <w:rPr>
          <w:b/>
          <w:color w:val="117C8B"/>
          <w:sz w:val="21"/>
        </w:rPr>
        <w:t>Executive Professional CV | Public Health Modelling, Analytics &amp; Data-to-Policy Leadership</w:t>
      </w:r>
    </w:p>
    <w:p>
      <w:pPr>
        <w:spacing w:after="160"/>
        <w:jc w:val="center"/>
      </w:pPr>
      <w:r>
        <w:rPr>
          <w:color w:val="5A6473"/>
          <w:sz w:val="17"/>
        </w:rPr>
        <w:t>Addis Ababa, Ethiopia | +251-913731672 | mulerger@gmail.com | LinkedIn: linkedin.com/in/mulugeta-geremew-0485729a | GitHub: github.com/mulerger</w:t>
      </w:r>
    </w:p>
    <w:p>
      <w:pPr>
        <w:spacing w:before="120" w:after="40"/>
        <w:pBdr>
          <w:bottom w:val="single" w:sz="6" w:space="1" w:color="117C8B"/>
        </w:pBdr>
      </w:pPr>
      <w:r>
        <w:rPr>
          <w:b/>
          <w:color w:val="183C5D"/>
          <w:sz w:val="22"/>
        </w:rPr>
        <w:t>EXECUTIVE VALUE PROPOSITION</w:t>
      </w:r>
    </w:p>
    <w:p>
      <w:pPr>
        <w:spacing w:after="80"/>
      </w:pPr>
      <w:r>
        <w:rPr>
          <w:sz w:val="19"/>
        </w:rPr>
        <w:t>Public health modelling and analytics leader with 10+ years of experience building evidence systems for national decision-making. Combines senior institutional leadership, disease modelling, AI-enabled analytics, grant management and stakeholder engagement to translate health data into policy action. Strong fit for senior roles in global health analytics, disease modelling, public health intelligence, health data systems, research leadership, programme strategy and technical advisory positions.</w:t>
      </w:r>
    </w:p>
    <w:p>
      <w:pPr>
        <w:spacing w:before="120" w:after="40"/>
        <w:pBdr>
          <w:bottom w:val="single" w:sz="6" w:space="1" w:color="117C8B"/>
        </w:pBdr>
      </w:pPr>
      <w:r>
        <w:rPr>
          <w:b/>
          <w:color w:val="183C5D"/>
          <w:sz w:val="22"/>
        </w:rPr>
        <w:t>CAREER HIGHLIGHTS</w:t>
      </w:r>
    </w:p>
    <w:p>
      <w:pPr>
        <w:pStyle w:val="ListBullet"/>
        <w:spacing w:after="30"/>
        <w:ind w:left="259" w:hanging="173"/>
      </w:pPr>
      <w:r>
        <w:rPr>
          <w:sz w:val="18"/>
        </w:rPr>
        <w:t>Head of the Data Analytics, Modelling and Visualization Division at EPHI's National Data Management and Analytics Center for Health.</w:t>
      </w:r>
    </w:p>
    <w:p>
      <w:pPr>
        <w:pStyle w:val="ListBullet"/>
        <w:spacing w:after="30"/>
        <w:ind w:left="259" w:hanging="173"/>
      </w:pPr>
      <w:r>
        <w:rPr>
          <w:sz w:val="18"/>
        </w:rPr>
        <w:t>Principal Investigator of a USD 2.8M Gates Foundation investment strengthening disease modelling capacity for Ethiopian health policy.</w:t>
      </w:r>
    </w:p>
    <w:p>
      <w:pPr>
        <w:pStyle w:val="ListBullet"/>
        <w:spacing w:after="30"/>
        <w:ind w:left="259" w:hanging="173"/>
      </w:pPr>
      <w:r>
        <w:rPr>
          <w:sz w:val="18"/>
        </w:rPr>
        <w:t>Co-Investigator/partner on major Gates Foundation and Wellcome Trust investments exceeding USD 9M in combined portfolio value.</w:t>
      </w:r>
    </w:p>
    <w:p>
      <w:pPr>
        <w:pStyle w:val="ListBullet"/>
        <w:spacing w:after="30"/>
        <w:ind w:left="259" w:hanging="173"/>
      </w:pPr>
      <w:r>
        <w:rPr>
          <w:sz w:val="18"/>
        </w:rPr>
        <w:t>Stakeholder Group Member of the Vaccine Impact Modelling Consortium, contributing to policy-relevant vaccine impact modelling priorities.</w:t>
      </w:r>
    </w:p>
    <w:p>
      <w:pPr>
        <w:pStyle w:val="ListBullet"/>
        <w:spacing w:after="30"/>
        <w:ind w:left="259" w:hanging="173"/>
      </w:pPr>
      <w:r>
        <w:rPr>
          <w:sz w:val="18"/>
        </w:rPr>
        <w:t>Invited speaker at international and regional forums, including IIT Bombay's International Conference on Modelling and Informatics for Public Health and the World Health Summit Regional Meeting 2026.</w:t>
      </w:r>
    </w:p>
    <w:p>
      <w:pPr>
        <w:pStyle w:val="ListBullet"/>
        <w:spacing w:after="30"/>
        <w:ind w:left="259" w:hanging="173"/>
      </w:pPr>
      <w:r>
        <w:rPr>
          <w:sz w:val="18"/>
        </w:rPr>
        <w:t>Track record translating analytics into national planning for malaria, measles, TB, immunization, RMNCHN and outbreak preparedness.</w:t>
      </w:r>
    </w:p>
    <w:p>
      <w:pPr>
        <w:spacing w:before="120" w:after="40"/>
        <w:pBdr>
          <w:bottom w:val="single" w:sz="6" w:space="1" w:color="117C8B"/>
        </w:pBdr>
      </w:pPr>
      <w:r>
        <w:rPr>
          <w:b/>
          <w:color w:val="183C5D"/>
          <w:sz w:val="22"/>
        </w:rPr>
        <w:t>CORE COMPETENCIES</w:t>
      </w:r>
    </w:p>
    <w:tbl>
      <w:tblPr>
        <w:tblStyle w:val="TableGrid"/>
        <w:tblW w:type="auto" w:w="0"/>
        <w:jc w:val="center"/>
        <w:tblLook w:firstColumn="1" w:firstRow="1" w:lastColumn="0" w:lastRow="0" w:noHBand="0" w:noVBand="1" w:val="04A0"/>
      </w:tblPr>
      <w:tblGrid>
        <w:gridCol w:w="5227"/>
        <w:gridCol w:w="5227"/>
      </w:tblGrid>
      <w:tr>
        <w:tc>
          <w:tcPr>
            <w:tcW w:type="dxa" w:w="2592"/>
            <w:shd w:fill="183C5D"/>
          </w:tcPr>
          <w:p>
            <w:pPr>
              <w:spacing w:after="0"/>
            </w:pPr>
            <w:r/>
            <w:r>
              <w:rPr>
                <w:rFonts w:ascii="Arial" w:hAnsi="Arial"/>
                <w:b/>
                <w:color w:val="FFFFFF"/>
                <w:sz w:val="17"/>
              </w:rPr>
              <w:t>Competency Area</w:t>
            </w:r>
          </w:p>
        </w:tc>
        <w:tc>
          <w:tcPr>
            <w:tcW w:type="dxa" w:w="7776"/>
            <w:shd w:fill="183C5D"/>
          </w:tcPr>
          <w:p>
            <w:pPr>
              <w:spacing w:after="0"/>
            </w:pPr>
            <w:r/>
            <w:r>
              <w:rPr>
                <w:rFonts w:ascii="Arial" w:hAnsi="Arial"/>
                <w:b/>
                <w:color w:val="FFFFFF"/>
                <w:sz w:val="17"/>
              </w:rPr>
              <w:t>Strengths</w:t>
            </w:r>
          </w:p>
        </w:tc>
      </w:tr>
      <w:tr>
        <w:tc>
          <w:tcPr>
            <w:tcW w:type="dxa" w:w="2592"/>
            <w:vAlign w:val="top"/>
          </w:tcPr>
          <w:p>
            <w:pPr>
              <w:spacing w:after="0"/>
            </w:pPr>
            <w:r/>
            <w:r>
              <w:rPr>
                <w:rFonts w:ascii="Arial" w:hAnsi="Arial"/>
                <w:b w:val="0"/>
                <w:sz w:val="16"/>
              </w:rPr>
              <w:t>Strategic Leadership</w:t>
            </w:r>
          </w:p>
        </w:tc>
        <w:tc>
          <w:tcPr>
            <w:tcW w:type="dxa" w:w="7776"/>
            <w:vAlign w:val="top"/>
          </w:tcPr>
          <w:p>
            <w:pPr>
              <w:spacing w:after="0"/>
            </w:pPr>
            <w:r/>
            <w:r>
              <w:rPr>
                <w:rFonts w:ascii="Arial" w:hAnsi="Arial"/>
                <w:b w:val="0"/>
                <w:sz w:val="16"/>
              </w:rPr>
              <w:t>Team leadership, institutional strengthening, grant coordination, stakeholder engagement</w:t>
            </w:r>
          </w:p>
        </w:tc>
      </w:tr>
      <w:tr>
        <w:tc>
          <w:tcPr>
            <w:tcW w:type="dxa" w:w="2592"/>
            <w:vAlign w:val="top"/>
          </w:tcPr>
          <w:p>
            <w:pPr>
              <w:spacing w:after="0"/>
            </w:pPr>
            <w:r/>
            <w:r>
              <w:rPr>
                <w:rFonts w:ascii="Arial" w:hAnsi="Arial"/>
                <w:b w:val="0"/>
                <w:sz w:val="16"/>
              </w:rPr>
              <w:t>Technical Modelling</w:t>
            </w:r>
          </w:p>
        </w:tc>
        <w:tc>
          <w:tcPr>
            <w:tcW w:type="dxa" w:w="7776"/>
            <w:vAlign w:val="top"/>
          </w:tcPr>
          <w:p>
            <w:pPr>
              <w:spacing w:after="0"/>
            </w:pPr>
            <w:r/>
            <w:r>
              <w:rPr>
                <w:rFonts w:ascii="Arial" w:hAnsi="Arial"/>
                <w:b w:val="0"/>
                <w:sz w:val="16"/>
              </w:rPr>
              <w:t>Infectious disease modelling, Bayesian inference, spatial-temporal analysis, simulation, forecasting</w:t>
            </w:r>
          </w:p>
        </w:tc>
      </w:tr>
      <w:tr>
        <w:tc>
          <w:tcPr>
            <w:tcW w:type="dxa" w:w="2592"/>
            <w:vAlign w:val="top"/>
          </w:tcPr>
          <w:p>
            <w:pPr>
              <w:spacing w:after="0"/>
            </w:pPr>
            <w:r/>
            <w:r>
              <w:rPr>
                <w:rFonts w:ascii="Arial" w:hAnsi="Arial"/>
                <w:b w:val="0"/>
                <w:sz w:val="16"/>
              </w:rPr>
              <w:t>Health Data Science</w:t>
            </w:r>
          </w:p>
        </w:tc>
        <w:tc>
          <w:tcPr>
            <w:tcW w:type="dxa" w:w="7776"/>
            <w:vAlign w:val="top"/>
          </w:tcPr>
          <w:p>
            <w:pPr>
              <w:spacing w:after="0"/>
            </w:pPr>
            <w:r/>
            <w:r>
              <w:rPr>
                <w:rFonts w:ascii="Arial" w:hAnsi="Arial"/>
                <w:b w:val="0"/>
                <w:sz w:val="16"/>
              </w:rPr>
              <w:t>Machine learning, AI-enabled analytics, surveillance analytics, dashboards, data visualization</w:t>
            </w:r>
          </w:p>
        </w:tc>
      </w:tr>
      <w:tr>
        <w:tc>
          <w:tcPr>
            <w:tcW w:type="dxa" w:w="2592"/>
            <w:vAlign w:val="top"/>
          </w:tcPr>
          <w:p>
            <w:pPr>
              <w:spacing w:after="0"/>
            </w:pPr>
            <w:r/>
            <w:r>
              <w:rPr>
                <w:rFonts w:ascii="Arial" w:hAnsi="Arial"/>
                <w:b w:val="0"/>
                <w:sz w:val="16"/>
              </w:rPr>
              <w:t>Policy Translation</w:t>
            </w:r>
          </w:p>
        </w:tc>
        <w:tc>
          <w:tcPr>
            <w:tcW w:type="dxa" w:w="7776"/>
            <w:vAlign w:val="top"/>
          </w:tcPr>
          <w:p>
            <w:pPr>
              <w:spacing w:after="0"/>
            </w:pPr>
            <w:r/>
            <w:r>
              <w:rPr>
                <w:rFonts w:ascii="Arial" w:hAnsi="Arial"/>
                <w:b w:val="0"/>
                <w:sz w:val="16"/>
              </w:rPr>
              <w:t>Evidence briefs, executive presentations, programme decision support, data-to-action workflows</w:t>
            </w:r>
          </w:p>
        </w:tc>
      </w:tr>
      <w:tr>
        <w:tc>
          <w:tcPr>
            <w:tcW w:type="dxa" w:w="2592"/>
            <w:vAlign w:val="top"/>
          </w:tcPr>
          <w:p>
            <w:pPr>
              <w:spacing w:after="0"/>
            </w:pPr>
            <w:r/>
            <w:r>
              <w:rPr>
                <w:rFonts w:ascii="Arial" w:hAnsi="Arial"/>
                <w:b w:val="0"/>
                <w:sz w:val="16"/>
              </w:rPr>
              <w:t>Public Health Domains</w:t>
            </w:r>
          </w:p>
        </w:tc>
        <w:tc>
          <w:tcPr>
            <w:tcW w:type="dxa" w:w="7776"/>
            <w:vAlign w:val="top"/>
          </w:tcPr>
          <w:p>
            <w:pPr>
              <w:spacing w:after="0"/>
            </w:pPr>
            <w:r/>
            <w:r>
              <w:rPr>
                <w:rFonts w:ascii="Arial" w:hAnsi="Arial"/>
                <w:b w:val="0"/>
                <w:sz w:val="16"/>
              </w:rPr>
              <w:t>Malaria, measles, TB, immunization, RMNCHN, outbreak preparedness, health systems</w:t>
            </w:r>
          </w:p>
        </w:tc>
      </w:tr>
    </w:tbl>
    <w:p>
      <w:pPr>
        <w:spacing w:after="0"/>
      </w:pPr>
    </w:p>
    <w:p>
      <w:pPr>
        <w:spacing w:before="120" w:after="40"/>
        <w:pBdr>
          <w:bottom w:val="single" w:sz="6" w:space="1" w:color="117C8B"/>
        </w:pBdr>
      </w:pPr>
      <w:r>
        <w:rPr>
          <w:b/>
          <w:color w:val="183C5D"/>
          <w:sz w:val="22"/>
        </w:rPr>
        <w:t>PROFESSIONAL EXPERIENCE</w:t>
      </w:r>
    </w:p>
    <w:p>
      <w:pPr>
        <w:spacing w:before="60" w:after="20"/>
      </w:pPr>
      <w:r>
        <w:rPr>
          <w:b/>
          <w:color w:val="183C5D"/>
          <w:sz w:val="20"/>
        </w:rPr>
        <w:t>Head, Data Analytics, Modelling and Visualization Division</w:t>
      </w:r>
      <w:r>
        <w:rPr>
          <w:color w:val="1F2937"/>
          <w:sz w:val="18"/>
        </w:rPr>
        <w:t xml:space="preserve"> | National Data Management and Analytics Center for Health, Ethiopian Public Health Institute</w:t>
      </w:r>
      <w:r>
        <w:rPr>
          <w:i/>
          <w:color w:val="5A6473"/>
          <w:sz w:val="18"/>
        </w:rPr>
        <w:t xml:space="preserve"> | June 2022-Present</w:t>
      </w:r>
    </w:p>
    <w:p>
      <w:pPr>
        <w:pStyle w:val="ListBullet"/>
        <w:spacing w:after="30"/>
        <w:ind w:left="259" w:hanging="173"/>
      </w:pPr>
      <w:r>
        <w:rPr>
          <w:sz w:val="18"/>
        </w:rPr>
        <w:t>Lead national disease modelling, analytics and visualization work supporting public health programmes and policy decisions.</w:t>
      </w:r>
    </w:p>
    <w:p>
      <w:pPr>
        <w:pStyle w:val="ListBullet"/>
        <w:spacing w:after="30"/>
        <w:ind w:left="259" w:hanging="173"/>
      </w:pPr>
      <w:r>
        <w:rPr>
          <w:sz w:val="18"/>
        </w:rPr>
        <w:t>Coordinate multidisciplinary teams across mathematical modelling, GIS, AI, data analytics and visualization.</w:t>
      </w:r>
    </w:p>
    <w:p>
      <w:pPr>
        <w:pStyle w:val="ListBullet"/>
        <w:spacing w:after="30"/>
        <w:ind w:left="259" w:hanging="173"/>
      </w:pPr>
      <w:r>
        <w:rPr>
          <w:sz w:val="18"/>
        </w:rPr>
        <w:t>Translate modelling outputs into policy briefs, dashboards, strategic presentations and decision-support products for national stakeholders.</w:t>
      </w:r>
    </w:p>
    <w:p>
      <w:pPr>
        <w:pStyle w:val="ListBullet"/>
        <w:spacing w:after="30"/>
        <w:ind w:left="259" w:hanging="173"/>
      </w:pPr>
      <w:r>
        <w:rPr>
          <w:sz w:val="18"/>
        </w:rPr>
        <w:t>Support evidence generation for malaria, measles, TB, immunization, outbreak preparedness and broader health system priorities.</w:t>
      </w:r>
    </w:p>
    <w:p>
      <w:pPr>
        <w:spacing w:before="60" w:after="20"/>
      </w:pPr>
      <w:r>
        <w:rPr>
          <w:b/>
          <w:color w:val="183C5D"/>
          <w:sz w:val="20"/>
        </w:rPr>
        <w:t>Stakeholder Group Member</w:t>
      </w:r>
      <w:r>
        <w:rPr>
          <w:color w:val="1F2937"/>
          <w:sz w:val="18"/>
        </w:rPr>
        <w:t xml:space="preserve"> | Vaccine Impact Modelling Consortium, Imperial College London</w:t>
      </w:r>
      <w:r>
        <w:rPr>
          <w:i/>
          <w:color w:val="5A6473"/>
          <w:sz w:val="18"/>
        </w:rPr>
        <w:t xml:space="preserve"> | 2023-Present</w:t>
      </w:r>
    </w:p>
    <w:p>
      <w:pPr>
        <w:pStyle w:val="ListBullet"/>
        <w:spacing w:after="30"/>
        <w:ind w:left="259" w:hanging="173"/>
      </w:pPr>
      <w:r>
        <w:rPr>
          <w:sz w:val="18"/>
        </w:rPr>
        <w:t>Advise on policy-relevant modelling priorities and stakeholder engagement for vaccine impact analyses.</w:t>
      </w:r>
    </w:p>
    <w:p>
      <w:pPr>
        <w:pStyle w:val="ListBullet"/>
        <w:spacing w:after="30"/>
        <w:ind w:left="259" w:hanging="173"/>
      </w:pPr>
      <w:r>
        <w:rPr>
          <w:sz w:val="18"/>
        </w:rPr>
        <w:t>Contribute to the translation and dissemination of vaccine impact modelling evidence for decision-making.</w:t>
      </w:r>
    </w:p>
    <w:p>
      <w:pPr>
        <w:spacing w:before="60" w:after="20"/>
      </w:pPr>
      <w:r>
        <w:rPr>
          <w:b/>
          <w:color w:val="183C5D"/>
          <w:sz w:val="20"/>
        </w:rPr>
        <w:t>Adjunct Senior Researcher</w:t>
      </w:r>
      <w:r>
        <w:rPr>
          <w:color w:val="1F2937"/>
          <w:sz w:val="18"/>
        </w:rPr>
        <w:t xml:space="preserve"> | Ethiopian Artificial Intelligence Institute</w:t>
      </w:r>
      <w:r>
        <w:rPr>
          <w:i/>
          <w:color w:val="5A6473"/>
          <w:sz w:val="18"/>
        </w:rPr>
        <w:t xml:space="preserve"> | Dec 2024-Present</w:t>
      </w:r>
    </w:p>
    <w:p>
      <w:pPr>
        <w:pStyle w:val="ListBullet"/>
        <w:spacing w:after="30"/>
        <w:ind w:left="259" w:hanging="173"/>
      </w:pPr>
      <w:r>
        <w:rPr>
          <w:sz w:val="18"/>
        </w:rPr>
        <w:t>Contribute to AI-driven modelling frameworks for health decision-making and national public health strategy.</w:t>
      </w:r>
    </w:p>
    <w:p>
      <w:pPr>
        <w:pStyle w:val="ListBullet"/>
        <w:spacing w:after="30"/>
        <w:ind w:left="259" w:hanging="173"/>
      </w:pPr>
      <w:r>
        <w:rPr>
          <w:sz w:val="18"/>
        </w:rPr>
        <w:t>Support grant development and integration of AI, analytics and modelling into health-sector innovation.</w:t>
      </w:r>
    </w:p>
    <w:p>
      <w:pPr>
        <w:spacing w:before="60" w:after="20"/>
      </w:pPr>
      <w:r>
        <w:rPr>
          <w:b/>
          <w:color w:val="183C5D"/>
          <w:sz w:val="20"/>
        </w:rPr>
        <w:t>Research Fellow</w:t>
      </w:r>
      <w:r>
        <w:rPr>
          <w:color w:val="1F2937"/>
          <w:sz w:val="18"/>
        </w:rPr>
        <w:t xml:space="preserve"> | Center for Epidemiological Modelling and Analysis, University of Nairobi &amp; University of Cambridge</w:t>
      </w:r>
      <w:r>
        <w:rPr>
          <w:i/>
          <w:color w:val="5A6473"/>
          <w:sz w:val="18"/>
        </w:rPr>
        <w:t xml:space="preserve"> | June 2021-June 2022</w:t>
      </w:r>
    </w:p>
    <w:p>
      <w:pPr>
        <w:pStyle w:val="ListBullet"/>
        <w:spacing w:after="30"/>
        <w:ind w:left="259" w:hanging="173"/>
      </w:pPr>
      <w:r>
        <w:rPr>
          <w:sz w:val="18"/>
        </w:rPr>
        <w:t>Conducted epidemiological modelling research on drug-resistant TB and evaluated interventions supporting TB elimination strategies.</w:t>
      </w:r>
    </w:p>
    <w:p>
      <w:pPr>
        <w:spacing w:before="60" w:after="20"/>
      </w:pPr>
      <w:r>
        <w:rPr>
          <w:b/>
          <w:color w:val="183C5D"/>
          <w:sz w:val="20"/>
        </w:rPr>
        <w:t>Assistant Professor</w:t>
      </w:r>
      <w:r>
        <w:rPr>
          <w:color w:val="1F2937"/>
          <w:sz w:val="18"/>
        </w:rPr>
        <w:t xml:space="preserve"> | Wolkite University</w:t>
      </w:r>
      <w:r>
        <w:rPr>
          <w:i/>
          <w:color w:val="5A6473"/>
          <w:sz w:val="18"/>
        </w:rPr>
        <w:t xml:space="preserve"> | Sep 2016-2025</w:t>
      </w:r>
    </w:p>
    <w:p>
      <w:pPr>
        <w:pStyle w:val="ListBullet"/>
        <w:spacing w:after="30"/>
        <w:ind w:left="259" w:hanging="173"/>
      </w:pPr>
      <w:r>
        <w:rPr>
          <w:sz w:val="18"/>
        </w:rPr>
        <w:t>Taught statistical and mathematical modelling courses, supervised MSc and undergraduate research, and organized seminars and trainings.</w:t>
      </w:r>
    </w:p>
    <w:p>
      <w:pPr>
        <w:spacing w:before="60" w:after="20"/>
      </w:pPr>
      <w:r>
        <w:rPr>
          <w:b/>
          <w:color w:val="183C5D"/>
          <w:sz w:val="20"/>
        </w:rPr>
        <w:t>Lecturer</w:t>
      </w:r>
      <w:r>
        <w:rPr>
          <w:color w:val="1F2937"/>
          <w:sz w:val="18"/>
        </w:rPr>
        <w:t xml:space="preserve"> | Adigrat University</w:t>
      </w:r>
      <w:r>
        <w:rPr>
          <w:i/>
          <w:color w:val="5A6473"/>
          <w:sz w:val="18"/>
        </w:rPr>
        <w:t xml:space="preserve"> | July 2013-Aug 2016</w:t>
      </w:r>
    </w:p>
    <w:p>
      <w:pPr>
        <w:pStyle w:val="ListBullet"/>
        <w:spacing w:after="30"/>
        <w:ind w:left="259" w:hanging="173"/>
      </w:pPr>
      <w:r>
        <w:rPr>
          <w:sz w:val="18"/>
        </w:rPr>
        <w:t>Taught mathematical and statistical modelling courses and supervised student research projects.</w:t>
      </w:r>
    </w:p>
    <w:p>
      <w:pPr>
        <w:spacing w:before="60" w:after="20"/>
      </w:pPr>
      <w:r>
        <w:rPr>
          <w:b/>
          <w:color w:val="183C5D"/>
          <w:sz w:val="20"/>
        </w:rPr>
        <w:t>Graduate Assistant</w:t>
      </w:r>
      <w:r>
        <w:rPr>
          <w:color w:val="1F2937"/>
          <w:sz w:val="18"/>
        </w:rPr>
        <w:t xml:space="preserve"> | Hawassa University</w:t>
      </w:r>
      <w:r>
        <w:rPr>
          <w:i/>
          <w:color w:val="5A6473"/>
          <w:sz w:val="18"/>
        </w:rPr>
        <w:t xml:space="preserve"> | 2011-2013</w:t>
      </w:r>
    </w:p>
    <w:p>
      <w:pPr>
        <w:pStyle w:val="ListBullet"/>
        <w:spacing w:after="30"/>
        <w:ind w:left="259" w:hanging="173"/>
      </w:pPr>
      <w:r>
        <w:rPr>
          <w:sz w:val="18"/>
        </w:rPr>
        <w:t>Supported teaching and student research in statistics and mathematical modelling.</w:t>
      </w:r>
    </w:p>
    <w:p>
      <w:pPr>
        <w:spacing w:before="120" w:after="40"/>
        <w:pBdr>
          <w:bottom w:val="single" w:sz="6" w:space="1" w:color="117C8B"/>
        </w:pBdr>
      </w:pPr>
      <w:r>
        <w:rPr>
          <w:b/>
          <w:color w:val="183C5D"/>
          <w:sz w:val="22"/>
        </w:rPr>
        <w:t>SELECTED STRATEGIC CONTRIBUTIONS</w:t>
      </w:r>
    </w:p>
    <w:p>
      <w:pPr>
        <w:pStyle w:val="ListBullet"/>
        <w:spacing w:after="30"/>
        <w:ind w:left="259" w:hanging="173"/>
      </w:pPr>
      <w:r>
        <w:rPr>
          <w:sz w:val="18"/>
        </w:rPr>
        <w:t>Built and coordinated multidisciplinary modelling and analytics capacity within a national public health institute.</w:t>
      </w:r>
    </w:p>
    <w:p>
      <w:pPr>
        <w:pStyle w:val="ListBullet"/>
        <w:spacing w:after="30"/>
        <w:ind w:left="259" w:hanging="173"/>
      </w:pPr>
      <w:r>
        <w:rPr>
          <w:sz w:val="18"/>
        </w:rPr>
        <w:t>Supported national malaria hotspot analysis and evidence generation for response planning and resource prioritization.</w:t>
      </w:r>
    </w:p>
    <w:p>
      <w:pPr>
        <w:pStyle w:val="ListBullet"/>
        <w:spacing w:after="30"/>
        <w:ind w:left="259" w:hanging="173"/>
      </w:pPr>
      <w:r>
        <w:rPr>
          <w:sz w:val="18"/>
        </w:rPr>
        <w:t>Contributed to measles risk modelling and immunization planning, including analytics to support supplementary immunization strategies.</w:t>
      </w:r>
    </w:p>
    <w:p>
      <w:pPr>
        <w:pStyle w:val="ListBullet"/>
        <w:spacing w:after="30"/>
        <w:ind w:left="259" w:hanging="173"/>
      </w:pPr>
      <w:r>
        <w:rPr>
          <w:sz w:val="18"/>
        </w:rPr>
        <w:t>Led and supported stakeholder engagement processes that convert programme evidence demands into modelling and analytics use cases.</w:t>
      </w:r>
    </w:p>
    <w:p>
      <w:pPr>
        <w:pStyle w:val="ListBullet"/>
        <w:spacing w:after="30"/>
        <w:ind w:left="259" w:hanging="173"/>
      </w:pPr>
      <w:r>
        <w:rPr>
          <w:sz w:val="18"/>
        </w:rPr>
        <w:t>Advanced visualization and dashboard thinking for decision-ready communication of modelling and analytic outputs.</w:t>
      </w:r>
    </w:p>
    <w:p>
      <w:pPr>
        <w:spacing w:before="120" w:after="40"/>
        <w:pBdr>
          <w:bottom w:val="single" w:sz="6" w:space="1" w:color="117C8B"/>
        </w:pBdr>
      </w:pPr>
      <w:r>
        <w:rPr>
          <w:b/>
          <w:color w:val="183C5D"/>
          <w:sz w:val="22"/>
        </w:rPr>
        <w:t>GRANT AND PROJECT PORTFOLIO</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1152"/>
            <w:shd w:fill="183C5D"/>
          </w:tcPr>
          <w:p>
            <w:pPr>
              <w:spacing w:after="0"/>
            </w:pPr>
            <w:r/>
            <w:r>
              <w:rPr>
                <w:rFonts w:ascii="Arial" w:hAnsi="Arial"/>
                <w:b/>
                <w:color w:val="FFFFFF"/>
                <w:sz w:val="17"/>
              </w:rPr>
              <w:t>Period</w:t>
            </w:r>
          </w:p>
        </w:tc>
        <w:tc>
          <w:tcPr>
            <w:tcW w:type="dxa" w:w="1656"/>
            <w:shd w:fill="183C5D"/>
          </w:tcPr>
          <w:p>
            <w:pPr>
              <w:spacing w:after="0"/>
            </w:pPr>
            <w:r/>
            <w:r>
              <w:rPr>
                <w:rFonts w:ascii="Arial" w:hAnsi="Arial"/>
                <w:b/>
                <w:color w:val="FFFFFF"/>
                <w:sz w:val="17"/>
              </w:rPr>
              <w:t>Role</w:t>
            </w:r>
          </w:p>
        </w:tc>
        <w:tc>
          <w:tcPr>
            <w:tcW w:type="dxa" w:w="4320"/>
            <w:shd w:fill="183C5D"/>
          </w:tcPr>
          <w:p>
            <w:pPr>
              <w:spacing w:after="0"/>
            </w:pPr>
            <w:r/>
            <w:r>
              <w:rPr>
                <w:rFonts w:ascii="Arial" w:hAnsi="Arial"/>
                <w:b/>
                <w:color w:val="FFFFFF"/>
                <w:sz w:val="17"/>
              </w:rPr>
              <w:t>Project</w:t>
            </w:r>
          </w:p>
        </w:tc>
        <w:tc>
          <w:tcPr>
            <w:tcW w:type="dxa" w:w="2448"/>
            <w:shd w:fill="183C5D"/>
          </w:tcPr>
          <w:p>
            <w:pPr>
              <w:spacing w:after="0"/>
            </w:pPr>
            <w:r/>
            <w:r>
              <w:rPr>
                <w:rFonts w:ascii="Arial" w:hAnsi="Arial"/>
                <w:b/>
                <w:color w:val="FFFFFF"/>
                <w:sz w:val="17"/>
              </w:rPr>
              <w:t>Funder/Partner</w:t>
            </w:r>
          </w:p>
        </w:tc>
        <w:tc>
          <w:tcPr>
            <w:tcW w:type="dxa" w:w="1152"/>
            <w:shd w:fill="183C5D"/>
          </w:tcPr>
          <w:p>
            <w:pPr>
              <w:spacing w:after="0"/>
            </w:pPr>
            <w:r/>
            <w:r>
              <w:rPr>
                <w:rFonts w:ascii="Arial" w:hAnsi="Arial"/>
                <w:b/>
                <w:color w:val="FFFFFF"/>
                <w:sz w:val="17"/>
              </w:rPr>
              <w:t>Value</w:t>
            </w:r>
          </w:p>
        </w:tc>
      </w:tr>
      <w:tr>
        <w:tc>
          <w:tcPr>
            <w:tcW w:type="dxa" w:w="1152"/>
            <w:vAlign w:val="top"/>
          </w:tcPr>
          <w:p>
            <w:pPr>
              <w:spacing w:after="0"/>
            </w:pPr>
            <w:r/>
            <w:r>
              <w:rPr>
                <w:rFonts w:ascii="Arial" w:hAnsi="Arial"/>
                <w:b w:val="0"/>
                <w:sz w:val="16"/>
              </w:rPr>
              <w:t>2023-2028</w:t>
            </w:r>
          </w:p>
        </w:tc>
        <w:tc>
          <w:tcPr>
            <w:tcW w:type="dxa" w:w="1656"/>
            <w:vAlign w:val="top"/>
          </w:tcPr>
          <w:p>
            <w:pPr>
              <w:spacing w:after="0"/>
            </w:pPr>
            <w:r/>
            <w:r>
              <w:rPr>
                <w:rFonts w:ascii="Arial" w:hAnsi="Arial"/>
                <w:b w:val="0"/>
                <w:sz w:val="16"/>
              </w:rPr>
              <w:t>Principal Investigator</w:t>
            </w:r>
          </w:p>
        </w:tc>
        <w:tc>
          <w:tcPr>
            <w:tcW w:type="dxa" w:w="4320"/>
            <w:vAlign w:val="top"/>
          </w:tcPr>
          <w:p>
            <w:pPr>
              <w:spacing w:after="0"/>
            </w:pPr>
            <w:r/>
            <w:r>
              <w:rPr>
                <w:rFonts w:ascii="Arial" w:hAnsi="Arial"/>
                <w:b w:val="0"/>
                <w:sz w:val="16"/>
              </w:rPr>
              <w:t>Strengthening disease modelling capacity to inform Ethiopian health policies</w:t>
            </w:r>
          </w:p>
        </w:tc>
        <w:tc>
          <w:tcPr>
            <w:tcW w:type="dxa" w:w="2448"/>
            <w:vAlign w:val="top"/>
          </w:tcPr>
          <w:p>
            <w:pPr>
              <w:spacing w:after="0"/>
            </w:pPr>
            <w:r/>
            <w:r>
              <w:rPr>
                <w:rFonts w:ascii="Arial" w:hAnsi="Arial"/>
                <w:b w:val="0"/>
                <w:sz w:val="16"/>
              </w:rPr>
              <w:t>Gates Foundation</w:t>
            </w:r>
          </w:p>
        </w:tc>
        <w:tc>
          <w:tcPr>
            <w:tcW w:type="dxa" w:w="1152"/>
            <w:vAlign w:val="top"/>
          </w:tcPr>
          <w:p>
            <w:pPr>
              <w:spacing w:after="0"/>
            </w:pPr>
            <w:r/>
            <w:r>
              <w:rPr>
                <w:rFonts w:ascii="Arial" w:hAnsi="Arial"/>
                <w:b w:val="0"/>
                <w:sz w:val="16"/>
              </w:rPr>
              <w:t>USD 2.8M</w:t>
            </w:r>
          </w:p>
        </w:tc>
      </w:tr>
      <w:tr>
        <w:tc>
          <w:tcPr>
            <w:tcW w:type="dxa" w:w="1152"/>
            <w:vAlign w:val="top"/>
          </w:tcPr>
          <w:p>
            <w:pPr>
              <w:spacing w:after="0"/>
            </w:pPr>
            <w:r/>
            <w:r>
              <w:rPr>
                <w:rFonts w:ascii="Arial" w:hAnsi="Arial"/>
                <w:b w:val="0"/>
                <w:sz w:val="16"/>
              </w:rPr>
              <w:t>2024-2027</w:t>
            </w:r>
          </w:p>
        </w:tc>
        <w:tc>
          <w:tcPr>
            <w:tcW w:type="dxa" w:w="1656"/>
            <w:vAlign w:val="top"/>
          </w:tcPr>
          <w:p>
            <w:pPr>
              <w:spacing w:after="0"/>
            </w:pPr>
            <w:r/>
            <w:r>
              <w:rPr>
                <w:rFonts w:ascii="Arial" w:hAnsi="Arial"/>
                <w:b w:val="0"/>
                <w:sz w:val="16"/>
              </w:rPr>
              <w:t>Co-Investigator</w:t>
            </w:r>
          </w:p>
        </w:tc>
        <w:tc>
          <w:tcPr>
            <w:tcW w:type="dxa" w:w="4320"/>
            <w:vAlign w:val="top"/>
          </w:tcPr>
          <w:p>
            <w:pPr>
              <w:spacing w:after="0"/>
            </w:pPr>
            <w:r/>
            <w:r>
              <w:rPr>
                <w:rFonts w:ascii="Arial" w:hAnsi="Arial"/>
                <w:b w:val="0"/>
                <w:sz w:val="16"/>
              </w:rPr>
              <w:t>Pathways for Ethiopia: Multidimensional Vulnerabilities to RMNCHN Outcomes</w:t>
            </w:r>
          </w:p>
        </w:tc>
        <w:tc>
          <w:tcPr>
            <w:tcW w:type="dxa" w:w="2448"/>
            <w:vAlign w:val="top"/>
          </w:tcPr>
          <w:p>
            <w:pPr>
              <w:spacing w:after="0"/>
            </w:pPr>
            <w:r/>
            <w:r>
              <w:rPr>
                <w:rFonts w:ascii="Arial" w:hAnsi="Arial"/>
                <w:b w:val="0"/>
                <w:sz w:val="16"/>
              </w:rPr>
              <w:t>Gates Foundation</w:t>
            </w:r>
          </w:p>
        </w:tc>
        <w:tc>
          <w:tcPr>
            <w:tcW w:type="dxa" w:w="1152"/>
            <w:vAlign w:val="top"/>
          </w:tcPr>
          <w:p>
            <w:pPr>
              <w:spacing w:after="0"/>
            </w:pPr>
            <w:r/>
            <w:r>
              <w:rPr>
                <w:rFonts w:ascii="Arial" w:hAnsi="Arial"/>
                <w:b w:val="0"/>
                <w:sz w:val="16"/>
              </w:rPr>
              <w:t>USD 3.4M</w:t>
            </w:r>
          </w:p>
        </w:tc>
      </w:tr>
      <w:tr>
        <w:tc>
          <w:tcPr>
            <w:tcW w:type="dxa" w:w="1152"/>
            <w:vAlign w:val="top"/>
          </w:tcPr>
          <w:p>
            <w:pPr>
              <w:spacing w:after="0"/>
            </w:pPr>
            <w:r/>
            <w:r>
              <w:rPr>
                <w:rFonts w:ascii="Arial" w:hAnsi="Arial"/>
                <w:b w:val="0"/>
                <w:sz w:val="16"/>
              </w:rPr>
              <w:t>2025-2027</w:t>
            </w:r>
          </w:p>
        </w:tc>
        <w:tc>
          <w:tcPr>
            <w:tcW w:type="dxa" w:w="1656"/>
            <w:vAlign w:val="top"/>
          </w:tcPr>
          <w:p>
            <w:pPr>
              <w:spacing w:after="0"/>
            </w:pPr>
            <w:r/>
            <w:r>
              <w:rPr>
                <w:rFonts w:ascii="Arial" w:hAnsi="Arial"/>
                <w:b w:val="0"/>
                <w:sz w:val="16"/>
              </w:rPr>
              <w:t>Collaborator/Partner</w:t>
            </w:r>
          </w:p>
        </w:tc>
        <w:tc>
          <w:tcPr>
            <w:tcW w:type="dxa" w:w="4320"/>
            <w:vAlign w:val="top"/>
          </w:tcPr>
          <w:p>
            <w:pPr>
              <w:spacing w:after="0"/>
            </w:pPr>
            <w:r/>
            <w:r>
              <w:rPr>
                <w:rFonts w:ascii="Arial" w:hAnsi="Arial"/>
                <w:b w:val="0"/>
                <w:sz w:val="16"/>
              </w:rPr>
              <w:t>Modelling Aedes-borne Diseases for Improved Public Health Decision-Making in the Horn of Africa (AeDST-HORN)</w:t>
            </w:r>
          </w:p>
        </w:tc>
        <w:tc>
          <w:tcPr>
            <w:tcW w:type="dxa" w:w="2448"/>
            <w:vAlign w:val="top"/>
          </w:tcPr>
          <w:p>
            <w:pPr>
              <w:spacing w:after="0"/>
            </w:pPr>
            <w:r/>
            <w:r>
              <w:rPr>
                <w:rFonts w:ascii="Arial" w:hAnsi="Arial"/>
                <w:b w:val="0"/>
                <w:sz w:val="16"/>
              </w:rPr>
              <w:t>Wellcome Trust</w:t>
            </w:r>
          </w:p>
        </w:tc>
        <w:tc>
          <w:tcPr>
            <w:tcW w:type="dxa" w:w="1152"/>
            <w:vAlign w:val="top"/>
          </w:tcPr>
          <w:p>
            <w:pPr>
              <w:spacing w:after="0"/>
            </w:pPr>
            <w:r/>
            <w:r>
              <w:rPr>
                <w:rFonts w:ascii="Arial" w:hAnsi="Arial"/>
                <w:b w:val="0"/>
                <w:sz w:val="16"/>
              </w:rPr>
              <w:t>USD 3.82M</w:t>
            </w:r>
          </w:p>
        </w:tc>
      </w:tr>
      <w:tr>
        <w:tc>
          <w:tcPr>
            <w:tcW w:type="dxa" w:w="1152"/>
            <w:vAlign w:val="top"/>
          </w:tcPr>
          <w:p>
            <w:pPr>
              <w:spacing w:after="0"/>
            </w:pPr>
            <w:r/>
            <w:r>
              <w:rPr>
                <w:rFonts w:ascii="Arial" w:hAnsi="Arial"/>
                <w:b w:val="0"/>
                <w:sz w:val="16"/>
              </w:rPr>
              <w:t>2023-2024</w:t>
            </w:r>
          </w:p>
        </w:tc>
        <w:tc>
          <w:tcPr>
            <w:tcW w:type="dxa" w:w="1656"/>
            <w:vAlign w:val="top"/>
          </w:tcPr>
          <w:p>
            <w:pPr>
              <w:spacing w:after="0"/>
            </w:pPr>
            <w:r/>
            <w:r>
              <w:rPr>
                <w:rFonts w:ascii="Arial" w:hAnsi="Arial"/>
                <w:b w:val="0"/>
                <w:sz w:val="16"/>
              </w:rPr>
              <w:t>Lead Statistician</w:t>
            </w:r>
          </w:p>
        </w:tc>
        <w:tc>
          <w:tcPr>
            <w:tcW w:type="dxa" w:w="4320"/>
            <w:vAlign w:val="top"/>
          </w:tcPr>
          <w:p>
            <w:pPr>
              <w:spacing w:after="0"/>
            </w:pPr>
            <w:r/>
            <w:r>
              <w:rPr>
                <w:rFonts w:ascii="Arial" w:hAnsi="Arial"/>
                <w:b w:val="0"/>
                <w:sz w:val="16"/>
              </w:rPr>
              <w:t>Drivers of Out-of-Facility Delivery in Ethiopia</w:t>
            </w:r>
          </w:p>
        </w:tc>
        <w:tc>
          <w:tcPr>
            <w:tcW w:type="dxa" w:w="2448"/>
            <w:vAlign w:val="top"/>
          </w:tcPr>
          <w:p>
            <w:pPr>
              <w:spacing w:after="0"/>
            </w:pPr>
            <w:r/>
            <w:r>
              <w:rPr>
                <w:rFonts w:ascii="Arial" w:hAnsi="Arial"/>
                <w:b w:val="0"/>
                <w:sz w:val="16"/>
              </w:rPr>
              <w:t>Gates Foundation</w:t>
            </w:r>
          </w:p>
        </w:tc>
        <w:tc>
          <w:tcPr>
            <w:tcW w:type="dxa" w:w="1152"/>
            <w:vAlign w:val="top"/>
          </w:tcPr>
          <w:p>
            <w:pPr>
              <w:spacing w:after="0"/>
            </w:pPr>
            <w:r/>
            <w:r>
              <w:rPr>
                <w:rFonts w:ascii="Arial" w:hAnsi="Arial"/>
                <w:b w:val="0"/>
                <w:sz w:val="16"/>
              </w:rPr>
              <w:t>USD 332K</w:t>
            </w:r>
          </w:p>
        </w:tc>
      </w:tr>
      <w:tr>
        <w:tc>
          <w:tcPr>
            <w:tcW w:type="dxa" w:w="1152"/>
            <w:vAlign w:val="top"/>
          </w:tcPr>
          <w:p>
            <w:pPr>
              <w:spacing w:after="0"/>
            </w:pPr>
            <w:r/>
            <w:r>
              <w:rPr>
                <w:rFonts w:ascii="Arial" w:hAnsi="Arial"/>
                <w:b w:val="0"/>
                <w:sz w:val="16"/>
              </w:rPr>
              <w:t>2021/22</w:t>
            </w:r>
          </w:p>
        </w:tc>
        <w:tc>
          <w:tcPr>
            <w:tcW w:type="dxa" w:w="1656"/>
            <w:vAlign w:val="top"/>
          </w:tcPr>
          <w:p>
            <w:pPr>
              <w:spacing w:after="0"/>
            </w:pPr>
            <w:r/>
            <w:r>
              <w:rPr>
                <w:rFonts w:ascii="Arial" w:hAnsi="Arial"/>
                <w:b w:val="0"/>
                <w:sz w:val="16"/>
              </w:rPr>
              <w:t>Fellow</w:t>
            </w:r>
          </w:p>
        </w:tc>
        <w:tc>
          <w:tcPr>
            <w:tcW w:type="dxa" w:w="4320"/>
            <w:vAlign w:val="top"/>
          </w:tcPr>
          <w:p>
            <w:pPr>
              <w:spacing w:after="0"/>
            </w:pPr>
            <w:r/>
            <w:r>
              <w:rPr>
                <w:rFonts w:ascii="Arial" w:hAnsi="Arial"/>
                <w:b w:val="0"/>
                <w:sz w:val="16"/>
              </w:rPr>
              <w:t>CEMA Applied Epidemiological Modelling Fellowship</w:t>
            </w:r>
          </w:p>
        </w:tc>
        <w:tc>
          <w:tcPr>
            <w:tcW w:type="dxa" w:w="2448"/>
            <w:vAlign w:val="top"/>
          </w:tcPr>
          <w:p>
            <w:pPr>
              <w:spacing w:after="0"/>
            </w:pPr>
            <w:r/>
            <w:r>
              <w:rPr>
                <w:rFonts w:ascii="Arial" w:hAnsi="Arial"/>
                <w:b w:val="0"/>
                <w:sz w:val="16"/>
              </w:rPr>
              <w:t>University of Nairobi &amp; University of Cambridge</w:t>
            </w:r>
          </w:p>
        </w:tc>
        <w:tc>
          <w:tcPr>
            <w:tcW w:type="dxa" w:w="1152"/>
            <w:vAlign w:val="top"/>
          </w:tcPr>
          <w:p>
            <w:pPr>
              <w:spacing w:after="0"/>
            </w:pPr>
            <w:r/>
            <w:r>
              <w:rPr>
                <w:rFonts w:ascii="Arial" w:hAnsi="Arial"/>
                <w:b w:val="0"/>
                <w:sz w:val="16"/>
              </w:rPr>
              <w:t>USD 10K</w:t>
            </w:r>
          </w:p>
        </w:tc>
      </w:tr>
    </w:tbl>
    <w:p>
      <w:pPr>
        <w:spacing w:after="0"/>
      </w:pPr>
    </w:p>
    <w:p>
      <w:pPr>
        <w:spacing w:before="120" w:after="40"/>
        <w:pBdr>
          <w:bottom w:val="single" w:sz="6" w:space="1" w:color="117C8B"/>
        </w:pBdr>
      </w:pPr>
      <w:r>
        <w:rPr>
          <w:b/>
          <w:color w:val="183C5D"/>
          <w:sz w:val="22"/>
        </w:rPr>
        <w:t>INTERNATIONAL ENGAGEMENT AND VISIBILITY</w:t>
      </w:r>
    </w:p>
    <w:p>
      <w:pPr>
        <w:pStyle w:val="ListBullet"/>
        <w:spacing w:after="30"/>
        <w:ind w:left="259" w:hanging="173"/>
      </w:pPr>
      <w:r>
        <w:rPr>
          <w:sz w:val="18"/>
        </w:rPr>
        <w:t>Invited Speaker, International Conference on Modelling and Informatics for Public Health, IIT Bombay, Mumbai, India, 8-11 December 2025.</w:t>
      </w:r>
    </w:p>
    <w:p>
      <w:pPr>
        <w:pStyle w:val="ListBullet"/>
        <w:spacing w:after="30"/>
        <w:ind w:left="259" w:hanging="173"/>
      </w:pPr>
      <w:r>
        <w:rPr>
          <w:sz w:val="18"/>
        </w:rPr>
        <w:t>Speaker, World Health Summit Regional Meeting 2026, Nairobi, in a Global Leaders Network and Gates Foundation co-hosted session on dynamic modelling for women's, children's and adolescents' health.</w:t>
      </w:r>
    </w:p>
    <w:p>
      <w:pPr>
        <w:pStyle w:val="ListBullet"/>
        <w:spacing w:after="30"/>
        <w:ind w:left="259" w:hanging="173"/>
      </w:pPr>
      <w:r>
        <w:rPr>
          <w:sz w:val="18"/>
        </w:rPr>
        <w:t>Stakeholder engagement with Gates Foundation, VIMC, Safinea, academic partners and national public health programmes.</w:t>
      </w:r>
    </w:p>
    <w:p>
      <w:pPr>
        <w:pStyle w:val="ListBullet"/>
        <w:spacing w:after="30"/>
        <w:ind w:left="259" w:hanging="173"/>
      </w:pPr>
      <w:r>
        <w:rPr>
          <w:sz w:val="18"/>
        </w:rPr>
        <w:t>Research fellow experience with the Center for Epidemiological Modelling and Analysis, University of Nairobi and University of Cambridge.</w:t>
      </w:r>
    </w:p>
    <w:p>
      <w:pPr>
        <w:spacing w:before="120" w:after="40"/>
        <w:pBdr>
          <w:bottom w:val="single" w:sz="6" w:space="1" w:color="117C8B"/>
        </w:pBdr>
      </w:pPr>
      <w:r>
        <w:rPr>
          <w:b/>
          <w:color w:val="183C5D"/>
          <w:sz w:val="22"/>
        </w:rPr>
        <w:t>SELECTED RESEARCH AND PUBLICATIONS</w:t>
      </w:r>
    </w:p>
    <w:p>
      <w:pPr>
        <w:pStyle w:val="ListBullet"/>
        <w:spacing w:after="30"/>
        <w:ind w:left="259" w:hanging="173"/>
      </w:pPr>
      <w:r>
        <w:rPr>
          <w:sz w:val="18"/>
        </w:rPr>
        <w:t>Geleso MG. Modeling the Survival of Tuberculosis Patients in Eastern Zone of Tigray Regional State. Risk Management and Healthcare Policy. 2020;13:473-481. https://doi.org/10.2147/RMHP.S251376</w:t>
      </w:r>
    </w:p>
    <w:p>
      <w:pPr>
        <w:pStyle w:val="ListBullet"/>
        <w:spacing w:after="30"/>
        <w:ind w:left="259" w:hanging="173"/>
      </w:pPr>
      <w:r>
        <w:rPr>
          <w:sz w:val="18"/>
        </w:rPr>
        <w:t>Desta HD, Tilahun GT, Tolasa TM, Geleso MG. Mathematical Model of Human Papillomavirus Dynamics With Double-Dose Vaccination and Its Impact on Cervical Cancer. Discrete Dynamics in Nature and Society. 2024. https://doi.org/10.1155/ddns/9971859</w:t>
      </w:r>
    </w:p>
    <w:p>
      <w:pPr>
        <w:pStyle w:val="ListBullet"/>
        <w:spacing w:after="30"/>
        <w:ind w:left="259" w:hanging="173"/>
      </w:pPr>
      <w:r>
        <w:rPr>
          <w:sz w:val="18"/>
        </w:rPr>
        <w:t>Girum T, Geremew M, Dessu S, et al. 'Universal test and treat' program reduced TB incidence by 75% among adults taking ART in Gurage Zone, South Ethiopia. Tropical Diseases, Travel Medicine and Vaccines. 2020;6:12. https://doi.org/10.1186/s40794-020-00113-3</w:t>
      </w:r>
    </w:p>
    <w:p>
      <w:pPr>
        <w:pStyle w:val="ListBullet"/>
        <w:spacing w:after="30"/>
        <w:ind w:left="259" w:hanging="173"/>
      </w:pPr>
      <w:r>
        <w:rPr>
          <w:sz w:val="18"/>
        </w:rPr>
        <w:t>Girum T, Lentiro K, Geremew M, et al. Optimal strategies for COVID-19 prevention from global evidence achieved through social distancing, stay at home, travel restriction and lockdown: a systematic review. Archives of Public Health. 2021;79:150. https://doi.org/10.1186/s13690-021-00663-8</w:t>
      </w:r>
    </w:p>
    <w:p>
      <w:pPr>
        <w:pStyle w:val="ListBullet"/>
        <w:spacing w:after="30"/>
        <w:ind w:left="259" w:hanging="173"/>
      </w:pPr>
      <w:r>
        <w:rPr>
          <w:sz w:val="18"/>
        </w:rPr>
        <w:t>Girum T, Lentiro K, Geremew M, et al. Global strategies and effectiveness for COVID-19 prevention through contact tracing, screening, quarantine, and isolation: a systematic review. Tropical Medicine and Health. 2020;48:91. https://doi.org/10.1186/s41182-020-00285-w</w:t>
      </w:r>
    </w:p>
    <w:p>
      <w:pPr>
        <w:pStyle w:val="ListBullet"/>
        <w:spacing w:after="30"/>
        <w:ind w:left="259" w:hanging="173"/>
      </w:pPr>
      <w:r>
        <w:rPr>
          <w:sz w:val="18"/>
        </w:rPr>
        <w:t>Dessu S, Girum T, Geremew M, Zeleke B. The burden of disease and cause of mortality in Ethiopia, 2000-2016: findings from the Global Burden of Disease Study and Global Health Estimates. Medical Studies/Studia Medyczne. 2020;36(4). doi:10.5114/ms.2020.102318</w:t>
      </w:r>
    </w:p>
    <w:p>
      <w:pPr>
        <w:spacing w:before="120" w:after="40"/>
        <w:pBdr>
          <w:bottom w:val="single" w:sz="6" w:space="1" w:color="117C8B"/>
        </w:pBdr>
      </w:pPr>
      <w:r>
        <w:rPr>
          <w:b/>
          <w:color w:val="183C5D"/>
          <w:sz w:val="22"/>
        </w:rPr>
        <w:t>EDUCATION AND TRAINING</w:t>
      </w:r>
    </w:p>
    <w:p>
      <w:pPr>
        <w:pStyle w:val="ListBullet"/>
        <w:spacing w:after="30"/>
        <w:ind w:left="259" w:hanging="173"/>
      </w:pPr>
      <w:r>
        <w:rPr>
          <w:sz w:val="18"/>
        </w:rPr>
        <w:t>MSc, Mathematical &amp; Statistical Modelling, Hawassa University, Ethiopia, 2013.</w:t>
      </w:r>
    </w:p>
    <w:p>
      <w:pPr>
        <w:pStyle w:val="ListBullet"/>
        <w:spacing w:after="30"/>
        <w:ind w:left="259" w:hanging="173"/>
      </w:pPr>
      <w:r>
        <w:rPr>
          <w:sz w:val="18"/>
        </w:rPr>
        <w:t>BSc, Statistics, Dilla University, Ethiopia, 2011.</w:t>
      </w:r>
    </w:p>
    <w:p>
      <w:pPr>
        <w:pStyle w:val="ListBullet"/>
        <w:spacing w:after="30"/>
        <w:ind w:left="259" w:hanging="173"/>
      </w:pPr>
      <w:r>
        <w:rPr>
          <w:sz w:val="18"/>
        </w:rPr>
        <w:t>Agent-based Modelling Training, APHRC/Institute for Disease Modeling/CEMA/JKUAT/Strathmore University, Nairobi, 2024.</w:t>
      </w:r>
    </w:p>
    <w:p>
      <w:pPr>
        <w:pStyle w:val="ListBullet"/>
        <w:spacing w:after="30"/>
        <w:ind w:left="259" w:hanging="173"/>
      </w:pPr>
      <w:r>
        <w:rPr>
          <w:sz w:val="18"/>
        </w:rPr>
        <w:t>Measles and Rubella Transmission Modelling, NDMC/VIMC/IDM, Mumbai, India, 2024.</w:t>
      </w:r>
    </w:p>
    <w:p>
      <w:pPr>
        <w:pStyle w:val="ListBullet"/>
        <w:spacing w:after="30"/>
        <w:ind w:left="259" w:hanging="173"/>
      </w:pPr>
      <w:r>
        <w:rPr>
          <w:sz w:val="18"/>
        </w:rPr>
        <w:t>Mathematical Modelling for Infectious Disease Dynamics, Wellcome Genome Campus, University of Cambridge, 2021.</w:t>
      </w:r>
    </w:p>
    <w:p>
      <w:pPr>
        <w:spacing w:before="120" w:after="40"/>
        <w:pBdr>
          <w:bottom w:val="single" w:sz="6" w:space="1" w:color="117C8B"/>
        </w:pBdr>
      </w:pPr>
      <w:r>
        <w:rPr>
          <w:b/>
          <w:color w:val="183C5D"/>
          <w:sz w:val="22"/>
        </w:rPr>
        <w:t>TECHNICAL TOOLKIT</w:t>
      </w:r>
    </w:p>
    <w:p>
      <w:pPr>
        <w:spacing w:after="80"/>
      </w:pPr>
      <w:r>
        <w:rPr>
          <w:sz w:val="19"/>
        </w:rPr>
        <w:t>R programming; Bayesian modelling; GIS and geospatial analytics; infectious disease modelling; survival analysis; forecasting; machine learning; dashboard development; data visualization; health metrics; grant writing; technical report writing; policy brief development; stakeholder facilitation.</w:t>
      </w:r>
    </w:p>
    <w:p>
      <w:pPr>
        <w:spacing w:before="120" w:after="40"/>
        <w:pBdr>
          <w:bottom w:val="single" w:sz="6" w:space="1" w:color="117C8B"/>
        </w:pBdr>
      </w:pPr>
      <w:r>
        <w:rPr>
          <w:b/>
          <w:color w:val="183C5D"/>
          <w:sz w:val="22"/>
        </w:rPr>
        <w:t>PROFESSIONAL MEMBERSHIPS</w:t>
      </w:r>
    </w:p>
    <w:p>
      <w:pPr>
        <w:pStyle w:val="ListBullet"/>
        <w:spacing w:after="30"/>
        <w:ind w:left="259" w:hanging="173"/>
      </w:pPr>
      <w:r>
        <w:rPr>
          <w:sz w:val="18"/>
        </w:rPr>
        <w:t>Ethiopian Statistics Association</w:t>
      </w:r>
    </w:p>
    <w:p>
      <w:pPr>
        <w:pStyle w:val="ListBullet"/>
        <w:spacing w:after="30"/>
        <w:ind w:left="259" w:hanging="173"/>
      </w:pPr>
      <w:r>
        <w:rPr>
          <w:sz w:val="18"/>
        </w:rPr>
        <w:t>International Biometric Society</w:t>
      </w:r>
    </w:p>
    <w:p>
      <w:pPr>
        <w:spacing w:before="120" w:after="40"/>
        <w:pBdr>
          <w:bottom w:val="single" w:sz="6" w:space="1" w:color="117C8B"/>
        </w:pBdr>
      </w:pPr>
      <w:r>
        <w:rPr>
          <w:b/>
          <w:color w:val="183C5D"/>
          <w:sz w:val="22"/>
        </w:rPr>
        <w:t>REFERENCES</w:t>
      </w:r>
    </w:p>
    <w:p>
      <w:pPr>
        <w:spacing w:after="80"/>
      </w:pPr>
      <w:r>
        <w:rPr>
          <w:sz w:val="19"/>
        </w:rPr>
        <w:t>Available upon request.</w:t>
      </w:r>
    </w:p>
    <w:sectPr w:rsidR="00FC693F" w:rsidRPr="0006063C" w:rsidSect="00034616">
      <w:footerReference w:type="default" r:id="rId9"/>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473"/>
        <w:sz w:val="16"/>
      </w:rPr>
      <w:t>Professional CV | Mulugeta Geremew Geleso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83C5D"/>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83C5D"/>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18"/>
    </w:rPr>
  </w:style>
  <w:style w:type="paragraph" w:styleId="ListBullet2">
    <w:name w:val="List Bullet 2"/>
    <w:basedOn w:val="Normal"/>
    <w:uiPriority w:val="99"/>
    <w:unhideWhenUsed/>
    <w:rsid w:val="00326F90"/>
    <w:pPr>
      <w:numPr>
        <w:numId w:val="2"/>
      </w:numPr>
      <w:contextualSpacing/>
    </w:pPr>
    <w:rPr>
      <w:rFonts w:ascii="Arial" w:hAnsi="Arial" w:eastAsia="Arial"/>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