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0.4.0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QueryLibraryDialog, SyncSettingsDialog, EncryptionDialog,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folder, sql, engine_scope, created_utc, updated_utc, is_deleted</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Authentication</w:t>
      </w:r>
    </w:p>
    <w:p>
      <w:pPr>
        <w:spacing w:after="120"/>
      </w:pPr>
      <w:r>
        <w:t xml:space="preserve">The server compares an X-Api-Key header against QPLUS_API_KEY in constant time. When that variable is unset the server accepts every request and logs a warning at startup — convenient for a first run on a trusted network, unsafe for anything reachable beyond it. There is no default key.</w:t>
      </w:r>
    </w:p>
    <w:p>
      <w:pPr>
        <w:spacing w:after="120"/>
      </w:pPr>
      <w:r>
        <w:t xml:space="preserve">This is a separate concern from query encryption. Encryption denies an attacker the ability to read; the API key denies the ability to write. An unauthenticated server holding encrypted queries is still exposed to deletion and to injected rows, so a shared deployment wants both, behind TLS.</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r>
        <w:tc>
          <w:tcPr>
            <w:tcW w:type="dxa" w:w="2400"/>
            <w:tcMar>
              <w:top w:type="dxa" w:w="60"/>
              <w:left w:type="dxa" w:w="100"/>
              <w:bottom w:type="dxa" w:w="60"/>
              <w:right w:type="dxa" w:w="100"/>
            </w:tcMar>
          </w:tcPr>
          <w:p>
            <w:r>
              <w:rPr>
                <w:sz w:val="19"/>
                <w:szCs w:val="19"/>
              </w:rPr>
              <w:t xml:space="preserve">Restores</w:t>
            </w:r>
          </w:p>
        </w:tc>
        <w:tc>
          <w:tcPr>
            <w:tcW w:type="dxa" w:w="6960"/>
            <w:tcMar>
              <w:top w:type="dxa" w:w="60"/>
              <w:left w:type="dxa" w:w="100"/>
              <w:bottom w:type="dxa" w:w="60"/>
              <w:right w:type="dxa" w:w="100"/>
            </w:tcMar>
          </w:tcPr>
          <w:p>
            <w:r>
              <w:rPr>
                <w:sz w:val="19"/>
                <w:szCs w:val="19"/>
              </w:rPr>
              <w:t xml:space="preserve">RestoreSavedQuery clears the tombstone and bumps UpdatedUtc, so the restoration outranks the deletion other machines still hold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spacing w:after="120"/>
      </w:pPr>
      <w:r>
        <w:t xml:space="preserve">Nor does it protect integrity or availability of the shared library. An attacker who can reach an unauthenticated server can still delete rows or insert their own without reading anything, because the sync protocol treats query text as opaque. Authentication (section 9) is the control for that.</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Folder</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folder is encrypted deliberately. A name like “Project Falcon” reveals intent even when the queries inside it cannot be read, so leaving it in clear text on a shared server would undercut the point.</w:t>
      </w:r>
    </w:p>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2"/>
        <w:spacing w:after="120" w:before="280"/>
      </w:pPr>
      <w:r>
        <w:t xml:space="preserve">Folders</w:t>
      </w:r>
    </w:p>
    <w:p>
      <w:pPr>
        <w:spacing w:after="120"/>
      </w:pPr>
      <w:r>
        <w:t xml:space="preserve">A folder is a string on the query itself, not a row in a folders table. The list offered in the pickers is derived from the queries in use, so a folder comes into existence when something is filed in it and disappears when the last query leaves. Nesting is by convention — a forward slash in the name — rather than a parent/child relationship.</w:t>
      </w:r>
    </w:p>
    <w:p>
      <w:pPr>
        <w:spacing w:after="120"/>
      </w:pPr>
      <w:r>
        <w:t xml:space="preserve">That choice keeps folders out of the sync protocol entirely: moving a query between folders is an ordinary field edit that resolves last-writer-wins like any other, with no second entity to keep consistent, no orphaned folders, and no rename cascade. Clearing a folder is an edit to an empty string, which must propagate like any other change rather than being mistaken for “no change”.</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Style w:val="Heading2"/>
        <w:spacing w:after="120" w:before="280"/>
      </w:pPr>
      <w:r>
        <w:t xml:space="preserve">SDK requirement</w:t>
      </w:r>
    </w:p>
    <w:p>
      <w:pPr>
        <w:spacing w:after="120"/>
      </w:pPr>
      <w:r>
        <w:t xml:space="preserve">global.json asks for 8.0.100 with rollForward latestMajor, so any .NET 8 SDK or newer builds the repository. Both projects target net8.0 (net8.0-windows for the client), and nothing depends on a newer SDK feature.</w:t>
      </w:r>
    </w:p>
    <w:p>
      <w:pPr>
        <w:pBdr>
          <w:left w:val="single" w:color="1F3864" w:sz="18" w:space="8"/>
        </w:pBdr>
        <w:shd w:fill="DEEAF6" w:color="auto" w:val="clear"/>
        <w:spacing w:after="140" w:before="100"/>
        <w:ind w:left="180" w:right="180"/>
      </w:pPr>
      <w:r>
        <w:rPr>
          <w:b/>
          <w:bCs/>
          <w:color w:val="1F3864"/>
        </w:rPr>
        <w:t xml:space="preserve">Design note  </w:t>
      </w:r>
      <w:r>
        <w:t xml:space="preserve">The pin was originally the exact preview SDK present on the machine where the project was scaffolded. That made the repository unbuildable anywhere else, and rollForward did not rescue it: roll-forward only ever moves forward, so an installed SDK older than the pinned version can never satisfy it, however new its major version appears. Pin the lowest version that actually works, not the one that happens to be installed.</w:t>
      </w:r>
    </w:p>
    <w:p>
      <w:pPr>
        <w:pStyle w:val="Heading2"/>
        <w:spacing w:after="120" w:before="280"/>
      </w:pPr>
      <w:r>
        <w:t xml:space="preserve">The Linux server</w:t>
      </w:r>
    </w:p>
    <w:p>
      <w:pPr>
        <w:spacing w:after="120"/>
      </w:pPr>
      <w:r>
        <w:t xml:space="preserve">src/Qplus.Server carries a Makefile covering the whole lifecycle. Run make with no arguments to list the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3864" w:color="auto" w:val="clear"/>
            <w:tcMar>
              <w:top w:type="dxa" w:w="60"/>
              <w:left w:type="dxa" w:w="100"/>
              <w:bottom w:type="dxa" w:w="60"/>
              <w:right w:type="dxa" w:w="100"/>
            </w:tcMar>
          </w:tcPr>
          <w:p>
            <w:r>
              <w:rPr>
                <w:b/>
                <w:bCs/>
                <w:color w:val="FFFFFF"/>
                <w:sz w:val="19"/>
                <w:szCs w:val="19"/>
              </w:rPr>
              <w:t xml:space="preserve">Target</w:t>
            </w:r>
          </w:p>
        </w:tc>
        <w:tc>
          <w:tcPr>
            <w:tcW w:type="dxa" w:w="7660"/>
            <w:shd w:fill="1F3864" w:color="auto" w:val="clear"/>
            <w:tcMar>
              <w:top w:type="dxa" w:w="60"/>
              <w:left w:type="dxa" w:w="100"/>
              <w:bottom w:type="dxa" w:w="60"/>
              <w:right w:type="dxa" w:w="100"/>
            </w:tcMar>
          </w:tcPr>
          <w:p>
            <w:r>
              <w:rPr>
                <w:b/>
                <w:bCs/>
                <w:color w:val="FFFFFF"/>
                <w:sz w:val="19"/>
                <w:szCs w:val="19"/>
              </w:rPr>
              <w:t xml:space="preserve">Does</w:t>
            </w:r>
          </w:p>
        </w:tc>
      </w:tr>
      <w:tr>
        <w:tc>
          <w:tcPr>
            <w:tcW w:type="dxa" w:w="1700"/>
            <w:tcMar>
              <w:top w:type="dxa" w:w="60"/>
              <w:left w:type="dxa" w:w="100"/>
              <w:bottom w:type="dxa" w:w="60"/>
              <w:right w:type="dxa" w:w="100"/>
            </w:tcMar>
          </w:tcPr>
          <w:p>
            <w:r>
              <w:rPr>
                <w:sz w:val="19"/>
                <w:szCs w:val="19"/>
              </w:rPr>
              <w:t xml:space="preserve">sdk</w:t>
            </w:r>
          </w:p>
        </w:tc>
        <w:tc>
          <w:tcPr>
            <w:tcW w:type="dxa" w:w="7660"/>
            <w:tcMar>
              <w:top w:type="dxa" w:w="60"/>
              <w:left w:type="dxa" w:w="100"/>
              <w:bottom w:type="dxa" w:w="60"/>
              <w:right w:type="dxa" w:w="100"/>
            </w:tcMar>
          </w:tcPr>
          <w:p>
            <w:r>
              <w:rPr>
                <w:sz w:val="19"/>
                <w:szCs w:val="19"/>
              </w:rPr>
              <w:t xml:space="preserve">Runs scripts/install-dotnet.sh to install a suitable .NET SDK</w:t>
            </w:r>
          </w:p>
        </w:tc>
      </w:tr>
      <w:tr>
        <w:tc>
          <w:tcPr>
            <w:tcW w:type="dxa" w:w="1700"/>
            <w:shd w:fill="F7F9FC" w:color="auto" w:val="clear"/>
            <w:tcMar>
              <w:top w:type="dxa" w:w="60"/>
              <w:left w:type="dxa" w:w="100"/>
              <w:bottom w:type="dxa" w:w="60"/>
              <w:right w:type="dxa" w:w="100"/>
            </w:tcMar>
          </w:tcPr>
          <w:p>
            <w:r>
              <w:rPr>
                <w:sz w:val="19"/>
                <w:szCs w:val="19"/>
              </w:rPr>
              <w:t xml:space="preserve">publish</w:t>
            </w:r>
          </w:p>
        </w:tc>
        <w:tc>
          <w:tcPr>
            <w:tcW w:type="dxa" w:w="7660"/>
            <w:shd w:fill="F7F9FC" w:color="auto" w:val="clear"/>
            <w:tcMar>
              <w:top w:type="dxa" w:w="60"/>
              <w:left w:type="dxa" w:w="100"/>
              <w:bottom w:type="dxa" w:w="60"/>
              <w:right w:type="dxa" w:w="100"/>
            </w:tcMar>
          </w:tcPr>
          <w:p>
            <w:r>
              <w:rPr>
                <w:sz w:val="19"/>
                <w:szCs w:val="19"/>
              </w:rPr>
              <w:t xml:space="preserve">Single self-contained linux-x64 binary into ./out (RID overridable for arm64)</w:t>
            </w:r>
          </w:p>
        </w:tc>
      </w:tr>
      <w:tr>
        <w:tc>
          <w:tcPr>
            <w:tcW w:type="dxa" w:w="1700"/>
            <w:tcMar>
              <w:top w:type="dxa" w:w="60"/>
              <w:left w:type="dxa" w:w="100"/>
              <w:bottom w:type="dxa" w:w="60"/>
              <w:right w:type="dxa" w:w="100"/>
            </w:tcMar>
          </w:tcPr>
          <w:p>
            <w:r>
              <w:rPr>
                <w:sz w:val="19"/>
                <w:szCs w:val="19"/>
              </w:rPr>
              <w:t xml:space="preserve">install / service</w:t>
            </w:r>
          </w:p>
        </w:tc>
        <w:tc>
          <w:tcPr>
            <w:tcW w:type="dxa" w:w="7660"/>
            <w:tcMar>
              <w:top w:type="dxa" w:w="60"/>
              <w:left w:type="dxa" w:w="100"/>
              <w:bottom w:type="dxa" w:w="60"/>
              <w:right w:type="dxa" w:w="100"/>
            </w:tcMar>
          </w:tcPr>
          <w:p>
            <w:r>
              <w:rPr>
                <w:sz w:val="19"/>
                <w:szCs w:val="19"/>
              </w:rPr>
              <w:t xml:space="preserve">Creates the service account and data directory, installs the binary, writes a hardened systemd unit, then enables and starts it</w:t>
            </w:r>
          </w:p>
        </w:tc>
      </w:tr>
      <w:tr>
        <w:tc>
          <w:tcPr>
            <w:tcW w:type="dxa" w:w="1700"/>
            <w:shd w:fill="F7F9FC" w:color="auto" w:val="clear"/>
            <w:tcMar>
              <w:top w:type="dxa" w:w="60"/>
              <w:left w:type="dxa" w:w="100"/>
              <w:bottom w:type="dxa" w:w="60"/>
              <w:right w:type="dxa" w:w="100"/>
            </w:tcMar>
          </w:tcPr>
          <w:p>
            <w:r>
              <w:rPr>
                <w:sz w:val="19"/>
                <w:szCs w:val="19"/>
              </w:rPr>
              <w:t xml:space="preserve">status / logs / backup</w:t>
            </w:r>
          </w:p>
        </w:tc>
        <w:tc>
          <w:tcPr>
            <w:tcW w:type="dxa" w:w="7660"/>
            <w:shd w:fill="F7F9FC" w:color="auto" w:val="clear"/>
            <w:tcMar>
              <w:top w:type="dxa" w:w="60"/>
              <w:left w:type="dxa" w:w="100"/>
              <w:bottom w:type="dxa" w:w="60"/>
              <w:right w:type="dxa" w:w="100"/>
            </w:tcMar>
          </w:tcPr>
          <w:p>
            <w:r>
              <w:rPr>
                <w:sz w:val="19"/>
                <w:szCs w:val="19"/>
              </w:rPr>
              <w:t xml:space="preserve">Unit state plus a health probe, journal follow, and a SQLite snapshot</w:t>
            </w:r>
          </w:p>
        </w:tc>
      </w:tr>
      <w:tr>
        <w:tc>
          <w:tcPr>
            <w:tcW w:type="dxa" w:w="1700"/>
            <w:tcMar>
              <w:top w:type="dxa" w:w="60"/>
              <w:left w:type="dxa" w:w="100"/>
              <w:bottom w:type="dxa" w:w="60"/>
              <w:right w:type="dxa" w:w="100"/>
            </w:tcMar>
          </w:tcPr>
          <w:p>
            <w:r>
              <w:rPr>
                <w:sz w:val="19"/>
                <w:szCs w:val="19"/>
              </w:rPr>
              <w:t xml:space="preserve">uninstall</w:t>
            </w:r>
          </w:p>
        </w:tc>
        <w:tc>
          <w:tcPr>
            <w:tcW w:type="dxa" w:w="7660"/>
            <w:tcMar>
              <w:top w:type="dxa" w:w="60"/>
              <w:left w:type="dxa" w:w="100"/>
              <w:bottom w:type="dxa" w:w="60"/>
              <w:right w:type="dxa" w:w="100"/>
            </w:tcMar>
          </w:tcPr>
          <w:p>
            <w:r>
              <w:rPr>
                <w:sz w:val="19"/>
                <w:szCs w:val="19"/>
              </w:rPr>
              <w:t xml:space="preserve">Removes the service and binary, deliberately keeping the data directory</w:t>
            </w:r>
          </w:p>
        </w:tc>
      </w:tr>
    </w:tbl>
    <w:p>
      <w:pPr>
        <w:spacing w:after="120"/>
      </w:pPr>
      <w:r>
        <w:t xml:space="preserve">scripts/install-dotnet.sh decides whether an SDK is acceptable by running dotnet --version from the repository root, which makes dotnet resolve global.json itself rather than inferring compatibility from version numbers. Settings such as RID, PORT, API_KEY, PREFIX and DATA_DIR are all overridable on the make command line.</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The query server has no default API key. Left unset it accepts every request, so a deployment reachable beyond a trusted network must set QPLUS_API_KEY and terminate TLS in front of it.</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tcMar>
              <w:top w:type="dxa" w:w="60"/>
              <w:left w:type="dxa" w:w="100"/>
              <w:bottom w:type="dxa" w:w="60"/>
              <w:right w:type="dxa" w:w="100"/>
            </w:tcMar>
          </w:tcPr>
          <w:p>
            <w:r>
              <w:rPr>
                <w:sz w:val="19"/>
                <w:szCs w:val="19"/>
              </w:rPr>
              <w:t xml:space="preserve">Oracle SQL</w:t>
            </w:r>
          </w:p>
        </w:tc>
        <w:tc>
          <w:tcPr>
            <w:tcW w:type="dxa" w:w="7560"/>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shd w:fill="F7F9FC" w:color="auto" w:val="clear"/>
            <w:tcMar>
              <w:top w:type="dxa" w:w="60"/>
              <w:left w:type="dxa" w:w="100"/>
              <w:bottom w:type="dxa" w:w="60"/>
              <w:right w:type="dxa" w:w="100"/>
            </w:tcMar>
          </w:tcPr>
          <w:p>
            <w:r>
              <w:rPr>
                <w:sz w:val="19"/>
                <w:szCs w:val="19"/>
              </w:rPr>
              <w:t xml:space="preserve">Oracle catalog</w:t>
            </w:r>
          </w:p>
        </w:tc>
        <w:tc>
          <w:tcPr>
            <w:tcW w:type="dxa" w:w="7560"/>
            <w:shd w:fill="F7F9FC" w:color="auto" w:val="clear"/>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r>
        <w:tc>
          <w:tcPr>
            <w:tcW w:type="dxa" w:w="1800"/>
            <w:tcMar>
              <w:top w:type="dxa" w:w="60"/>
              <w:left w:type="dxa" w:w="100"/>
              <w:bottom w:type="dxa" w:w="60"/>
              <w:right w:type="dxa" w:w="100"/>
            </w:tcMar>
          </w:tcPr>
          <w:p>
            <w:r>
              <w:rPr>
                <w:sz w:val="19"/>
                <w:szCs w:val="19"/>
              </w:rPr>
              <w:t xml:space="preserve">Sync</w:t>
            </w:r>
          </w:p>
        </w:tc>
        <w:tc>
          <w:tcPr>
            <w:tcW w:type="dxa" w:w="7560"/>
            <w:tcMar>
              <w:top w:type="dxa" w:w="60"/>
              <w:left w:type="dxa" w:w="100"/>
              <w:bottom w:type="dxa" w:w="60"/>
              <w:right w:type="dxa" w:w="100"/>
            </w:tcMar>
          </w:tcPr>
          <w:p>
            <w:r>
              <w:rPr>
                <w:sz w:val="19"/>
                <w:szCs w:val="19"/>
              </w:rPr>
              <w:t xml:space="preserve">Never filter "changed since" by a client timestamp while using a server clock as the watermark. A row written after a client's watermark can carry an older client timestamp, so it would never be delivered — see section 9.</w:t>
            </w:r>
          </w:p>
        </w:tc>
      </w:tr>
      <w:tr>
        <w:tc>
          <w:tcPr>
            <w:tcW w:type="dxa" w:w="1800"/>
            <w:shd w:fill="F7F9FC" w:color="auto" w:val="clear"/>
            <w:tcMar>
              <w:top w:type="dxa" w:w="60"/>
              <w:left w:type="dxa" w:w="100"/>
              <w:bottom w:type="dxa" w:w="60"/>
              <w:right w:type="dxa" w:w="100"/>
            </w:tcMar>
          </w:tcPr>
          <w:p>
            <w:r>
              <w:rPr>
                <w:sz w:val="19"/>
                <w:szCs w:val="19"/>
              </w:rPr>
              <w:t xml:space="preserve">Encryption</w:t>
            </w:r>
          </w:p>
        </w:tc>
        <w:tc>
          <w:tcPr>
            <w:tcW w:type="dxa" w:w="7560"/>
            <w:shd w:fill="F7F9FC" w:color="auto" w:val="clear"/>
            <w:tcMar>
              <w:top w:type="dxa" w:w="60"/>
              <w:left w:type="dxa" w:w="100"/>
              <w:bottom w:type="dxa" w:w="60"/>
              <w:right w:type="dxa" w:w="100"/>
            </w:tcMar>
          </w:tcPr>
          <w:p>
            <w:r>
              <w:rPr>
                <w:sz w:val="19"/>
                <w:szCs w:val="19"/>
              </w:rPr>
              <w:t xml:space="preserve">Rows arriving from the server are already ciphertext; applying them must bypass encryption or they get double-wrapped. Hence the separate raw read/write paths in CatalogStore.</w:t>
            </w:r>
          </w:p>
        </w:tc>
      </w:tr>
      <w:tr>
        <w:tc>
          <w:tcPr>
            <w:tcW w:type="dxa" w:w="1800"/>
            <w:tcMar>
              <w:top w:type="dxa" w:w="60"/>
              <w:left w:type="dxa" w:w="100"/>
              <w:bottom w:type="dxa" w:w="60"/>
              <w:right w:type="dxa" w:w="100"/>
            </w:tcMar>
          </w:tcPr>
          <w:p>
            <w:r>
              <w:rPr>
                <w:sz w:val="19"/>
                <w:szCs w:val="19"/>
              </w:rPr>
              <w:t xml:space="preserve">Encryption</w:t>
            </w:r>
          </w:p>
        </w:tc>
        <w:tc>
          <w:tcPr>
            <w:tcW w:type="dxa" w:w="7560"/>
            <w:tcMar>
              <w:top w:type="dxa" w:w="60"/>
              <w:left w:type="dxa" w:w="100"/>
              <w:bottom w:type="dxa" w:w="60"/>
              <w:right w:type="dxa" w:w="100"/>
            </w:tcMar>
          </w:tcPr>
          <w:p>
            <w:r>
              <w:rPr>
                <w:sz w:val="19"/>
                <w:szCs w:val="19"/>
              </w:rPr>
              <w:t xml:space="preserve">Once the name column holds ciphertext, ORDER BY name in SQL is meaningless — sorting has to happen in memory after decryption.</w:t>
            </w:r>
          </w:p>
        </w:tc>
      </w:tr>
      <w:tr>
        <w:tc>
          <w:tcPr>
            <w:tcW w:type="dxa" w:w="1800"/>
            <w:shd w:fill="F7F9FC" w:color="auto" w:val="clear"/>
            <w:tcMar>
              <w:top w:type="dxa" w:w="60"/>
              <w:left w:type="dxa" w:w="100"/>
              <w:bottom w:type="dxa" w:w="60"/>
              <w:right w:type="dxa" w:w="100"/>
            </w:tcMar>
          </w:tcPr>
          <w:p>
            <w:r>
              <w:rPr>
                <w:sz w:val="19"/>
                <w:szCs w:val="19"/>
              </w:rPr>
              <w:t xml:space="preserve">global.json</w:t>
            </w:r>
          </w:p>
        </w:tc>
        <w:tc>
          <w:tcPr>
            <w:tcW w:type="dxa" w:w="7560"/>
            <w:shd w:fill="F7F9FC" w:color="auto" w:val="clear"/>
            <w:tcMar>
              <w:top w:type="dxa" w:w="60"/>
              <w:left w:type="dxa" w:w="100"/>
              <w:bottom w:type="dxa" w:w="60"/>
              <w:right w:type="dxa" w:w="100"/>
            </w:tcMar>
          </w:tcPr>
          <w:p>
            <w:r>
              <w:rPr>
                <w:sz w:val="19"/>
                <w:szCs w:val="19"/>
              </w:rPr>
              <w:t xml:space="preserve">Never pin to whichever SDK happens to be installed, especially a preview. Roll-forward only moves forward, so a lower installed version can never satisfy a higher pin and the repository stops building elsewhere.</w:t>
            </w:r>
          </w:p>
        </w:tc>
      </w:tr>
      <w:tr>
        <w:tc>
          <w:tcPr>
            <w:tcW w:type="dxa" w:w="1800"/>
            <w:tcMar>
              <w:top w:type="dxa" w:w="60"/>
              <w:left w:type="dxa" w:w="100"/>
              <w:bottom w:type="dxa" w:w="60"/>
              <w:right w:type="dxa" w:w="100"/>
            </w:tcMar>
          </w:tcPr>
          <w:p>
            <w:r>
              <w:rPr>
                <w:sz w:val="19"/>
                <w:szCs w:val="19"/>
              </w:rPr>
              <w:t xml:space="preserve">Line endings</w:t>
            </w:r>
          </w:p>
        </w:tc>
        <w:tc>
          <w:tcPr>
            <w:tcW w:type="dxa" w:w="7560"/>
            <w:tcMar>
              <w:top w:type="dxa" w:w="60"/>
              <w:left w:type="dxa" w:w="100"/>
              <w:bottom w:type="dxa" w:w="60"/>
              <w:right w:type="dxa" w:w="100"/>
            </w:tcMar>
          </w:tcPr>
          <w:p>
            <w:r>
              <w:rPr>
                <w:sz w:val="19"/>
                <w:szCs w:val="19"/>
              </w:rPr>
              <w:t xml:space="preserve">A Makefile checked out with CRLF breaks GNU Make: the trailing carriage return lands inside recipes and after line-continuation backslashes. .gitattributes pins Makefile, *.sh, Dockerfile and *.service to LF.</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0.4.0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2026-07-22T13:40:34.253Z</dcterms:created>
  <dcterms:modified xsi:type="dcterms:W3CDTF">2026-07-22T13:40:34.253Z</dcterms:modified>
</cp:coreProperties>
</file>

<file path=docProps/custom.xml><?xml version="1.0" encoding="utf-8"?>
<Properties xmlns="http://schemas.openxmlformats.org/officeDocument/2006/custom-properties" xmlns:vt="http://schemas.openxmlformats.org/officeDocument/2006/docPropsVTypes"/>
</file>