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96"/>
          <w:szCs w:val="96"/>
        </w:rPr>
        <w:t xml:space="preserve">Qplus</w:t>
      </w:r>
    </w:p>
    <w:p>
      <w:pPr>
        <w:spacing w:after="400" w:before="200"/>
        <w:jc w:val="center"/>
      </w:pPr>
      <w:r>
        <w:rPr>
          <w:color w:val="404040"/>
          <w:sz w:val="44"/>
          <w:szCs w:val="44"/>
        </w:rPr>
        <w:t xml:space="preserve">Technical Documentation</w:t>
      </w:r>
    </w:p>
    <w:p>
      <w:pPr>
        <w:spacing w:after="1600"/>
        <w:jc w:val="center"/>
      </w:pPr>
      <w:r>
        <w:rPr>
          <w:i/>
          <w:iCs/>
          <w:color w:val="606060"/>
          <w:sz w:val="24"/>
          <w:szCs w:val="24"/>
        </w:rPr>
        <w:t xml:space="preserve">Architecture, implementation and maintenance</w:t>
      </w:r>
    </w:p>
    <w:p>
      <w:pPr>
        <w:jc w:val="center"/>
      </w:pPr>
      <w:r>
        <w:rPr>
          <w:color w:val="808080"/>
          <w:sz w:val="22"/>
          <w:szCs w:val="22"/>
        </w:rPr>
        <w:t xml:space="preserve">Version 0.4.0</w:t>
      </w:r>
    </w:p>
    <w:p>
      <w:r>
        <w:br w:type="page"/>
      </w:r>
    </w:p>
    <w:p>
      <w:pPr>
        <w:pStyle w:val="Heading1"/>
        <w:spacing w:after="200"/>
      </w:pPr>
      <w:r>
        <w:t xml:space="preserve">Contents</w:t>
      </w:r>
    </w:p>
    <w:p>
      <w:pPr>
        <w:spacing w:after="100"/>
        <w:ind w:left="240"/>
      </w:pPr>
      <w:r>
        <w:rPr>
          <w:sz w:val="22"/>
          <w:szCs w:val="22"/>
        </w:rPr>
        <w:t xml:space="preserve">1.  Overview</w:t>
      </w:r>
    </w:p>
    <w:p>
      <w:pPr>
        <w:spacing w:after="100"/>
        <w:ind w:left="240"/>
      </w:pPr>
      <w:r>
        <w:rPr>
          <w:sz w:val="22"/>
          <w:szCs w:val="22"/>
        </w:rPr>
        <w:t xml:space="preserve">2.  Solution layout</w:t>
      </w:r>
    </w:p>
    <w:p>
      <w:pPr>
        <w:spacing w:after="100"/>
        <w:ind w:left="240"/>
      </w:pPr>
      <w:r>
        <w:rPr>
          <w:sz w:val="22"/>
          <w:szCs w:val="22"/>
        </w:rPr>
        <w:t xml:space="preserve">3.  The engine abstraction</w:t>
      </w:r>
    </w:p>
    <w:p>
      <w:pPr>
        <w:spacing w:after="100"/>
        <w:ind w:left="240"/>
      </w:pPr>
      <w:r>
        <w:rPr>
          <w:sz w:val="22"/>
          <w:szCs w:val="22"/>
        </w:rPr>
        <w:t xml:space="preserve">4.  Query execution</w:t>
      </w:r>
    </w:p>
    <w:p>
      <w:pPr>
        <w:spacing w:after="100"/>
        <w:ind w:left="240"/>
      </w:pPr>
      <w:r>
        <w:rPr>
          <w:sz w:val="22"/>
          <w:szCs w:val="22"/>
        </w:rPr>
        <w:t xml:space="preserve">5.  Metadata and auto-completion</w:t>
      </w:r>
    </w:p>
    <w:p>
      <w:pPr>
        <w:spacing w:after="100"/>
        <w:ind w:left="240"/>
      </w:pPr>
      <w:r>
        <w:rPr>
          <w:sz w:val="22"/>
          <w:szCs w:val="22"/>
        </w:rPr>
        <w:t xml:space="preserve">6.  Table details and data editing</w:t>
      </w:r>
    </w:p>
    <w:p>
      <w:pPr>
        <w:spacing w:after="100"/>
        <w:ind w:left="240"/>
      </w:pPr>
      <w:r>
        <w:rPr>
          <w:sz w:val="22"/>
          <w:szCs w:val="22"/>
        </w:rPr>
        <w:t xml:space="preserve">7.  User administration</w:t>
      </w:r>
    </w:p>
    <w:p>
      <w:pPr>
        <w:spacing w:after="100"/>
        <w:ind w:left="240"/>
      </w:pPr>
      <w:r>
        <w:rPr>
          <w:sz w:val="22"/>
          <w:szCs w:val="22"/>
        </w:rPr>
        <w:t xml:space="preserve">8.  Local catalog</w:t>
      </w:r>
    </w:p>
    <w:p>
      <w:pPr>
        <w:spacing w:after="100"/>
        <w:ind w:left="240"/>
      </w:pPr>
      <w:r>
        <w:rPr>
          <w:sz w:val="22"/>
          <w:szCs w:val="22"/>
        </w:rPr>
        <w:t xml:space="preserve">9.  Query sync</w:t>
      </w:r>
    </w:p>
    <w:p>
      <w:pPr>
        <w:spacing w:after="100"/>
        <w:ind w:left="240"/>
      </w:pPr>
      <w:r>
        <w:rPr>
          <w:sz w:val="22"/>
          <w:szCs w:val="22"/>
        </w:rPr>
        <w:t xml:space="preserve">10.  Query encryption</w:t>
      </w:r>
    </w:p>
    <w:p>
      <w:pPr>
        <w:spacing w:after="100"/>
        <w:ind w:left="240"/>
      </w:pPr>
      <w:r>
        <w:rPr>
          <w:sz w:val="22"/>
          <w:szCs w:val="22"/>
        </w:rPr>
        <w:t xml:space="preserve">11.  Theming</w:t>
      </w:r>
    </w:p>
    <w:p>
      <w:pPr>
        <w:spacing w:after="100"/>
        <w:ind w:left="240"/>
      </w:pPr>
      <w:r>
        <w:rPr>
          <w:sz w:val="22"/>
          <w:szCs w:val="22"/>
        </w:rPr>
        <w:t xml:space="preserve">12.  Building and publishing</w:t>
      </w:r>
    </w:p>
    <w:p>
      <w:pPr>
        <w:spacing w:after="100"/>
        <w:ind w:left="240"/>
      </w:pPr>
      <w:r>
        <w:rPr>
          <w:sz w:val="22"/>
          <w:szCs w:val="22"/>
        </w:rPr>
        <w:t xml:space="preserve">13.  Testing</w:t>
      </w:r>
    </w:p>
    <w:p>
      <w:pPr>
        <w:spacing w:after="100"/>
        <w:ind w:left="240"/>
      </w:pPr>
      <w:r>
        <w:rPr>
          <w:sz w:val="22"/>
          <w:szCs w:val="22"/>
        </w:rPr>
        <w:t xml:space="preserve">14.  Known limitations</w:t>
      </w:r>
    </w:p>
    <w:p>
      <w:pPr>
        <w:spacing w:after="100"/>
        <w:ind w:left="240"/>
      </w:pPr>
      <w:r>
        <w:rPr>
          <w:sz w:val="22"/>
          <w:szCs w:val="22"/>
        </w:rPr>
        <w:t xml:space="preserve">15.  Implementation notes and pitfalls</w:t>
      </w:r>
    </w:p>
    <w:p>
      <w:pPr>
        <w:spacing w:after="100"/>
        <w:ind w:left="240"/>
      </w:pPr>
      <w:r>
        <w:rPr>
          <w:sz w:val="22"/>
          <w:szCs w:val="22"/>
        </w:rPr>
        <w:t xml:space="preserve">16.  Extending Qplus</w:t>
      </w:r>
    </w:p>
    <w:p>
      <w:r>
        <w:br w:type="page"/>
      </w:r>
    </w:p>
    <w:p>
      <w:pPr>
        <w:pStyle w:val="Heading1"/>
        <w:spacing w:after="160" w:before="360"/>
      </w:pPr>
      <w:r>
        <w:t xml:space="preserve">1. Overview</w:t>
      </w:r>
    </w:p>
    <w:p>
      <w:pPr>
        <w:spacing w:after="120"/>
      </w:pPr>
      <w:r>
        <w:t xml:space="preserve">Qplus is a WPF desktop application targeting .NET 8 (net8.0-windows). It provides SQL Server and Oracle client functionality comparable to the core of SQL Server Management Studio and Oracle SQL Developer.</w:t>
      </w:r>
    </w:p>
    <w:p>
      <w:pPr>
        <w:spacing w:after="120"/>
      </w:pPr>
      <w:r>
        <w:t xml:space="preserve">The codebase separates engine-specific behaviour from the user interface. All database dialect differences are confined to a small number of implementations behind two interfaces, so support for an additional engine is largely a matter of adding two classes.</w:t>
      </w:r>
    </w:p>
    <w:p>
      <w:pPr>
        <w:pStyle w:val="Heading2"/>
        <w:spacing w:after="120" w:before="280"/>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60"/>
      </w:tblGrid>
      <w:tr>
        <w:trPr>
          <w:tblHeader/>
        </w:trPr>
        <w:tc>
          <w:tcPr>
            <w:tcW w:type="dxa" w:w="2100"/>
            <w:shd w:fill="1F3864" w:color="auto" w:val="clear"/>
            <w:tcMar>
              <w:top w:type="dxa" w:w="60"/>
              <w:left w:type="dxa" w:w="100"/>
              <w:bottom w:type="dxa" w:w="60"/>
              <w:right w:type="dxa" w:w="100"/>
            </w:tcMar>
          </w:tcPr>
          <w:p>
            <w:r>
              <w:rPr>
                <w:b/>
                <w:bCs/>
                <w:color w:val="FFFFFF"/>
                <w:sz w:val="19"/>
                <w:szCs w:val="19"/>
              </w:rPr>
              <w:t xml:space="preserve">Component</w:t>
            </w:r>
          </w:p>
        </w:tc>
        <w:tc>
          <w:tcPr>
            <w:tcW w:type="dxa" w:w="3200"/>
            <w:shd w:fill="1F3864" w:color="auto" w:val="clear"/>
            <w:tcMar>
              <w:top w:type="dxa" w:w="60"/>
              <w:left w:type="dxa" w:w="100"/>
              <w:bottom w:type="dxa" w:w="60"/>
              <w:right w:type="dxa" w:w="100"/>
            </w:tcMar>
          </w:tcPr>
          <w:p>
            <w:r>
              <w:rPr>
                <w:b/>
                <w:bCs/>
                <w:color w:val="FFFFFF"/>
                <w:sz w:val="19"/>
                <w:szCs w:val="19"/>
              </w:rPr>
              <w:t xml:space="preserve">Choice</w:t>
            </w:r>
          </w:p>
        </w:tc>
        <w:tc>
          <w:tcPr>
            <w:tcW w:type="dxa" w:w="4060"/>
            <w:shd w:fill="1F3864" w:color="auto" w:val="clear"/>
            <w:tcMar>
              <w:top w:type="dxa" w:w="60"/>
              <w:left w:type="dxa" w:w="100"/>
              <w:bottom w:type="dxa" w:w="60"/>
              <w:right w:type="dxa" w:w="100"/>
            </w:tcMar>
          </w:tcPr>
          <w:p>
            <w:r>
              <w:rPr>
                <w:b/>
                <w:bCs/>
                <w:color w:val="FFFFFF"/>
                <w:sz w:val="19"/>
                <w:szCs w:val="19"/>
              </w:rPr>
              <w:t xml:space="preserve">Rationale</w:t>
            </w:r>
          </w:p>
        </w:tc>
      </w:tr>
      <w:tr>
        <w:tc>
          <w:tcPr>
            <w:tcW w:type="dxa" w:w="2100"/>
            <w:tcMar>
              <w:top w:type="dxa" w:w="60"/>
              <w:left w:type="dxa" w:w="100"/>
              <w:bottom w:type="dxa" w:w="60"/>
              <w:right w:type="dxa" w:w="100"/>
            </w:tcMar>
          </w:tcPr>
          <w:p>
            <w:r>
              <w:rPr>
                <w:sz w:val="19"/>
                <w:szCs w:val="19"/>
              </w:rPr>
              <w:t xml:space="preserve">UI framework</w:t>
            </w:r>
          </w:p>
        </w:tc>
        <w:tc>
          <w:tcPr>
            <w:tcW w:type="dxa" w:w="3200"/>
            <w:tcMar>
              <w:top w:type="dxa" w:w="60"/>
              <w:left w:type="dxa" w:w="100"/>
              <w:bottom w:type="dxa" w:w="60"/>
              <w:right w:type="dxa" w:w="100"/>
            </w:tcMar>
          </w:tcPr>
          <w:p>
            <w:r>
              <w:rPr>
                <w:sz w:val="19"/>
                <w:szCs w:val="19"/>
              </w:rPr>
              <w:t xml:space="preserve">WPF on .NET 8</w:t>
            </w:r>
          </w:p>
        </w:tc>
        <w:tc>
          <w:tcPr>
            <w:tcW w:type="dxa" w:w="4060"/>
            <w:tcMar>
              <w:top w:type="dxa" w:w="60"/>
              <w:left w:type="dxa" w:w="100"/>
              <w:bottom w:type="dxa" w:w="60"/>
              <w:right w:type="dxa" w:w="100"/>
            </w:tcMar>
          </w:tcPr>
          <w:p>
            <w:r>
              <w:rPr>
                <w:sz w:val="19"/>
                <w:szCs w:val="19"/>
              </w:rPr>
              <w:t xml:space="preserve">Rich data-grid and docking behaviour; mature ecosystem</w:t>
            </w:r>
          </w:p>
        </w:tc>
      </w:tr>
      <w:tr>
        <w:tc>
          <w:tcPr>
            <w:tcW w:type="dxa" w:w="2100"/>
            <w:shd w:fill="F7F9FC" w:color="auto" w:val="clear"/>
            <w:tcMar>
              <w:top w:type="dxa" w:w="60"/>
              <w:left w:type="dxa" w:w="100"/>
              <w:bottom w:type="dxa" w:w="60"/>
              <w:right w:type="dxa" w:w="100"/>
            </w:tcMar>
          </w:tcPr>
          <w:p>
            <w:r>
              <w:rPr>
                <w:sz w:val="19"/>
                <w:szCs w:val="19"/>
              </w:rPr>
              <w:t xml:space="preserve">SQL Server driver</w:t>
            </w:r>
          </w:p>
        </w:tc>
        <w:tc>
          <w:tcPr>
            <w:tcW w:type="dxa" w:w="3200"/>
            <w:shd w:fill="F7F9FC" w:color="auto" w:val="clear"/>
            <w:tcMar>
              <w:top w:type="dxa" w:w="60"/>
              <w:left w:type="dxa" w:w="100"/>
              <w:bottom w:type="dxa" w:w="60"/>
              <w:right w:type="dxa" w:w="100"/>
            </w:tcMar>
          </w:tcPr>
          <w:p>
            <w:r>
              <w:rPr>
                <w:sz w:val="19"/>
                <w:szCs w:val="19"/>
              </w:rPr>
              <w:t xml:space="preserve">Microsoft.Data.SqlClient 5.2</w:t>
            </w:r>
          </w:p>
        </w:tc>
        <w:tc>
          <w:tcPr>
            <w:tcW w:type="dxa" w:w="4060"/>
            <w:shd w:fill="F7F9FC" w:color="auto" w:val="clear"/>
            <w:tcMar>
              <w:top w:type="dxa" w:w="60"/>
              <w:left w:type="dxa" w:w="100"/>
              <w:bottom w:type="dxa" w:w="60"/>
              <w:right w:type="dxa" w:w="100"/>
            </w:tcMar>
          </w:tcPr>
          <w:p>
            <w:r>
              <w:rPr>
                <w:sz w:val="19"/>
                <w:szCs w:val="19"/>
              </w:rPr>
              <w:t xml:space="preserve">Current supported driver; async support</w:t>
            </w:r>
          </w:p>
        </w:tc>
      </w:tr>
      <w:tr>
        <w:tc>
          <w:tcPr>
            <w:tcW w:type="dxa" w:w="2100"/>
            <w:tcMar>
              <w:top w:type="dxa" w:w="60"/>
              <w:left w:type="dxa" w:w="100"/>
              <w:bottom w:type="dxa" w:w="60"/>
              <w:right w:type="dxa" w:w="100"/>
            </w:tcMar>
          </w:tcPr>
          <w:p>
            <w:r>
              <w:rPr>
                <w:sz w:val="19"/>
                <w:szCs w:val="19"/>
              </w:rPr>
              <w:t xml:space="preserve">Oracle driver</w:t>
            </w:r>
          </w:p>
        </w:tc>
        <w:tc>
          <w:tcPr>
            <w:tcW w:type="dxa" w:w="3200"/>
            <w:tcMar>
              <w:top w:type="dxa" w:w="60"/>
              <w:left w:type="dxa" w:w="100"/>
              <w:bottom w:type="dxa" w:w="60"/>
              <w:right w:type="dxa" w:w="100"/>
            </w:tcMar>
          </w:tcPr>
          <w:p>
            <w:r>
              <w:rPr>
                <w:sz w:val="19"/>
                <w:szCs w:val="19"/>
              </w:rPr>
              <w:t xml:space="preserve">Oracle.ManagedDataAccess.Core 23.x</w:t>
            </w:r>
          </w:p>
        </w:tc>
        <w:tc>
          <w:tcPr>
            <w:tcW w:type="dxa" w:w="4060"/>
            <w:tcMar>
              <w:top w:type="dxa" w:w="60"/>
              <w:left w:type="dxa" w:w="100"/>
              <w:bottom w:type="dxa" w:w="60"/>
              <w:right w:type="dxa" w:w="100"/>
            </w:tcMar>
          </w:tcPr>
          <w:p>
            <w:r>
              <w:rPr>
                <w:sz w:val="19"/>
                <w:szCs w:val="19"/>
              </w:rPr>
              <w:t xml:space="preserve">Fully managed — no Oracle client install required</w:t>
            </w:r>
          </w:p>
        </w:tc>
      </w:tr>
      <w:tr>
        <w:tc>
          <w:tcPr>
            <w:tcW w:type="dxa" w:w="2100"/>
            <w:shd w:fill="F7F9FC" w:color="auto" w:val="clear"/>
            <w:tcMar>
              <w:top w:type="dxa" w:w="60"/>
              <w:left w:type="dxa" w:w="100"/>
              <w:bottom w:type="dxa" w:w="60"/>
              <w:right w:type="dxa" w:w="100"/>
            </w:tcMar>
          </w:tcPr>
          <w:p>
            <w:r>
              <w:rPr>
                <w:sz w:val="19"/>
                <w:szCs w:val="19"/>
              </w:rPr>
              <w:t xml:space="preserve">Local storage</w:t>
            </w:r>
          </w:p>
        </w:tc>
        <w:tc>
          <w:tcPr>
            <w:tcW w:type="dxa" w:w="3200"/>
            <w:shd w:fill="F7F9FC" w:color="auto" w:val="clear"/>
            <w:tcMar>
              <w:top w:type="dxa" w:w="60"/>
              <w:left w:type="dxa" w:w="100"/>
              <w:bottom w:type="dxa" w:w="60"/>
              <w:right w:type="dxa" w:w="100"/>
            </w:tcMar>
          </w:tcPr>
          <w:p>
            <w:r>
              <w:rPr>
                <w:sz w:val="19"/>
                <w:szCs w:val="19"/>
              </w:rPr>
              <w:t xml:space="preserve">Microsoft.Data.Sqlite 8.0</w:t>
            </w:r>
          </w:p>
        </w:tc>
        <w:tc>
          <w:tcPr>
            <w:tcW w:type="dxa" w:w="4060"/>
            <w:shd w:fill="F7F9FC" w:color="auto" w:val="clear"/>
            <w:tcMar>
              <w:top w:type="dxa" w:w="60"/>
              <w:left w:type="dxa" w:w="100"/>
              <w:bottom w:type="dxa" w:w="60"/>
              <w:right w:type="dxa" w:w="100"/>
            </w:tcMar>
          </w:tcPr>
          <w:p>
            <w:r>
              <w:rPr>
                <w:sz w:val="19"/>
                <w:szCs w:val="19"/>
              </w:rPr>
              <w:t xml:space="preserve">Single-file catalog, no server needed</w:t>
            </w:r>
          </w:p>
        </w:tc>
      </w:tr>
      <w:tr>
        <w:tc>
          <w:tcPr>
            <w:tcW w:type="dxa" w:w="2100"/>
            <w:tcMar>
              <w:top w:type="dxa" w:w="60"/>
              <w:left w:type="dxa" w:w="100"/>
              <w:bottom w:type="dxa" w:w="60"/>
              <w:right w:type="dxa" w:w="100"/>
            </w:tcMar>
          </w:tcPr>
          <w:p>
            <w:r>
              <w:rPr>
                <w:sz w:val="19"/>
                <w:szCs w:val="19"/>
              </w:rPr>
              <w:t xml:space="preserve">SQL editor</w:t>
            </w:r>
          </w:p>
        </w:tc>
        <w:tc>
          <w:tcPr>
            <w:tcW w:type="dxa" w:w="3200"/>
            <w:tcMar>
              <w:top w:type="dxa" w:w="60"/>
              <w:left w:type="dxa" w:w="100"/>
              <w:bottom w:type="dxa" w:w="60"/>
              <w:right w:type="dxa" w:w="100"/>
            </w:tcMar>
          </w:tcPr>
          <w:p>
            <w:r>
              <w:rPr>
                <w:sz w:val="19"/>
                <w:szCs w:val="19"/>
              </w:rPr>
              <w:t xml:space="preserve">AvalonEdit 6.3</w:t>
            </w:r>
          </w:p>
        </w:tc>
        <w:tc>
          <w:tcPr>
            <w:tcW w:type="dxa" w:w="4060"/>
            <w:tcMar>
              <w:top w:type="dxa" w:w="60"/>
              <w:left w:type="dxa" w:w="100"/>
              <w:bottom w:type="dxa" w:w="60"/>
              <w:right w:type="dxa" w:w="100"/>
            </w:tcMar>
          </w:tcPr>
          <w:p>
            <w:r>
              <w:rPr>
                <w:sz w:val="19"/>
                <w:szCs w:val="19"/>
              </w:rPr>
              <w:t xml:space="preserve">Syntax highlighting, code completion window</w:t>
            </w:r>
          </w:p>
        </w:tc>
      </w:tr>
      <w:tr>
        <w:tc>
          <w:tcPr>
            <w:tcW w:type="dxa" w:w="2100"/>
            <w:shd w:fill="F7F9FC" w:color="auto" w:val="clear"/>
            <w:tcMar>
              <w:top w:type="dxa" w:w="60"/>
              <w:left w:type="dxa" w:w="100"/>
              <w:bottom w:type="dxa" w:w="60"/>
              <w:right w:type="dxa" w:w="100"/>
            </w:tcMar>
          </w:tcPr>
          <w:p>
            <w:r>
              <w:rPr>
                <w:sz w:val="19"/>
                <w:szCs w:val="19"/>
              </w:rPr>
              <w:t xml:space="preserve">Secret protection</w:t>
            </w:r>
          </w:p>
        </w:tc>
        <w:tc>
          <w:tcPr>
            <w:tcW w:type="dxa" w:w="3200"/>
            <w:shd w:fill="F7F9FC" w:color="auto" w:val="clear"/>
            <w:tcMar>
              <w:top w:type="dxa" w:w="60"/>
              <w:left w:type="dxa" w:w="100"/>
              <w:bottom w:type="dxa" w:w="60"/>
              <w:right w:type="dxa" w:w="100"/>
            </w:tcMar>
          </w:tcPr>
          <w:p>
            <w:r>
              <w:rPr>
                <w:sz w:val="19"/>
                <w:szCs w:val="19"/>
              </w:rPr>
              <w:t xml:space="preserve">System.Security.Cryptography.ProtectedData</w:t>
            </w:r>
          </w:p>
        </w:tc>
        <w:tc>
          <w:tcPr>
            <w:tcW w:type="dxa" w:w="4060"/>
            <w:shd w:fill="F7F9FC" w:color="auto" w:val="clear"/>
            <w:tcMar>
              <w:top w:type="dxa" w:w="60"/>
              <w:left w:type="dxa" w:w="100"/>
              <w:bottom w:type="dxa" w:w="60"/>
              <w:right w:type="dxa" w:w="100"/>
            </w:tcMar>
          </w:tcPr>
          <w:p>
            <w:r>
              <w:rPr>
                <w:sz w:val="19"/>
                <w:szCs w:val="19"/>
              </w:rPr>
              <w:t xml:space="preserve">Windows DPAPI, per-user</w:t>
            </w:r>
          </w:p>
        </w:tc>
      </w:tr>
    </w:tbl>
    <w:p>
      <w:pPr>
        <w:pStyle w:val="Heading1"/>
        <w:spacing w:after="160" w:before="360"/>
      </w:pPr>
      <w:r>
        <w:t xml:space="preserve">2. Solution layout</w:t>
      </w:r>
    </w:p>
    <w:p>
      <w:pPr>
        <w:shd w:fill="F2F2F2" w:color="auto" w:val="clear"/>
        <w:spacing w:after="60" w:before="60"/>
        <w:ind w:left="360"/>
      </w:pPr>
      <w:r>
        <w:rPr>
          <w:rFonts w:ascii="Consolas" w:cs="Consolas" w:eastAsia="Consolas" w:hAnsi="Consolas"/>
          <w:sz w:val="18"/>
          <w:szCs w:val="18"/>
        </w:rPr>
        <w:t xml:space="preserve">Qplus/</w:t>
      </w:r>
    </w:p>
    <w:p>
      <w:pPr>
        <w:shd w:fill="F2F2F2" w:color="auto" w:val="clear"/>
        <w:spacing w:after="60" w:before="60"/>
        <w:ind w:left="360"/>
      </w:pPr>
      <w:r>
        <w:rPr>
          <w:rFonts w:ascii="Consolas" w:cs="Consolas" w:eastAsia="Consolas" w:hAnsi="Consolas"/>
          <w:sz w:val="18"/>
          <w:szCs w:val="18"/>
        </w:rPr>
        <w:t xml:space="preserve">  Qplus.slnx                    solution (SDK 10 XML format)</w:t>
      </w:r>
    </w:p>
    <w:p>
      <w:pPr>
        <w:shd w:fill="F2F2F2" w:color="auto" w:val="clear"/>
        <w:spacing w:after="60" w:before="60"/>
        <w:ind w:left="360"/>
      </w:pPr>
      <w:r>
        <w:rPr>
          <w:rFonts w:ascii="Consolas" w:cs="Consolas" w:eastAsia="Consolas" w:hAnsi="Consolas"/>
          <w:sz w:val="18"/>
          <w:szCs w:val="18"/>
        </w:rPr>
        <w:t xml:space="preserve">  global.json                   SDK pin</w:t>
      </w:r>
    </w:p>
    <w:p>
      <w:pPr>
        <w:shd w:fill="F2F2F2" w:color="auto" w:val="clear"/>
        <w:spacing w:after="60" w:before="60"/>
        <w:ind w:left="360"/>
      </w:pPr>
      <w:r>
        <w:rPr>
          <w:rFonts w:ascii="Consolas" w:cs="Consolas" w:eastAsia="Consolas" w:hAnsi="Consolas"/>
          <w:sz w:val="18"/>
          <w:szCs w:val="18"/>
        </w:rPr>
        <w:t xml:space="preserve">  publish/Qplus.exe             single-file build output</w:t>
      </w:r>
    </w:p>
    <w:p>
      <w:pPr>
        <w:shd w:fill="F2F2F2" w:color="auto" w:val="clear"/>
        <w:spacing w:after="60" w:before="60"/>
        <w:ind w:left="360"/>
      </w:pPr>
      <w:r>
        <w:rPr>
          <w:rFonts w:ascii="Consolas" w:cs="Consolas" w:eastAsia="Consolas" w:hAnsi="Consolas"/>
          <w:sz w:val="18"/>
          <w:szCs w:val="18"/>
        </w:rPr>
        <w:t xml:space="preserve">  src/Qplus.Core/               engine abstraction, storage, metadata</w:t>
      </w:r>
    </w:p>
    <w:p>
      <w:pPr>
        <w:shd w:fill="F2F2F2" w:color="auto" w:val="clear"/>
        <w:spacing w:after="60" w:before="60"/>
        <w:ind w:left="360"/>
      </w:pPr>
      <w:r>
        <w:rPr>
          <w:rFonts w:ascii="Consolas" w:cs="Consolas" w:eastAsia="Consolas" w:hAnsi="Consolas"/>
          <w:sz w:val="18"/>
          <w:szCs w:val="18"/>
        </w:rPr>
        <w:t xml:space="preserve">  src/Qplus.App/                WPF application (assembly name: Qplus)</w:t>
      </w:r>
    </w:p>
    <w:p>
      <w:pPr>
        <w:shd w:fill="F2F2F2" w:color="auto" w:val="clear"/>
        <w:spacing w:after="60" w:before="60"/>
        <w:ind w:left="360"/>
      </w:pPr>
      <w:r>
        <w:rPr>
          <w:rFonts w:ascii="Consolas" w:cs="Consolas" w:eastAsia="Consolas" w:hAnsi="Consolas"/>
          <w:sz w:val="18"/>
          <w:szCs w:val="18"/>
        </w:rPr>
        <w:t xml:space="preserve">  src/Qplus.Server/             Linux query-sync service (ASP.NET Core)</w:t>
      </w:r>
    </w:p>
    <w:p>
      <w:pPr>
        <w:shd w:fill="F2F2F2" w:color="auto" w:val="clear"/>
        <w:spacing w:after="60" w:before="60"/>
        <w:ind w:left="360"/>
      </w:pPr>
      <w:r>
        <w:rPr>
          <w:rFonts w:ascii="Consolas" w:cs="Consolas" w:eastAsia="Consolas" w:hAnsi="Consolas"/>
          <w:sz w:val="18"/>
          <w:szCs w:val="18"/>
        </w:rPr>
        <w:t xml:space="preserve">  tests/Qplus.ReaderTests/      unit + live integration tests</w:t>
      </w:r>
    </w:p>
    <w:p>
      <w:pPr>
        <w:spacing w:after="120"/>
      </w:pPr>
    </w:p>
    <w:p>
      <w:pPr>
        <w:spacing w:after="120"/>
      </w:pPr>
      <w:r>
        <w:t xml:space="preserve">Dependency direction is strictly one-way: Qplus.App references Qplus.Core; Qplus.Core references nothing in the application. Qplus.Core contains no UI types, which is what allows the test project to exercise the real execution and metadata code paths without a window.</w:t>
      </w:r>
    </w:p>
    <w:p>
      <w:pPr>
        <w:pStyle w:val="Heading2"/>
        <w:spacing w:after="120" w:before="280"/>
      </w:pPr>
      <w:r>
        <w:t xml:space="preserve">Qplus.Core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shd w:fill="1F3864" w:color="auto" w:val="clear"/>
            <w:tcMar>
              <w:top w:type="dxa" w:w="60"/>
              <w:left w:type="dxa" w:w="100"/>
              <w:bottom w:type="dxa" w:w="60"/>
              <w:right w:type="dxa" w:w="100"/>
            </w:tcMar>
          </w:tcPr>
          <w:p>
            <w:r>
              <w:rPr>
                <w:b/>
                <w:bCs/>
                <w:color w:val="FFFFFF"/>
                <w:sz w:val="19"/>
                <w:szCs w:val="19"/>
              </w:rPr>
              <w:t xml:space="preserve">Namespace</w:t>
            </w:r>
          </w:p>
        </w:tc>
        <w:tc>
          <w:tcPr>
            <w:tcW w:type="dxa" w:w="4000"/>
            <w:shd w:fill="1F3864" w:color="auto" w:val="clear"/>
            <w:tcMar>
              <w:top w:type="dxa" w:w="60"/>
              <w:left w:type="dxa" w:w="100"/>
              <w:bottom w:type="dxa" w:w="60"/>
              <w:right w:type="dxa" w:w="100"/>
            </w:tcMar>
          </w:tcPr>
          <w:p>
            <w:r>
              <w:rPr>
                <w:b/>
                <w:bCs/>
                <w:color w:val="FFFFFF"/>
                <w:sz w:val="19"/>
                <w:szCs w:val="19"/>
              </w:rPr>
              <w:t xml:space="preserve">Key types</w:t>
            </w:r>
          </w:p>
        </w:tc>
        <w:tc>
          <w:tcPr>
            <w:tcW w:type="dxa" w:w="3860"/>
            <w:shd w:fill="1F3864" w:color="auto" w:val="clear"/>
            <w:tcMar>
              <w:top w:type="dxa" w:w="60"/>
              <w:left w:type="dxa" w:w="100"/>
              <w:bottom w:type="dxa" w:w="60"/>
              <w:right w:type="dxa" w:w="100"/>
            </w:tcMar>
          </w:tcPr>
          <w:p>
            <w:r>
              <w:rPr>
                <w:b/>
                <w:bCs/>
                <w:color w:val="FFFFFF"/>
                <w:sz w:val="19"/>
                <w:szCs w:val="19"/>
              </w:rPr>
              <w:t xml:space="preserve">Responsibility</w:t>
            </w:r>
          </w:p>
        </w:tc>
      </w:tr>
      <w:tr>
        <w:tc>
          <w:tcPr>
            <w:tcW w:type="dxa" w:w="1500"/>
            <w:tcMar>
              <w:top w:type="dxa" w:w="60"/>
              <w:left w:type="dxa" w:w="100"/>
              <w:bottom w:type="dxa" w:w="60"/>
              <w:right w:type="dxa" w:w="100"/>
            </w:tcMar>
          </w:tcPr>
          <w:p>
            <w:r>
              <w:rPr>
                <w:sz w:val="19"/>
                <w:szCs w:val="19"/>
              </w:rPr>
              <w:t xml:space="preserve">Data</w:t>
            </w:r>
          </w:p>
        </w:tc>
        <w:tc>
          <w:tcPr>
            <w:tcW w:type="dxa" w:w="4000"/>
            <w:tcMar>
              <w:top w:type="dxa" w:w="60"/>
              <w:left w:type="dxa" w:w="100"/>
              <w:bottom w:type="dxa" w:w="60"/>
              <w:right w:type="dxa" w:w="100"/>
            </w:tcMar>
          </w:tcPr>
          <w:p>
            <w:r>
              <w:rPr>
                <w:sz w:val="19"/>
                <w:szCs w:val="19"/>
              </w:rPr>
              <w:t xml:space="preserve">IDbEngine, SqlServerEngine, OracleEngine, DbEngines, QueryRunner, TableDataEditor</w:t>
            </w:r>
          </w:p>
        </w:tc>
        <w:tc>
          <w:tcPr>
            <w:tcW w:type="dxa" w:w="3860"/>
            <w:tcMar>
              <w:top w:type="dxa" w:w="60"/>
              <w:left w:type="dxa" w:w="100"/>
              <w:bottom w:type="dxa" w:w="60"/>
              <w:right w:type="dxa" w:w="100"/>
            </w:tcMar>
          </w:tcPr>
          <w:p>
            <w:r>
              <w:rPr>
                <w:sz w:val="19"/>
                <w:szCs w:val="19"/>
              </w:rPr>
              <w:t xml:space="preserve">Connection strings, dialect SQL, execution, editable data</w:t>
            </w:r>
          </w:p>
        </w:tc>
      </w:tr>
      <w:tr>
        <w:tc>
          <w:tcPr>
            <w:tcW w:type="dxa" w:w="1500"/>
            <w:shd w:fill="F7F9FC" w:color="auto" w:val="clear"/>
            <w:tcMar>
              <w:top w:type="dxa" w:w="60"/>
              <w:left w:type="dxa" w:w="100"/>
              <w:bottom w:type="dxa" w:w="60"/>
              <w:right w:type="dxa" w:w="100"/>
            </w:tcMar>
          </w:tcPr>
          <w:p>
            <w:r>
              <w:rPr>
                <w:sz w:val="19"/>
                <w:szCs w:val="19"/>
              </w:rPr>
              <w:t xml:space="preserve">Models</w:t>
            </w:r>
          </w:p>
        </w:tc>
        <w:tc>
          <w:tcPr>
            <w:tcW w:type="dxa" w:w="4000"/>
            <w:shd w:fill="F7F9FC" w:color="auto" w:val="clear"/>
            <w:tcMar>
              <w:top w:type="dxa" w:w="60"/>
              <w:left w:type="dxa" w:w="100"/>
              <w:bottom w:type="dxa" w:w="60"/>
              <w:right w:type="dxa" w:w="100"/>
            </w:tcMar>
          </w:tcPr>
          <w:p>
            <w:r>
              <w:rPr>
                <w:sz w:val="19"/>
                <w:szCs w:val="19"/>
              </w:rPr>
              <w:t xml:space="preserve">ConnectionInfo, SavedQuery, QueryExecutionResult, SchemaNode, TableDesign, TableDetailKind</w:t>
            </w:r>
          </w:p>
        </w:tc>
        <w:tc>
          <w:tcPr>
            <w:tcW w:type="dxa" w:w="3860"/>
            <w:shd w:fill="F7F9FC" w:color="auto" w:val="clear"/>
            <w:tcMar>
              <w:top w:type="dxa" w:w="60"/>
              <w:left w:type="dxa" w:w="100"/>
              <w:bottom w:type="dxa" w:w="60"/>
              <w:right w:type="dxa" w:w="100"/>
            </w:tcMar>
          </w:tcPr>
          <w:p>
            <w:r>
              <w:rPr>
                <w:sz w:val="19"/>
                <w:szCs w:val="19"/>
              </w:rPr>
              <w:t xml:space="preserve">Plain data contracts</w:t>
            </w:r>
          </w:p>
        </w:tc>
      </w:tr>
      <w:tr>
        <w:tc>
          <w:tcPr>
            <w:tcW w:type="dxa" w:w="1500"/>
            <w:tcMar>
              <w:top w:type="dxa" w:w="60"/>
              <w:left w:type="dxa" w:w="100"/>
              <w:bottom w:type="dxa" w:w="60"/>
              <w:right w:type="dxa" w:w="100"/>
            </w:tcMar>
          </w:tcPr>
          <w:p>
            <w:r>
              <w:rPr>
                <w:sz w:val="19"/>
                <w:szCs w:val="19"/>
              </w:rPr>
              <w:t xml:space="preserve">Storage</w:t>
            </w:r>
          </w:p>
        </w:tc>
        <w:tc>
          <w:tcPr>
            <w:tcW w:type="dxa" w:w="4000"/>
            <w:tcMar>
              <w:top w:type="dxa" w:w="60"/>
              <w:left w:type="dxa" w:w="100"/>
              <w:bottom w:type="dxa" w:w="60"/>
              <w:right w:type="dxa" w:w="100"/>
            </w:tcMar>
          </w:tcPr>
          <w:p>
            <w:r>
              <w:rPr>
                <w:sz w:val="19"/>
                <w:szCs w:val="19"/>
              </w:rPr>
              <w:t xml:space="preserve">CatalogStore</w:t>
            </w:r>
          </w:p>
        </w:tc>
        <w:tc>
          <w:tcPr>
            <w:tcW w:type="dxa" w:w="3860"/>
            <w:tcMar>
              <w:top w:type="dxa" w:w="60"/>
              <w:left w:type="dxa" w:w="100"/>
              <w:bottom w:type="dxa" w:w="60"/>
              <w:right w:type="dxa" w:w="100"/>
            </w:tcMar>
          </w:tcPr>
          <w:p>
            <w:r>
              <w:rPr>
                <w:sz w:val="19"/>
                <w:szCs w:val="19"/>
              </w:rPr>
              <w:t xml:space="preserve">SQLite catalog: connections, saved queries, settings</w:t>
            </w:r>
          </w:p>
        </w:tc>
      </w:tr>
      <w:tr>
        <w:tc>
          <w:tcPr>
            <w:tcW w:type="dxa" w:w="1500"/>
            <w:shd w:fill="F7F9FC" w:color="auto" w:val="clear"/>
            <w:tcMar>
              <w:top w:type="dxa" w:w="60"/>
              <w:left w:type="dxa" w:w="100"/>
              <w:bottom w:type="dxa" w:w="60"/>
              <w:right w:type="dxa" w:w="100"/>
            </w:tcMar>
          </w:tcPr>
          <w:p>
            <w:r>
              <w:rPr>
                <w:sz w:val="19"/>
                <w:szCs w:val="19"/>
              </w:rPr>
              <w:t xml:space="preserve">Security</w:t>
            </w:r>
          </w:p>
        </w:tc>
        <w:tc>
          <w:tcPr>
            <w:tcW w:type="dxa" w:w="4000"/>
            <w:shd w:fill="F7F9FC" w:color="auto" w:val="clear"/>
            <w:tcMar>
              <w:top w:type="dxa" w:w="60"/>
              <w:left w:type="dxa" w:w="100"/>
              <w:bottom w:type="dxa" w:w="60"/>
              <w:right w:type="dxa" w:w="100"/>
            </w:tcMar>
          </w:tcPr>
          <w:p>
            <w:r>
              <w:rPr>
                <w:sz w:val="19"/>
                <w:szCs w:val="19"/>
              </w:rPr>
              <w:t xml:space="preserve">SecretProtector</w:t>
            </w:r>
          </w:p>
        </w:tc>
        <w:tc>
          <w:tcPr>
            <w:tcW w:type="dxa" w:w="3860"/>
            <w:shd w:fill="F7F9FC" w:color="auto" w:val="clear"/>
            <w:tcMar>
              <w:top w:type="dxa" w:w="60"/>
              <w:left w:type="dxa" w:w="100"/>
              <w:bottom w:type="dxa" w:w="60"/>
              <w:right w:type="dxa" w:w="100"/>
            </w:tcMar>
          </w:tcPr>
          <w:p>
            <w:r>
              <w:rPr>
                <w:sz w:val="19"/>
                <w:szCs w:val="19"/>
              </w:rPr>
              <w:t xml:space="preserve">DPAPI protect/unprotect of passwords</w:t>
            </w:r>
          </w:p>
        </w:tc>
      </w:tr>
      <w:tr>
        <w:tc>
          <w:tcPr>
            <w:tcW w:type="dxa" w:w="1500"/>
            <w:tcMar>
              <w:top w:type="dxa" w:w="60"/>
              <w:left w:type="dxa" w:w="100"/>
              <w:bottom w:type="dxa" w:w="60"/>
              <w:right w:type="dxa" w:w="100"/>
            </w:tcMar>
          </w:tcPr>
          <w:p>
            <w:r>
              <w:rPr>
                <w:sz w:val="19"/>
                <w:szCs w:val="19"/>
              </w:rPr>
              <w:t xml:space="preserve">Completion</w:t>
            </w:r>
          </w:p>
        </w:tc>
        <w:tc>
          <w:tcPr>
            <w:tcW w:type="dxa" w:w="4000"/>
            <w:tcMar>
              <w:top w:type="dxa" w:w="60"/>
              <w:left w:type="dxa" w:w="100"/>
              <w:bottom w:type="dxa" w:w="60"/>
              <w:right w:type="dxa" w:w="100"/>
            </w:tcMar>
          </w:tcPr>
          <w:p>
            <w:r>
              <w:rPr>
                <w:sz w:val="19"/>
                <w:szCs w:val="19"/>
              </w:rPr>
              <w:t xml:space="preserve">SqlContextAnalyzer, SchemaCache, DbObjectInfo</w:t>
            </w:r>
          </w:p>
        </w:tc>
        <w:tc>
          <w:tcPr>
            <w:tcW w:type="dxa" w:w="3860"/>
            <w:tcMar>
              <w:top w:type="dxa" w:w="60"/>
              <w:left w:type="dxa" w:w="100"/>
              <w:bottom w:type="dxa" w:w="60"/>
              <w:right w:type="dxa" w:w="100"/>
            </w:tcMar>
          </w:tcPr>
          <w:p>
            <w:r>
              <w:rPr>
                <w:sz w:val="19"/>
                <w:szCs w:val="19"/>
              </w:rPr>
              <w:t xml:space="preserve">Editor auto-completion inputs</w:t>
            </w:r>
          </w:p>
        </w:tc>
      </w:tr>
      <w:tr>
        <w:tc>
          <w:tcPr>
            <w:tcW w:type="dxa" w:w="1500"/>
            <w:shd w:fill="F7F9FC" w:color="auto" w:val="clear"/>
            <w:tcMar>
              <w:top w:type="dxa" w:w="60"/>
              <w:left w:type="dxa" w:w="100"/>
              <w:bottom w:type="dxa" w:w="60"/>
              <w:right w:type="dxa" w:w="100"/>
            </w:tcMar>
          </w:tcPr>
          <w:p>
            <w:r>
              <w:rPr>
                <w:sz w:val="19"/>
                <w:szCs w:val="19"/>
              </w:rPr>
              <w:t xml:space="preserve">Admin</w:t>
            </w:r>
          </w:p>
        </w:tc>
        <w:tc>
          <w:tcPr>
            <w:tcW w:type="dxa" w:w="4000"/>
            <w:shd w:fill="F7F9FC" w:color="auto" w:val="clear"/>
            <w:tcMar>
              <w:top w:type="dxa" w:w="60"/>
              <w:left w:type="dxa" w:w="100"/>
              <w:bottom w:type="dxa" w:w="60"/>
              <w:right w:type="dxa" w:w="100"/>
            </w:tcMar>
          </w:tcPr>
          <w:p>
            <w:r>
              <w:rPr>
                <w:sz w:val="19"/>
                <w:szCs w:val="19"/>
              </w:rPr>
              <w:t xml:space="preserve">IUserAdmin, OracleUserAdmin, SqlServerUserAdmin, UserAdmins</w:t>
            </w:r>
          </w:p>
        </w:tc>
        <w:tc>
          <w:tcPr>
            <w:tcW w:type="dxa" w:w="3860"/>
            <w:shd w:fill="F7F9FC" w:color="auto" w:val="clear"/>
            <w:tcMar>
              <w:top w:type="dxa" w:w="60"/>
              <w:left w:type="dxa" w:w="100"/>
              <w:bottom w:type="dxa" w:w="60"/>
              <w:right w:type="dxa" w:w="100"/>
            </w:tcMar>
          </w:tcPr>
          <w:p>
            <w:r>
              <w:rPr>
                <w:sz w:val="19"/>
                <w:szCs w:val="19"/>
              </w:rPr>
              <w:t xml:space="preserve">User administration metadata and DDL</w:t>
            </w:r>
          </w:p>
        </w:tc>
      </w:tr>
      <w:tr>
        <w:tc>
          <w:tcPr>
            <w:tcW w:type="dxa" w:w="1500"/>
            <w:tcMar>
              <w:top w:type="dxa" w:w="60"/>
              <w:left w:type="dxa" w:w="100"/>
              <w:bottom w:type="dxa" w:w="60"/>
              <w:right w:type="dxa" w:w="100"/>
            </w:tcMar>
          </w:tcPr>
          <w:p>
            <w:r>
              <w:rPr>
                <w:sz w:val="19"/>
                <w:szCs w:val="19"/>
              </w:rPr>
              <w:t xml:space="preserve">Sync</w:t>
            </w:r>
          </w:p>
        </w:tc>
        <w:tc>
          <w:tcPr>
            <w:tcW w:type="dxa" w:w="4000"/>
            <w:tcMar>
              <w:top w:type="dxa" w:w="60"/>
              <w:left w:type="dxa" w:w="100"/>
              <w:bottom w:type="dxa" w:w="60"/>
              <w:right w:type="dxa" w:w="100"/>
            </w:tcMar>
          </w:tcPr>
          <w:p>
            <w:r>
              <w:rPr>
                <w:sz w:val="19"/>
                <w:szCs w:val="19"/>
              </w:rPr>
              <w:t xml:space="preserve">QuerySyncService, SyncRequest, SyncResponse, QueryDto</w:t>
            </w:r>
          </w:p>
        </w:tc>
        <w:tc>
          <w:tcPr>
            <w:tcW w:type="dxa" w:w="3860"/>
            <w:tcMar>
              <w:top w:type="dxa" w:w="60"/>
              <w:left w:type="dxa" w:w="100"/>
              <w:bottom w:type="dxa" w:w="60"/>
              <w:right w:type="dxa" w:w="100"/>
            </w:tcMar>
          </w:tcPr>
          <w:p>
            <w:r>
              <w:rPr>
                <w:sz w:val="19"/>
                <w:szCs w:val="19"/>
              </w:rPr>
              <w:t xml:space="preserve">Two-way query-library sync</w:t>
            </w:r>
          </w:p>
        </w:tc>
      </w:tr>
      <w:tr>
        <w:tc>
          <w:tcPr>
            <w:tcW w:type="dxa" w:w="1500"/>
            <w:shd w:fill="F7F9FC" w:color="auto" w:val="clear"/>
            <w:tcMar>
              <w:top w:type="dxa" w:w="60"/>
              <w:left w:type="dxa" w:w="100"/>
              <w:bottom w:type="dxa" w:w="60"/>
              <w:right w:type="dxa" w:w="100"/>
            </w:tcMar>
          </w:tcPr>
          <w:p>
            <w:r>
              <w:rPr>
                <w:sz w:val="19"/>
                <w:szCs w:val="19"/>
              </w:rPr>
              <w:t xml:space="preserve">Security</w:t>
            </w:r>
          </w:p>
        </w:tc>
        <w:tc>
          <w:tcPr>
            <w:tcW w:type="dxa" w:w="4000"/>
            <w:shd w:fill="F7F9FC" w:color="auto" w:val="clear"/>
            <w:tcMar>
              <w:top w:type="dxa" w:w="60"/>
              <w:left w:type="dxa" w:w="100"/>
              <w:bottom w:type="dxa" w:w="60"/>
              <w:right w:type="dxa" w:w="100"/>
            </w:tcMar>
          </w:tcPr>
          <w:p>
            <w:r>
              <w:rPr>
                <w:sz w:val="19"/>
                <w:szCs w:val="19"/>
              </w:rPr>
              <w:t xml:space="preserve">QueryCipher, QueryKeys, QueryKeyRing, SecretProtector</w:t>
            </w:r>
          </w:p>
        </w:tc>
        <w:tc>
          <w:tcPr>
            <w:tcW w:type="dxa" w:w="3860"/>
            <w:shd w:fill="F7F9FC" w:color="auto" w:val="clear"/>
            <w:tcMar>
              <w:top w:type="dxa" w:w="60"/>
              <w:left w:type="dxa" w:w="100"/>
              <w:bottom w:type="dxa" w:w="60"/>
              <w:right w:type="dxa" w:w="100"/>
            </w:tcMar>
          </w:tcPr>
          <w:p>
            <w:r>
              <w:rPr>
                <w:sz w:val="19"/>
                <w:szCs w:val="19"/>
              </w:rPr>
              <w:t xml:space="preserve">AES+HMAC query protection and key handling</w:t>
            </w:r>
          </w:p>
        </w:tc>
      </w:tr>
    </w:tbl>
    <w:p>
      <w:pPr>
        <w:pStyle w:val="Heading2"/>
        <w:spacing w:after="120" w:before="280"/>
      </w:pPr>
      <w:r>
        <w:t xml:space="preserve">Qplus.App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864" w:color="auto" w:val="clear"/>
            <w:tcMar>
              <w:top w:type="dxa" w:w="60"/>
              <w:left w:type="dxa" w:w="100"/>
              <w:bottom w:type="dxa" w:w="60"/>
              <w:right w:type="dxa" w:w="100"/>
            </w:tcMar>
          </w:tcPr>
          <w:p>
            <w:r>
              <w:rPr>
                <w:b/>
                <w:bCs/>
                <w:color w:val="FFFFFF"/>
                <w:sz w:val="19"/>
                <w:szCs w:val="19"/>
              </w:rPr>
              <w:t xml:space="preserve">Folder</w:t>
            </w:r>
          </w:p>
        </w:tc>
        <w:tc>
          <w:tcPr>
            <w:tcW w:type="dxa" w:w="7560"/>
            <w:shd w:fill="1F3864" w:color="auto" w:val="clear"/>
            <w:tcMar>
              <w:top w:type="dxa" w:w="60"/>
              <w:left w:type="dxa" w:w="100"/>
              <w:bottom w:type="dxa" w:w="60"/>
              <w:right w:type="dxa" w:w="100"/>
            </w:tcMar>
          </w:tcPr>
          <w:p>
            <w:r>
              <w:rPr>
                <w:b/>
                <w:bCs/>
                <w:color w:val="FFFFFF"/>
                <w:sz w:val="19"/>
                <w:szCs w:val="19"/>
              </w:rPr>
              <w:t xml:space="preserve">Contents</w:t>
            </w:r>
          </w:p>
        </w:tc>
      </w:tr>
      <w:tr>
        <w:tc>
          <w:tcPr>
            <w:tcW w:type="dxa" w:w="1800"/>
            <w:tcMar>
              <w:top w:type="dxa" w:w="60"/>
              <w:left w:type="dxa" w:w="100"/>
              <w:bottom w:type="dxa" w:w="60"/>
              <w:right w:type="dxa" w:w="100"/>
            </w:tcMar>
          </w:tcPr>
          <w:p>
            <w:r>
              <w:rPr>
                <w:sz w:val="19"/>
                <w:szCs w:val="19"/>
              </w:rPr>
              <w:t xml:space="preserve">(root)</w:t>
            </w:r>
          </w:p>
        </w:tc>
        <w:tc>
          <w:tcPr>
            <w:tcW w:type="dxa" w:w="7560"/>
            <w:tcMar>
              <w:top w:type="dxa" w:w="60"/>
              <w:left w:type="dxa" w:w="100"/>
              <w:bottom w:type="dxa" w:w="60"/>
              <w:right w:type="dxa" w:w="100"/>
            </w:tcMar>
          </w:tcPr>
          <w:p>
            <w:r>
              <w:rPr>
                <w:sz w:val="19"/>
                <w:szCs w:val="19"/>
              </w:rPr>
              <w:t xml:space="preserve">App.xaml, MainWindow (implements IShell), ThemeManager, CsvExporter, SqlSyntax</w:t>
            </w:r>
          </w:p>
        </w:tc>
      </w:tr>
      <w:tr>
        <w:tc>
          <w:tcPr>
            <w:tcW w:type="dxa" w:w="1800"/>
            <w:shd w:fill="F7F9FC" w:color="auto" w:val="clear"/>
            <w:tcMar>
              <w:top w:type="dxa" w:w="60"/>
              <w:left w:type="dxa" w:w="100"/>
              <w:bottom w:type="dxa" w:w="60"/>
              <w:right w:type="dxa" w:w="100"/>
            </w:tcMar>
          </w:tcPr>
          <w:p>
            <w:r>
              <w:rPr>
                <w:sz w:val="19"/>
                <w:szCs w:val="19"/>
              </w:rPr>
              <w:t xml:space="preserve">Views</w:t>
            </w:r>
          </w:p>
        </w:tc>
        <w:tc>
          <w:tcPr>
            <w:tcW w:type="dxa" w:w="7560"/>
            <w:shd w:fill="F7F9FC" w:color="auto" w:val="clear"/>
            <w:tcMar>
              <w:top w:type="dxa" w:w="60"/>
              <w:left w:type="dxa" w:w="100"/>
              <w:bottom w:type="dxa" w:w="60"/>
              <w:right w:type="dxa" w:w="100"/>
            </w:tcMar>
          </w:tcPr>
          <w:p>
            <w:r>
              <w:rPr>
                <w:sz w:val="19"/>
                <w:szCs w:val="19"/>
              </w:rPr>
              <w:t xml:space="preserve">QueryDocumentView, TableDetailsView, BlobViewerWindow, ConnectionDialog, SaveQueryDialog, QueryLibraryDialog, FolderPromptDialog, SyncSettingsDialog, EncryptionDialog, TableDesignerDialog, UserManagementDialog, EditUserDialog</w:t>
            </w:r>
          </w:p>
        </w:tc>
      </w:tr>
      <w:tr>
        <w:tc>
          <w:tcPr>
            <w:tcW w:type="dxa" w:w="1800"/>
            <w:tcMar>
              <w:top w:type="dxa" w:w="60"/>
              <w:left w:type="dxa" w:w="100"/>
              <w:bottom w:type="dxa" w:w="60"/>
              <w:right w:type="dxa" w:w="100"/>
            </w:tcMar>
          </w:tcPr>
          <w:p>
            <w:r>
              <w:rPr>
                <w:sz w:val="19"/>
                <w:szCs w:val="19"/>
              </w:rPr>
              <w:t xml:space="preserve">ViewModels</w:t>
            </w:r>
          </w:p>
        </w:tc>
        <w:tc>
          <w:tcPr>
            <w:tcW w:type="dxa" w:w="7560"/>
            <w:tcMar>
              <w:top w:type="dxa" w:w="60"/>
              <w:left w:type="dxa" w:w="100"/>
              <w:bottom w:type="dxa" w:w="60"/>
              <w:right w:type="dxa" w:w="100"/>
            </w:tcMar>
          </w:tcPr>
          <w:p>
            <w:r>
              <w:rPr>
                <w:sz w:val="19"/>
                <w:szCs w:val="19"/>
              </w:rPr>
              <w:t xml:space="preserve">ExplorerNode, ExplorerBuilder, RelayCommand, Observable</w:t>
            </w:r>
          </w:p>
        </w:tc>
      </w:tr>
      <w:tr>
        <w:tc>
          <w:tcPr>
            <w:tcW w:type="dxa" w:w="1800"/>
            <w:shd w:fill="F7F9FC" w:color="auto" w:val="clear"/>
            <w:tcMar>
              <w:top w:type="dxa" w:w="60"/>
              <w:left w:type="dxa" w:w="100"/>
              <w:bottom w:type="dxa" w:w="60"/>
              <w:right w:type="dxa" w:w="100"/>
            </w:tcMar>
          </w:tcPr>
          <w:p>
            <w:r>
              <w:rPr>
                <w:sz w:val="19"/>
                <w:szCs w:val="19"/>
              </w:rPr>
              <w:t xml:space="preserve">Completion</w:t>
            </w:r>
          </w:p>
        </w:tc>
        <w:tc>
          <w:tcPr>
            <w:tcW w:type="dxa" w:w="7560"/>
            <w:shd w:fill="F7F9FC" w:color="auto" w:val="clear"/>
            <w:tcMar>
              <w:top w:type="dxa" w:w="60"/>
              <w:left w:type="dxa" w:w="100"/>
              <w:bottom w:type="dxa" w:w="60"/>
              <w:right w:type="dxa" w:w="100"/>
            </w:tcMar>
          </w:tcPr>
          <w:p>
            <w:r>
              <w:rPr>
                <w:sz w:val="19"/>
                <w:szCs w:val="19"/>
              </w:rPr>
              <w:t xml:space="preserve">SqlCompletionController, SqlCompletionData</w:t>
            </w:r>
          </w:p>
        </w:tc>
      </w:tr>
      <w:tr>
        <w:tc>
          <w:tcPr>
            <w:tcW w:type="dxa" w:w="1800"/>
            <w:tcMar>
              <w:top w:type="dxa" w:w="60"/>
              <w:left w:type="dxa" w:w="100"/>
              <w:bottom w:type="dxa" w:w="60"/>
              <w:right w:type="dxa" w:w="100"/>
            </w:tcMar>
          </w:tcPr>
          <w:p>
            <w:r>
              <w:rPr>
                <w:sz w:val="19"/>
                <w:szCs w:val="19"/>
              </w:rPr>
              <w:t xml:space="preserve">Themes</w:t>
            </w:r>
          </w:p>
        </w:tc>
        <w:tc>
          <w:tcPr>
            <w:tcW w:type="dxa" w:w="7560"/>
            <w:tcMar>
              <w:top w:type="dxa" w:w="60"/>
              <w:left w:type="dxa" w:w="100"/>
              <w:bottom w:type="dxa" w:w="60"/>
              <w:right w:type="dxa" w:w="100"/>
            </w:tcMar>
          </w:tcPr>
          <w:p>
            <w:r>
              <w:rPr>
                <w:sz w:val="19"/>
                <w:szCs w:val="19"/>
              </w:rPr>
              <w:t xml:space="preserve">Dark.xaml, Light.xaml, Controls.xaml</w:t>
            </w:r>
          </w:p>
        </w:tc>
      </w:tr>
      <w:tr>
        <w:tc>
          <w:tcPr>
            <w:tcW w:type="dxa" w:w="1800"/>
            <w:shd w:fill="F7F9FC" w:color="auto" w:val="clear"/>
            <w:tcMar>
              <w:top w:type="dxa" w:w="60"/>
              <w:left w:type="dxa" w:w="100"/>
              <w:bottom w:type="dxa" w:w="60"/>
              <w:right w:type="dxa" w:w="100"/>
            </w:tcMar>
          </w:tcPr>
          <w:p>
            <w:r>
              <w:rPr>
                <w:sz w:val="19"/>
                <w:szCs w:val="19"/>
              </w:rPr>
              <w:t xml:space="preserve">Assets</w:t>
            </w:r>
          </w:p>
        </w:tc>
        <w:tc>
          <w:tcPr>
            <w:tcW w:type="dxa" w:w="7560"/>
            <w:shd w:fill="F7F9FC" w:color="auto" w:val="clear"/>
            <w:tcMar>
              <w:top w:type="dxa" w:w="60"/>
              <w:left w:type="dxa" w:w="100"/>
              <w:bottom w:type="dxa" w:w="60"/>
              <w:right w:type="dxa" w:w="100"/>
            </w:tcMar>
          </w:tcPr>
          <w:p>
            <w:r>
              <w:rPr>
                <w:sz w:val="19"/>
                <w:szCs w:val="19"/>
              </w:rPr>
              <w:t xml:space="preserve">qplus.ico</w:t>
            </w:r>
          </w:p>
        </w:tc>
      </w:tr>
    </w:tbl>
    <w:p>
      <w:r>
        <w:br w:type="page"/>
      </w:r>
    </w:p>
    <w:p>
      <w:pPr>
        <w:pStyle w:val="Heading1"/>
        <w:spacing w:after="160" w:before="360"/>
      </w:pPr>
      <w:r>
        <w:t xml:space="preserve">3. The engine abstraction</w:t>
      </w:r>
    </w:p>
    <w:p>
      <w:pPr>
        <w:spacing w:after="120"/>
      </w:pPr>
      <w:r>
        <w:t xml:space="preserve">ADO.NET already abstracts connections, commands and readers. IDbEngine covers only what it does not: connection-string construction, identifier quoting, batch splitting, and every catalogue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1F3864" w:color="auto" w:val="clear"/>
            <w:tcMar>
              <w:top w:type="dxa" w:w="60"/>
              <w:left w:type="dxa" w:w="100"/>
              <w:bottom w:type="dxa" w:w="60"/>
              <w:right w:type="dxa" w:w="100"/>
            </w:tcMar>
          </w:tcPr>
          <w:p>
            <w:r>
              <w:rPr>
                <w:b/>
                <w:bCs/>
                <w:color w:val="FFFFFF"/>
                <w:sz w:val="19"/>
                <w:szCs w:val="19"/>
              </w:rPr>
              <w:t xml:space="preserve">Member group</w:t>
            </w:r>
          </w:p>
        </w:tc>
        <w:tc>
          <w:tcPr>
            <w:tcW w:type="dxa" w:w="3600"/>
            <w:shd w:fill="1F3864" w:color="auto" w:val="clear"/>
            <w:tcMar>
              <w:top w:type="dxa" w:w="60"/>
              <w:left w:type="dxa" w:w="100"/>
              <w:bottom w:type="dxa" w:w="60"/>
              <w:right w:type="dxa" w:w="100"/>
            </w:tcMar>
          </w:tcPr>
          <w:p>
            <w:r>
              <w:rPr>
                <w:b/>
                <w:bCs/>
                <w:color w:val="FFFFFF"/>
                <w:sz w:val="19"/>
                <w:szCs w:val="19"/>
              </w:rPr>
              <w:t xml:space="preserve">Members</w:t>
            </w:r>
          </w:p>
        </w:tc>
        <w:tc>
          <w:tcPr>
            <w:tcW w:type="dxa" w:w="3860"/>
            <w:shd w:fill="1F3864" w:color="auto" w:val="clear"/>
            <w:tcMar>
              <w:top w:type="dxa" w:w="60"/>
              <w:left w:type="dxa" w:w="100"/>
              <w:bottom w:type="dxa" w:w="60"/>
              <w:right w:type="dxa" w:w="100"/>
            </w:tcMar>
          </w:tcPr>
          <w:p>
            <w:r>
              <w:rPr>
                <w:b/>
                <w:bCs/>
                <w:color w:val="FFFFFF"/>
                <w:sz w:val="19"/>
                <w:szCs w:val="19"/>
              </w:rPr>
              <w:t xml:space="preserve">Notes</w:t>
            </w:r>
          </w:p>
        </w:tc>
      </w:tr>
      <w:tr>
        <w:tc>
          <w:tcPr>
            <w:tcW w:type="dxa" w:w="1900"/>
            <w:tcMar>
              <w:top w:type="dxa" w:w="60"/>
              <w:left w:type="dxa" w:w="100"/>
              <w:bottom w:type="dxa" w:w="60"/>
              <w:right w:type="dxa" w:w="100"/>
            </w:tcMar>
          </w:tcPr>
          <w:p>
            <w:r>
              <w:rPr>
                <w:sz w:val="19"/>
                <w:szCs w:val="19"/>
              </w:rPr>
              <w:t xml:space="preserve">Connection</w:t>
            </w:r>
          </w:p>
        </w:tc>
        <w:tc>
          <w:tcPr>
            <w:tcW w:type="dxa" w:w="3600"/>
            <w:tcMar>
              <w:top w:type="dxa" w:w="60"/>
              <w:left w:type="dxa" w:w="100"/>
              <w:bottom w:type="dxa" w:w="60"/>
              <w:right w:type="dxa" w:w="100"/>
            </w:tcMar>
          </w:tcPr>
          <w:p>
            <w:r>
              <w:rPr>
                <w:sz w:val="19"/>
                <w:szCs w:val="19"/>
              </w:rPr>
              <w:t xml:space="preserve">BuildConnectionString, CreateConnection</w:t>
            </w:r>
          </w:p>
        </w:tc>
        <w:tc>
          <w:tcPr>
            <w:tcW w:type="dxa" w:w="3860"/>
            <w:tcMar>
              <w:top w:type="dxa" w:w="60"/>
              <w:left w:type="dxa" w:w="100"/>
              <w:bottom w:type="dxa" w:w="60"/>
              <w:right w:type="dxa" w:w="100"/>
            </w:tcMar>
          </w:tcPr>
          <w:p>
            <w:r>
              <w:rPr>
                <w:sz w:val="19"/>
                <w:szCs w:val="19"/>
              </w:rPr>
              <w:t xml:space="preserve">Oracle builds an EZCONNECT descriptor so no tnsnames.ora is needed</w:t>
            </w:r>
          </w:p>
        </w:tc>
      </w:tr>
      <w:tr>
        <w:tc>
          <w:tcPr>
            <w:tcW w:type="dxa" w:w="1900"/>
            <w:shd w:fill="F7F9FC" w:color="auto" w:val="clear"/>
            <w:tcMar>
              <w:top w:type="dxa" w:w="60"/>
              <w:left w:type="dxa" w:w="100"/>
              <w:bottom w:type="dxa" w:w="60"/>
              <w:right w:type="dxa" w:w="100"/>
            </w:tcMar>
          </w:tcPr>
          <w:p>
            <w:r>
              <w:rPr>
                <w:sz w:val="19"/>
                <w:szCs w:val="19"/>
              </w:rPr>
              <w:t xml:space="preserve">Dialect</w:t>
            </w:r>
          </w:p>
        </w:tc>
        <w:tc>
          <w:tcPr>
            <w:tcW w:type="dxa" w:w="3600"/>
            <w:shd w:fill="F7F9FC" w:color="auto" w:val="clear"/>
            <w:tcMar>
              <w:top w:type="dxa" w:w="60"/>
              <w:left w:type="dxa" w:w="100"/>
              <w:bottom w:type="dxa" w:w="60"/>
              <w:right w:type="dxa" w:w="100"/>
            </w:tcMar>
          </w:tcPr>
          <w:p>
            <w:r>
              <w:rPr>
                <w:sz w:val="19"/>
                <w:szCs w:val="19"/>
              </w:rPr>
              <w:t xml:space="preserve">QuoteIdentifier, SplitBatches, BuildSelectTopSql</w:t>
            </w:r>
          </w:p>
        </w:tc>
        <w:tc>
          <w:tcPr>
            <w:tcW w:type="dxa" w:w="3860"/>
            <w:shd w:fill="F7F9FC" w:color="auto" w:val="clear"/>
            <w:tcMar>
              <w:top w:type="dxa" w:w="60"/>
              <w:left w:type="dxa" w:w="100"/>
              <w:bottom w:type="dxa" w:w="60"/>
              <w:right w:type="dxa" w:w="100"/>
            </w:tcMar>
          </w:tcPr>
          <w:p>
            <w:r>
              <w:rPr>
                <w:sz w:val="19"/>
                <w:szCs w:val="19"/>
              </w:rPr>
              <w:t xml:space="preserve">SQL Server splits on GO; TOP n vs FETCH FIRST n ROWS ONLY</w:t>
            </w:r>
          </w:p>
        </w:tc>
      </w:tr>
      <w:tr>
        <w:tc>
          <w:tcPr>
            <w:tcW w:type="dxa" w:w="1900"/>
            <w:tcMar>
              <w:top w:type="dxa" w:w="60"/>
              <w:left w:type="dxa" w:w="100"/>
              <w:bottom w:type="dxa" w:w="60"/>
              <w:right w:type="dxa" w:w="100"/>
            </w:tcMar>
          </w:tcPr>
          <w:p>
            <w:r>
              <w:rPr>
                <w:sz w:val="19"/>
                <w:szCs w:val="19"/>
              </w:rPr>
              <w:t xml:space="preserve">Explorer metadata</w:t>
            </w:r>
          </w:p>
        </w:tc>
        <w:tc>
          <w:tcPr>
            <w:tcW w:type="dxa" w:w="3600"/>
            <w:tcMar>
              <w:top w:type="dxa" w:w="60"/>
              <w:left w:type="dxa" w:w="100"/>
              <w:bottom w:type="dxa" w:w="60"/>
              <w:right w:type="dxa" w:w="100"/>
            </w:tcMar>
          </w:tcPr>
          <w:p>
            <w:r>
              <w:rPr>
                <w:sz w:val="19"/>
                <w:szCs w:val="19"/>
              </w:rPr>
              <w:t xml:space="preserve">GetSchemasAsync, GetTablesAsync, GetViewsAsync, GetColumnsAsync</w:t>
            </w:r>
          </w:p>
        </w:tc>
        <w:tc>
          <w:tcPr>
            <w:tcW w:type="dxa" w:w="3860"/>
            <w:tcMar>
              <w:top w:type="dxa" w:w="60"/>
              <w:left w:type="dxa" w:w="100"/>
              <w:bottom w:type="dxa" w:w="60"/>
              <w:right w:type="dxa" w:w="100"/>
            </w:tcMar>
          </w:tcPr>
          <w:p>
            <w:r>
              <w:rPr>
                <w:sz w:val="19"/>
                <w:szCs w:val="19"/>
              </w:rPr>
              <w:t xml:space="preserve">Lazy tree population</w:t>
            </w:r>
          </w:p>
        </w:tc>
      </w:tr>
      <w:tr>
        <w:tc>
          <w:tcPr>
            <w:tcW w:type="dxa" w:w="1900"/>
            <w:shd w:fill="F7F9FC" w:color="auto" w:val="clear"/>
            <w:tcMar>
              <w:top w:type="dxa" w:w="60"/>
              <w:left w:type="dxa" w:w="100"/>
              <w:bottom w:type="dxa" w:w="60"/>
              <w:right w:type="dxa" w:w="100"/>
            </w:tcMar>
          </w:tcPr>
          <w:p>
            <w:r>
              <w:rPr>
                <w:sz w:val="19"/>
                <w:szCs w:val="19"/>
              </w:rPr>
              <w:t xml:space="preserve">Completion</w:t>
            </w:r>
          </w:p>
        </w:tc>
        <w:tc>
          <w:tcPr>
            <w:tcW w:type="dxa" w:w="3600"/>
            <w:shd w:fill="F7F9FC" w:color="auto" w:val="clear"/>
            <w:tcMar>
              <w:top w:type="dxa" w:w="60"/>
              <w:left w:type="dxa" w:w="100"/>
              <w:bottom w:type="dxa" w:w="60"/>
              <w:right w:type="dxa" w:w="100"/>
            </w:tcMar>
          </w:tcPr>
          <w:p>
            <w:r>
              <w:rPr>
                <w:sz w:val="19"/>
                <w:szCs w:val="19"/>
              </w:rPr>
              <w:t xml:space="preserve">ListAllObjectsSql</w:t>
            </w:r>
          </w:p>
        </w:tc>
        <w:tc>
          <w:tcPr>
            <w:tcW w:type="dxa" w:w="3860"/>
            <w:shd w:fill="F7F9FC" w:color="auto" w:val="clear"/>
            <w:tcMar>
              <w:top w:type="dxa" w:w="60"/>
              <w:left w:type="dxa" w:w="100"/>
              <w:bottom w:type="dxa" w:w="60"/>
              <w:right w:type="dxa" w:w="100"/>
            </w:tcMar>
          </w:tcPr>
          <w:p>
            <w:r>
              <w:rPr>
                <w:sz w:val="19"/>
                <w:szCs w:val="19"/>
              </w:rPr>
              <w:t xml:space="preserve">Single round trip returning schema, name, type</w:t>
            </w:r>
          </w:p>
        </w:tc>
      </w:tr>
      <w:tr>
        <w:tc>
          <w:tcPr>
            <w:tcW w:type="dxa" w:w="1900"/>
            <w:tcMar>
              <w:top w:type="dxa" w:w="60"/>
              <w:left w:type="dxa" w:w="100"/>
              <w:bottom w:type="dxa" w:w="60"/>
              <w:right w:type="dxa" w:w="100"/>
            </w:tcMar>
          </w:tcPr>
          <w:p>
            <w:r>
              <w:rPr>
                <w:sz w:val="19"/>
                <w:szCs w:val="19"/>
              </w:rPr>
              <w:t xml:space="preserve">Table details</w:t>
            </w:r>
          </w:p>
        </w:tc>
        <w:tc>
          <w:tcPr>
            <w:tcW w:type="dxa" w:w="3600"/>
            <w:tcMar>
              <w:top w:type="dxa" w:w="60"/>
              <w:left w:type="dxa" w:w="100"/>
              <w:bottom w:type="dxa" w:w="60"/>
              <w:right w:type="dxa" w:w="100"/>
            </w:tcMar>
          </w:tcPr>
          <w:p>
            <w:r>
              <w:rPr>
                <w:sz w:val="19"/>
                <w:szCs w:val="19"/>
              </w:rPr>
              <w:t xml:space="preserve">CreateTableDetailCommand, BuildTableDdlAsync</w:t>
            </w:r>
          </w:p>
        </w:tc>
        <w:tc>
          <w:tcPr>
            <w:tcW w:type="dxa" w:w="3860"/>
            <w:tcMar>
              <w:top w:type="dxa" w:w="60"/>
              <w:left w:type="dxa" w:w="100"/>
              <w:bottom w:type="dxa" w:w="60"/>
              <w:right w:type="dxa" w:w="100"/>
            </w:tcMar>
          </w:tcPr>
          <w:p>
            <w:r>
              <w:rPr>
                <w:sz w:val="19"/>
                <w:szCs w:val="19"/>
              </w:rPr>
              <w:t xml:space="preserve">One parameterised query per detail pane</w:t>
            </w:r>
          </w:p>
        </w:tc>
      </w:tr>
      <w:tr>
        <w:tc>
          <w:tcPr>
            <w:tcW w:type="dxa" w:w="1900"/>
            <w:shd w:fill="F7F9FC" w:color="auto" w:val="clear"/>
            <w:tcMar>
              <w:top w:type="dxa" w:w="60"/>
              <w:left w:type="dxa" w:w="100"/>
              <w:bottom w:type="dxa" w:w="60"/>
              <w:right w:type="dxa" w:w="100"/>
            </w:tcMar>
          </w:tcPr>
          <w:p>
            <w:r>
              <w:rPr>
                <w:sz w:val="19"/>
                <w:szCs w:val="19"/>
              </w:rPr>
              <w:t xml:space="preserve">Editable data</w:t>
            </w:r>
          </w:p>
        </w:tc>
        <w:tc>
          <w:tcPr>
            <w:tcW w:type="dxa" w:w="3600"/>
            <w:shd w:fill="F7F9FC" w:color="auto" w:val="clear"/>
            <w:tcMar>
              <w:top w:type="dxa" w:w="60"/>
              <w:left w:type="dxa" w:w="100"/>
              <w:bottom w:type="dxa" w:w="60"/>
              <w:right w:type="dxa" w:w="100"/>
            </w:tcMar>
          </w:tcPr>
          <w:p>
            <w:r>
              <w:rPr>
                <w:sz w:val="19"/>
                <w:szCs w:val="19"/>
              </w:rPr>
              <w:t xml:space="preserve">CreateAdapter, CreateCommandBuilder</w:t>
            </w:r>
          </w:p>
        </w:tc>
        <w:tc>
          <w:tcPr>
            <w:tcW w:type="dxa" w:w="3860"/>
            <w:shd w:fill="F7F9FC" w:color="auto" w:val="clear"/>
            <w:tcMar>
              <w:top w:type="dxa" w:w="60"/>
              <w:left w:type="dxa" w:w="100"/>
              <w:bottom w:type="dxa" w:w="60"/>
              <w:right w:type="dxa" w:w="100"/>
            </w:tcMar>
          </w:tcPr>
          <w:p>
            <w:r>
              <w:rPr>
                <w:sz w:val="19"/>
                <w:szCs w:val="19"/>
              </w:rPr>
              <w:t xml:space="preserve">Provider adapter and DML generator</w:t>
            </w:r>
          </w:p>
        </w:tc>
      </w:tr>
      <w:tr>
        <w:tc>
          <w:tcPr>
            <w:tcW w:type="dxa" w:w="1900"/>
            <w:tcMar>
              <w:top w:type="dxa" w:w="60"/>
              <w:left w:type="dxa" w:w="100"/>
              <w:bottom w:type="dxa" w:w="60"/>
              <w:right w:type="dxa" w:w="100"/>
            </w:tcMar>
          </w:tcPr>
          <w:p>
            <w:r>
              <w:rPr>
                <w:sz w:val="19"/>
                <w:szCs w:val="19"/>
              </w:rPr>
              <w:t xml:space="preserve">Messages</w:t>
            </w:r>
          </w:p>
        </w:tc>
        <w:tc>
          <w:tcPr>
            <w:tcW w:type="dxa" w:w="3600"/>
            <w:tcMar>
              <w:top w:type="dxa" w:w="60"/>
              <w:left w:type="dxa" w:w="100"/>
              <w:bottom w:type="dxa" w:w="60"/>
              <w:right w:type="dxa" w:w="100"/>
            </w:tcMar>
          </w:tcPr>
          <w:p>
            <w:r>
              <w:rPr>
                <w:sz w:val="19"/>
                <w:szCs w:val="19"/>
              </w:rPr>
              <w:t xml:space="preserve">CaptureMessages</w:t>
            </w:r>
          </w:p>
        </w:tc>
        <w:tc>
          <w:tcPr>
            <w:tcW w:type="dxa" w:w="3860"/>
            <w:tcMar>
              <w:top w:type="dxa" w:w="60"/>
              <w:left w:type="dxa" w:w="100"/>
              <w:bottom w:type="dxa" w:w="60"/>
              <w:right w:type="dxa" w:w="100"/>
            </w:tcMar>
          </w:tcPr>
          <w:p>
            <w:r>
              <w:rPr>
                <w:sz w:val="19"/>
                <w:szCs w:val="19"/>
              </w:rPr>
              <w:t xml:space="preserve">Subscribes to provider InfoMessage events</w:t>
            </w:r>
          </w:p>
        </w:tc>
      </w:tr>
      <w:tr>
        <w:tc>
          <w:tcPr>
            <w:tcW w:type="dxa" w:w="1900"/>
            <w:shd w:fill="F7F9FC" w:color="auto" w:val="clear"/>
            <w:tcMar>
              <w:top w:type="dxa" w:w="60"/>
              <w:left w:type="dxa" w:w="100"/>
              <w:bottom w:type="dxa" w:w="60"/>
              <w:right w:type="dxa" w:w="100"/>
            </w:tcMar>
          </w:tcPr>
          <w:p>
            <w:r>
              <w:rPr>
                <w:sz w:val="19"/>
                <w:szCs w:val="19"/>
              </w:rPr>
              <w:t xml:space="preserve">Designer / admin DDL</w:t>
            </w:r>
          </w:p>
        </w:tc>
        <w:tc>
          <w:tcPr>
            <w:tcW w:type="dxa" w:w="3600"/>
            <w:shd w:fill="F7F9FC" w:color="auto" w:val="clear"/>
            <w:tcMar>
              <w:top w:type="dxa" w:w="60"/>
              <w:left w:type="dxa" w:w="100"/>
              <w:bottom w:type="dxa" w:w="60"/>
              <w:right w:type="dxa" w:w="100"/>
            </w:tcMar>
          </w:tcPr>
          <w:p>
            <w:r>
              <w:rPr>
                <w:sz w:val="19"/>
                <w:szCs w:val="19"/>
              </w:rPr>
              <w:t xml:space="preserve">BuildCreateTableSql, BuildAddColumnSql, ListUsersSql, ListRolesSql, …</w:t>
            </w:r>
          </w:p>
        </w:tc>
        <w:tc>
          <w:tcPr>
            <w:tcW w:type="dxa" w:w="3860"/>
            <w:shd w:fill="F7F9FC" w:color="auto" w:val="clear"/>
            <w:tcMar>
              <w:top w:type="dxa" w:w="60"/>
              <w:left w:type="dxa" w:w="100"/>
              <w:bottom w:type="dxa" w:w="60"/>
              <w:right w:type="dxa" w:w="100"/>
            </w:tcMar>
          </w:tcPr>
          <w:p>
            <w:r>
              <w:rPr>
                <w:sz w:val="19"/>
                <w:szCs w:val="19"/>
              </w:rPr>
              <w:t xml:space="preserve">Script generation</w:t>
            </w:r>
          </w:p>
        </w:tc>
      </w:tr>
    </w:tbl>
    <w:p>
      <w:pPr>
        <w:spacing w:after="120"/>
      </w:pPr>
      <w:r>
        <w:t xml:space="preserve">DbEngines.For(ConnectionInfo) resolves the singleton implementation for a connection. Adding an engine means implementing IDbEngine and IUserAdmin and registering both.</w:t>
      </w:r>
    </w:p>
    <w:p>
      <w:pPr>
        <w:pStyle w:val="Heading1"/>
        <w:spacing w:after="160" w:before="360"/>
      </w:pPr>
      <w:r>
        <w:t xml:space="preserve">4. Query execution</w:t>
      </w:r>
    </w:p>
    <w:p>
      <w:pPr>
        <w:spacing w:after="120"/>
      </w:pPr>
      <w:r>
        <w:t xml:space="preserve">QueryRunner.ExecuteAsync opens a connection, subscribes to provider messages, splits the text into batches and collects results into a QueryExecutionResult containing grids, messages, affected-row totals and elapsed time. Errors are captured into the result rather than thrown, so the UI always has something to display.</w:t>
      </w:r>
    </w:p>
    <w:p>
      <w:pPr>
        <w:pStyle w:val="Heading2"/>
        <w:spacing w:after="120" w:before="280"/>
      </w:pPr>
      <w:r>
        <w:t xml:space="preserve">Result-set collection</w:t>
      </w:r>
    </w:p>
    <w:p>
      <w:pPr>
        <w:spacing w:after="120"/>
      </w:pPr>
      <w:r>
        <w:t xml:space="preserve">CollectResultsAsync walks every result set on the reader. It deliberately does not use DataTable.Load:</w:t>
      </w:r>
    </w:p>
    <w:p>
      <w:pPr>
        <w:pBdr>
          <w:left w:val="single" w:color="1F3864" w:sz="18" w:space="8"/>
        </w:pBdr>
        <w:shd w:fill="DEEAF6" w:color="auto" w:val="clear"/>
        <w:spacing w:after="140" w:before="100"/>
        <w:ind w:left="180" w:right="180"/>
      </w:pPr>
      <w:r>
        <w:rPr>
          <w:b/>
          <w:bCs/>
          <w:color w:val="1F3864"/>
        </w:rPr>
        <w:t xml:space="preserve">Design note  </w:t>
      </w:r>
      <w:r>
        <w:t xml:space="preserve">DataTable.Load advances the reader to the next result set itself. Combining it with NextResultAsync double-advances — silently skipping alternate result sets and throwing "Invalid attempt to call NextResultAsync when reader is closed" on the last one. Qplus reads each result set manually so NextResultAsync is the only thing that advances.</w:t>
      </w:r>
    </w:p>
    <w:p>
      <w:pPr>
        <w:spacing w:after="120"/>
      </w:pPr>
      <w:r>
        <w:t xml:space="preserve">ReadTableAsync also handles two cases the naive approach gets wrong: unnamed expression columns such as SELECT @variable are given the header "(no column name)", and duplicate column names are de-duplicated rather than throwing.</w:t>
      </w:r>
    </w:p>
    <w:p>
      <w:pPr>
        <w:pStyle w:val="Heading2"/>
        <w:spacing w:after="120" w:before="280"/>
      </w:pPr>
      <w:r>
        <w:t xml:space="preserve">Rendering binary values</w:t>
      </w:r>
    </w:p>
    <w:p>
      <w:pPr>
        <w:spacing w:after="120"/>
      </w:pPr>
      <w:r>
        <w:t xml:space="preserve">A varbinary, BLOB, RAW, LONG RAW, IMAGE or rowversion column arrives as a byte[]. Nothing calls ToString() on a byte array usefully — it returns the literal "System.Byte[]" — so every surface that turns a cell into text (the grid, the fixed-width text view and CSV export) routes binary values through Qplus.Core.CellFormat instead. It renders a size summary such as "[BLOB 1.2 KB]", leaves nulls and ordinary values untouched, and offers a hex preview for tooltips.</w:t>
      </w:r>
    </w:p>
    <w:p>
      <w:pPr>
        <w:pBdr>
          <w:left w:val="single" w:color="1F3864" w:sz="18" w:space="8"/>
        </w:pBdr>
        <w:shd w:fill="DEEAF6" w:color="auto" w:val="clear"/>
        <w:spacing w:after="140" w:before="100"/>
        <w:ind w:left="180" w:right="180"/>
      </w:pPr>
      <w:r>
        <w:rPr>
          <w:b/>
          <w:bCs/>
          <w:color w:val="1F3864"/>
        </w:rPr>
        <w:t xml:space="preserve">Design note  </w:t>
      </w:r>
      <w:r>
        <w:t xml:space="preserve">In the data grid the binary column is also forced read-only. The auto-generated column is a text column, and letting a blob be typed over as a string would corrupt the bytes on save. Its cell style is based on the theme’s implicit TextBlock style so the themed foreground survives — a bare ElementStyle would drop it and make the cell unreadable in dark mode.</w:t>
      </w:r>
    </w:p>
    <w:p>
      <w:pPr>
        <w:spacing w:after="120"/>
      </w:pPr>
      <w:r>
        <w:t xml:space="preserve">Double-clicking a binary cell in either grid opens BlobViewerWindow, a read-only inspector. It shows a hex and ASCII dump — capped at 256 KB so a large value cannot stall the UI, with the whole value still available through Save as… — and, for a value BinarySniff recognises as an image, a rendered preview. BinarySniff identifies content from the leading "magic" bytes (PNG, JPEG, GIF, BMP, TIFF, ICO, PDF, ZIP or Office, and so on); the result labels the value and supplies the default extension when saving. The double-click trigger is simply that the cell holds a non-empty byte[], so ordinary cells are untouched, and the underlying column name is taken from the grid column’s SortMemberPath, falling back to the binding path so it survives column reordering.</w:t>
      </w:r>
    </w:p>
    <w:p>
      <w:pPr>
        <w:pStyle w:val="Heading2"/>
        <w:spacing w:after="120" w:before="280"/>
      </w:pPr>
      <w:r>
        <w:t xml:space="preserve">Server messages</w:t>
      </w:r>
    </w:p>
    <w:p>
      <w:pPr>
        <w:spacing w:after="120"/>
      </w:pPr>
      <w:r>
        <w:t xml:space="preserve">PRINT output and low-severity RAISERROR messages are not returned through the reader; they arrive asynchronously on the connection's InfoMessage event. Each engine's CaptureMessages subscribes to that event and returns an IDisposable that unsubscribes. Messages are appended to the result as they arrive, which is what makes progress-printing scripts behave as they do in SSMS.</w:t>
      </w:r>
    </w:p>
    <w:p>
      <w:pPr>
        <w:pBdr>
          <w:left w:val="single" w:color="1F3864" w:sz="18" w:space="8"/>
        </w:pBdr>
        <w:shd w:fill="DEEAF6" w:color="auto" w:val="clear"/>
        <w:spacing w:after="140" w:before="100"/>
        <w:ind w:left="180" w:right="180"/>
      </w:pPr>
      <w:r>
        <w:rPr>
          <w:b/>
          <w:bCs/>
          <w:color w:val="1F3864"/>
        </w:rPr>
        <w:t xml:space="preserve">Limitation  </w:t>
      </w:r>
      <w:r>
        <w:t xml:space="preserve">Oracle DBMS_OUTPUT is not delivered through InfoMessage. Surfacing it would require enabling SERVEROUTPUT and polling DBMS_OUTPUT.GET_LINES, which is not currently implemented.</w:t>
      </w:r>
    </w:p>
    <w:p>
      <w:pPr>
        <w:pStyle w:val="Heading1"/>
        <w:spacing w:after="160" w:before="360"/>
      </w:pPr>
      <w:r>
        <w:t xml:space="preserve">5. Metadata and auto-completion</w:t>
      </w:r>
    </w:p>
    <w:p>
      <w:pPr>
        <w:pStyle w:val="Heading2"/>
        <w:spacing w:after="120" w:before="280"/>
      </w:pPr>
      <w:r>
        <w:t xml:space="preserve">SchemaCache</w:t>
      </w:r>
    </w:p>
    <w:p>
      <w:pPr>
        <w:spacing w:after="120"/>
      </w:pPr>
      <w:r>
        <w:t xml:space="preserve">SchemaCache caches, per connection, the full table and view list (one round trip via ListAllObjectsSql) and column lists per table, loaded on demand. Cached values are stored as Tasks so concurrent requests share a single load. Failed loads are evicted so the next request retries rather than caching an error. Prewarm starts a background load when a connection is selected.</w:t>
      </w:r>
    </w:p>
    <w:p>
      <w:pPr>
        <w:pStyle w:val="Heading2"/>
        <w:spacing w:after="120" w:before="280"/>
      </w:pPr>
      <w:r>
        <w:t xml:space="preserve">SqlContextAnalyzer</w:t>
      </w:r>
    </w:p>
    <w:p>
      <w:pPr>
        <w:spacing w:after="120"/>
      </w:pPr>
      <w:r>
        <w:t xml:space="preserve">The analyzer is a deliberately heuristic, non-validating parser. Given the editor text and caret offset it returns the completion kind (tables, columns or none), the partial word and its start offset, any qualifier before a dot, and the table references in scope.</w:t>
      </w:r>
    </w:p>
    <w:p>
      <w:pPr>
        <w:pStyle w:val="ListParagraph"/>
        <w:numPr>
          <w:ilvl w:val="0"/>
          <w:numId w:val="2"/>
        </w:numPr>
        <w:spacing w:after="60"/>
      </w:pPr>
      <w:r>
        <w:t xml:space="preserve">Comments and string literals are blanked to same-length whitespace before analysis, so offsets stay valid while their contents cannot influence parsing.</w:t>
      </w:r>
    </w:p>
    <w:p>
      <w:pPr>
        <w:pStyle w:val="ListParagraph"/>
        <w:numPr>
          <w:ilvl w:val="0"/>
          <w:numId w:val="2"/>
        </w:numPr>
        <w:spacing w:after="60"/>
      </w:pPr>
      <w:r>
        <w:t xml:space="preserve">Analysis is limited to the statement containing the caret, delimited by semicolons and standalone GO lines.</w:t>
      </w:r>
    </w:p>
    <w:p>
      <w:pPr>
        <w:pStyle w:val="ListParagraph"/>
        <w:numPr>
          <w:ilvl w:val="0"/>
          <w:numId w:val="2"/>
        </w:numPr>
        <w:spacing w:after="60"/>
      </w:pPr>
      <w:r>
        <w:t xml:space="preserve">FROM and JOIN clauses are matched to extract tables with optional aliases; SQL keywords are excluded from being treated as aliases.</w:t>
      </w:r>
    </w:p>
    <w:p>
      <w:pPr>
        <w:pStyle w:val="ListParagraph"/>
        <w:numPr>
          <w:ilvl w:val="0"/>
          <w:numId w:val="2"/>
        </w:numPr>
        <w:spacing w:after="60"/>
      </w:pPr>
      <w:r>
        <w:t xml:space="preserve">The nearest preceding keyword decides the kind. A qualifier only narrows it: in a table context it is a schema, in a column context it is a table or alias.</w:t>
      </w:r>
    </w:p>
    <w:p>
      <w:pPr>
        <w:spacing w:after="120"/>
      </w:pPr>
      <w:r>
        <w:t xml:space="preserve">The analyzer is pure and side-effect free, and is covered by unit tests that do not require a database.</w:t>
      </w:r>
    </w:p>
    <w:p>
      <w:r>
        <w:br w:type="page"/>
      </w:r>
    </w:p>
    <w:p>
      <w:pPr>
        <w:pStyle w:val="Heading1"/>
        <w:spacing w:after="160" w:before="360"/>
      </w:pPr>
      <w:r>
        <w:t xml:space="preserve">6. Table details and data editing</w:t>
      </w:r>
    </w:p>
    <w:p>
      <w:pPr>
        <w:spacing w:after="120"/>
      </w:pPr>
      <w:r>
        <w:t xml:space="preserve">TableDetailsView hosts one pane per TableDetailKind plus a Data pane and a generated-SQL pane. Each metadata pane is driven by CreateTableDetailCommand, so adding a pane means adding an enum value and one query per engine. Panes load lazily on first selection.</w:t>
      </w:r>
    </w:p>
    <w:p>
      <w:pPr>
        <w:spacing w:after="120"/>
      </w:pPr>
      <w:r>
        <w:t xml:space="preserve">DDL generation differs by engine: Oracle uses DBMS_METADATA.GET_DDL; SQL Server has no equivalent, so the script is assembled from sys.columns, sys.types, default constraints and the primary key.</w:t>
      </w:r>
    </w:p>
    <w:p>
      <w:pPr>
        <w:pStyle w:val="Heading2"/>
        <w:spacing w:after="120" w:before="280"/>
      </w:pPr>
      <w:r>
        <w:t xml:space="preserve">Editable data</w:t>
      </w:r>
    </w:p>
    <w:p>
      <w:pPr>
        <w:spacing w:after="120"/>
      </w:pPr>
      <w:r>
        <w:t xml:space="preserve">TableDataEditor loads a table into a DataTable using the provider's DbDataAdapter with MissingSchemaAction.AddWithKey, which brings the primary key across. Saving uses the provider's DbCommandBuilder to derive parameterised INSERT, UPDATE and DELETE commands from the SELECT — no SQL is concatenated from user input.</w:t>
      </w:r>
    </w:p>
    <w:p>
      <w:pPr>
        <w:pStyle w:val="ListParagraph"/>
        <w:numPr>
          <w:ilvl w:val="0"/>
          <w:numId w:val="2"/>
        </w:numPr>
        <w:spacing w:after="60"/>
      </w:pPr>
      <w:r>
        <w:t xml:space="preserve">IsEditable reports whether a primary key was found; without one the UI goes read-only with an explanation rather than risking an ambiguous UPDATE.</w:t>
      </w:r>
    </w:p>
    <w:p>
      <w:pPr>
        <w:pStyle w:val="ListParagraph"/>
        <w:numPr>
          <w:ilvl w:val="0"/>
          <w:numId w:val="2"/>
        </w:numPr>
        <w:spacing w:after="60"/>
      </w:pPr>
      <w:r>
        <w:t xml:space="preserve">DBConcurrencyException is translated into a clear "another session changed these rows" message instead of silently overwriting.</w:t>
      </w:r>
    </w:p>
    <w:p>
      <w:pPr>
        <w:pStyle w:val="ListParagraph"/>
        <w:numPr>
          <w:ilvl w:val="0"/>
          <w:numId w:val="2"/>
        </w:numPr>
        <w:spacing w:after="60"/>
      </w:pPr>
      <w:r>
        <w:t xml:space="preserve">Saving with no pending changes is a no-op.</w:t>
      </w:r>
    </w:p>
    <w:p>
      <w:pPr>
        <w:pStyle w:val="Heading1"/>
        <w:spacing w:after="160" w:before="360"/>
      </w:pPr>
      <w:r>
        <w:t xml:space="preserve">7. User administration</w:t>
      </w:r>
    </w:p>
    <w:p>
      <w:pPr>
        <w:spacing w:after="120"/>
      </w:pPr>
      <w:r>
        <w:t xml:space="preserve">IUserAdmin is separate from IDbEngine so that execution and administration remain independent concerns. Implementations read the current state of a user and generate the DDL for pending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1F3864" w:color="auto" w:val="clear"/>
            <w:tcMar>
              <w:top w:type="dxa" w:w="60"/>
              <w:left w:type="dxa" w:w="100"/>
              <w:bottom w:type="dxa" w:w="60"/>
              <w:right w:type="dxa" w:w="100"/>
            </w:tcMar>
          </w:tcPr>
          <w:p>
            <w:r>
              <w:rPr>
                <w:b/>
                <w:bCs/>
                <w:color w:val="FFFFFF"/>
                <w:sz w:val="19"/>
                <w:szCs w:val="19"/>
              </w:rPr>
              <w:t xml:space="preserve">Concern</w:t>
            </w:r>
          </w:p>
        </w:tc>
        <w:tc>
          <w:tcPr>
            <w:tcW w:type="dxa" w:w="3900"/>
            <w:shd w:fill="1F3864" w:color="auto" w:val="clear"/>
            <w:tcMar>
              <w:top w:type="dxa" w:w="60"/>
              <w:left w:type="dxa" w:w="100"/>
              <w:bottom w:type="dxa" w:w="60"/>
              <w:right w:type="dxa" w:w="100"/>
            </w:tcMar>
          </w:tcPr>
          <w:p>
            <w:r>
              <w:rPr>
                <w:b/>
                <w:bCs/>
                <w:color w:val="FFFFFF"/>
                <w:sz w:val="19"/>
                <w:szCs w:val="19"/>
              </w:rPr>
              <w:t xml:space="preserve">Oracle</w:t>
            </w:r>
          </w:p>
        </w:tc>
        <w:tc>
          <w:tcPr>
            <w:tcW w:type="dxa" w:w="3560"/>
            <w:shd w:fill="1F3864" w:color="auto" w:val="clear"/>
            <w:tcMar>
              <w:top w:type="dxa" w:w="60"/>
              <w:left w:type="dxa" w:w="100"/>
              <w:bottom w:type="dxa" w:w="60"/>
              <w:right w:type="dxa" w:w="100"/>
            </w:tcMar>
          </w:tcPr>
          <w:p>
            <w:r>
              <w:rPr>
                <w:b/>
                <w:bCs/>
                <w:color w:val="FFFFFF"/>
                <w:sz w:val="19"/>
                <w:szCs w:val="19"/>
              </w:rPr>
              <w:t xml:space="preserve">SQL Server</w:t>
            </w:r>
          </w:p>
        </w:tc>
      </w:tr>
      <w:tr>
        <w:tc>
          <w:tcPr>
            <w:tcW w:type="dxa" w:w="1900"/>
            <w:tcMar>
              <w:top w:type="dxa" w:w="60"/>
              <w:left w:type="dxa" w:w="100"/>
              <w:bottom w:type="dxa" w:w="60"/>
              <w:right w:type="dxa" w:w="100"/>
            </w:tcMar>
          </w:tcPr>
          <w:p>
            <w:r>
              <w:rPr>
                <w:sz w:val="19"/>
                <w:szCs w:val="19"/>
              </w:rPr>
              <w:t xml:space="preserve">User details</w:t>
            </w:r>
          </w:p>
        </w:tc>
        <w:tc>
          <w:tcPr>
            <w:tcW w:type="dxa" w:w="3900"/>
            <w:tcMar>
              <w:top w:type="dxa" w:w="60"/>
              <w:left w:type="dxa" w:w="100"/>
              <w:bottom w:type="dxa" w:w="60"/>
              <w:right w:type="dxa" w:w="100"/>
            </w:tcMar>
          </w:tcPr>
          <w:p>
            <w:r>
              <w:rPr>
                <w:sz w:val="19"/>
                <w:szCs w:val="19"/>
              </w:rPr>
              <w:t xml:space="preserve">DBA_USERS, falling back to ALL_USERS</w:t>
            </w:r>
          </w:p>
        </w:tc>
        <w:tc>
          <w:tcPr>
            <w:tcW w:type="dxa" w:w="3560"/>
            <w:tcMar>
              <w:top w:type="dxa" w:w="60"/>
              <w:left w:type="dxa" w:w="100"/>
              <w:bottom w:type="dxa" w:w="60"/>
              <w:right w:type="dxa" w:w="100"/>
            </w:tcMar>
          </w:tcPr>
          <w:p>
            <w:r>
              <w:rPr>
                <w:sz w:val="19"/>
                <w:szCs w:val="19"/>
              </w:rPr>
              <w:t xml:space="preserve">sys.database_principals + sys.server_principals</w:t>
            </w:r>
          </w:p>
        </w:tc>
      </w:tr>
      <w:tr>
        <w:tc>
          <w:tcPr>
            <w:tcW w:type="dxa" w:w="1900"/>
            <w:shd w:fill="F7F9FC" w:color="auto" w:val="clear"/>
            <w:tcMar>
              <w:top w:type="dxa" w:w="60"/>
              <w:left w:type="dxa" w:w="100"/>
              <w:bottom w:type="dxa" w:w="60"/>
              <w:right w:type="dxa" w:w="100"/>
            </w:tcMar>
          </w:tcPr>
          <w:p>
            <w:r>
              <w:rPr>
                <w:sz w:val="19"/>
                <w:szCs w:val="19"/>
              </w:rPr>
              <w:t xml:space="preserve">Roles</w:t>
            </w:r>
          </w:p>
        </w:tc>
        <w:tc>
          <w:tcPr>
            <w:tcW w:type="dxa" w:w="3900"/>
            <w:shd w:fill="F7F9FC" w:color="auto" w:val="clear"/>
            <w:tcMar>
              <w:top w:type="dxa" w:w="60"/>
              <w:left w:type="dxa" w:w="100"/>
              <w:bottom w:type="dxa" w:w="60"/>
              <w:right w:type="dxa" w:w="100"/>
            </w:tcMar>
          </w:tcPr>
          <w:p>
            <w:r>
              <w:rPr>
                <w:sz w:val="19"/>
                <w:szCs w:val="19"/>
              </w:rPr>
              <w:t xml:space="preserve">DBA_ROLES / DBA_ROLE_PRIVS</w:t>
            </w:r>
          </w:p>
        </w:tc>
        <w:tc>
          <w:tcPr>
            <w:tcW w:type="dxa" w:w="3560"/>
            <w:shd w:fill="F7F9FC" w:color="auto" w:val="clear"/>
            <w:tcMar>
              <w:top w:type="dxa" w:w="60"/>
              <w:left w:type="dxa" w:w="100"/>
              <w:bottom w:type="dxa" w:w="60"/>
              <w:right w:type="dxa" w:w="100"/>
            </w:tcMar>
          </w:tcPr>
          <w:p>
            <w:r>
              <w:rPr>
                <w:sz w:val="19"/>
                <w:szCs w:val="19"/>
              </w:rPr>
              <w:t xml:space="preserve">sys.database_principals + sys.database_role_members</w:t>
            </w:r>
          </w:p>
        </w:tc>
      </w:tr>
      <w:tr>
        <w:tc>
          <w:tcPr>
            <w:tcW w:type="dxa" w:w="1900"/>
            <w:tcMar>
              <w:top w:type="dxa" w:w="60"/>
              <w:left w:type="dxa" w:w="100"/>
              <w:bottom w:type="dxa" w:w="60"/>
              <w:right w:type="dxa" w:w="100"/>
            </w:tcMar>
          </w:tcPr>
          <w:p>
            <w:r>
              <w:rPr>
                <w:sz w:val="19"/>
                <w:szCs w:val="19"/>
              </w:rPr>
              <w:t xml:space="preserve">Privileges</w:t>
            </w:r>
          </w:p>
        </w:tc>
        <w:tc>
          <w:tcPr>
            <w:tcW w:type="dxa" w:w="3900"/>
            <w:tcMar>
              <w:top w:type="dxa" w:w="60"/>
              <w:left w:type="dxa" w:w="100"/>
              <w:bottom w:type="dxa" w:w="60"/>
              <w:right w:type="dxa" w:w="100"/>
            </w:tcMar>
          </w:tcPr>
          <w:p>
            <w:r>
              <w:rPr>
                <w:sz w:val="19"/>
                <w:szCs w:val="19"/>
              </w:rPr>
              <w:t xml:space="preserve">SYSTEM_PRIVILEGE_MAP / DBA_SYS_PRIVS</w:t>
            </w:r>
          </w:p>
        </w:tc>
        <w:tc>
          <w:tcPr>
            <w:tcW w:type="dxa" w:w="3560"/>
            <w:tcMar>
              <w:top w:type="dxa" w:w="60"/>
              <w:left w:type="dxa" w:w="100"/>
              <w:bottom w:type="dxa" w:w="60"/>
              <w:right w:type="dxa" w:w="100"/>
            </w:tcMar>
          </w:tcPr>
          <w:p>
            <w:r>
              <w:rPr>
                <w:sz w:val="19"/>
                <w:szCs w:val="19"/>
              </w:rPr>
              <w:t xml:space="preserve">sys.database_permissions (curated list)</w:t>
            </w:r>
          </w:p>
        </w:tc>
      </w:tr>
      <w:tr>
        <w:tc>
          <w:tcPr>
            <w:tcW w:type="dxa" w:w="1900"/>
            <w:shd w:fill="F7F9FC" w:color="auto" w:val="clear"/>
            <w:tcMar>
              <w:top w:type="dxa" w:w="60"/>
              <w:left w:type="dxa" w:w="100"/>
              <w:bottom w:type="dxa" w:w="60"/>
              <w:right w:type="dxa" w:w="100"/>
            </w:tcMar>
          </w:tcPr>
          <w:p>
            <w:r>
              <w:rPr>
                <w:sz w:val="19"/>
                <w:szCs w:val="19"/>
              </w:rPr>
              <w:t xml:space="preserve">Quotas</w:t>
            </w:r>
          </w:p>
        </w:tc>
        <w:tc>
          <w:tcPr>
            <w:tcW w:type="dxa" w:w="3900"/>
            <w:shd w:fill="F7F9FC" w:color="auto" w:val="clear"/>
            <w:tcMar>
              <w:top w:type="dxa" w:w="60"/>
              <w:left w:type="dxa" w:w="100"/>
              <w:bottom w:type="dxa" w:w="60"/>
              <w:right w:type="dxa" w:w="100"/>
            </w:tcMar>
          </w:tcPr>
          <w:p>
            <w:r>
              <w:rPr>
                <w:sz w:val="19"/>
                <w:szCs w:val="19"/>
              </w:rPr>
              <w:t xml:space="preserve">DBA_TS_QUOTAS</w:t>
            </w:r>
          </w:p>
        </w:tc>
        <w:tc>
          <w:tcPr>
            <w:tcW w:type="dxa" w:w="3560"/>
            <w:shd w:fill="F7F9FC" w:color="auto" w:val="clear"/>
            <w:tcMar>
              <w:top w:type="dxa" w:w="60"/>
              <w:left w:type="dxa" w:w="100"/>
              <w:bottom w:type="dxa" w:w="60"/>
              <w:right w:type="dxa" w:w="100"/>
            </w:tcMar>
          </w:tcPr>
          <w:p>
            <w:r>
              <w:rPr>
                <w:sz w:val="19"/>
                <w:szCs w:val="19"/>
              </w:rPr>
              <w:t xml:space="preserve">Not applicable</w:t>
            </w:r>
          </w:p>
        </w:tc>
      </w:tr>
      <w:tr>
        <w:tc>
          <w:tcPr>
            <w:tcW w:type="dxa" w:w="1900"/>
            <w:tcMar>
              <w:top w:type="dxa" w:w="60"/>
              <w:left w:type="dxa" w:w="100"/>
              <w:bottom w:type="dxa" w:w="60"/>
              <w:right w:type="dxa" w:w="100"/>
            </w:tcMar>
          </w:tcPr>
          <w:p>
            <w:r>
              <w:rPr>
                <w:sz w:val="19"/>
                <w:szCs w:val="19"/>
              </w:rPr>
              <w:t xml:space="preserve">Grant DDL</w:t>
            </w:r>
          </w:p>
        </w:tc>
        <w:tc>
          <w:tcPr>
            <w:tcW w:type="dxa" w:w="3900"/>
            <w:tcMar>
              <w:top w:type="dxa" w:w="60"/>
              <w:left w:type="dxa" w:w="100"/>
              <w:bottom w:type="dxa" w:w="60"/>
              <w:right w:type="dxa" w:w="100"/>
            </w:tcMar>
          </w:tcPr>
          <w:p>
            <w:r>
              <w:rPr>
                <w:sz w:val="19"/>
                <w:szCs w:val="19"/>
              </w:rPr>
              <w:t xml:space="preserve">GRANT … TO … [WITH ADMIN OPTION]</w:t>
            </w:r>
          </w:p>
        </w:tc>
        <w:tc>
          <w:tcPr>
            <w:tcW w:type="dxa" w:w="3560"/>
            <w:tcMar>
              <w:top w:type="dxa" w:w="60"/>
              <w:left w:type="dxa" w:w="100"/>
              <w:bottom w:type="dxa" w:w="60"/>
              <w:right w:type="dxa" w:w="100"/>
            </w:tcMar>
          </w:tcPr>
          <w:p>
            <w:r>
              <w:rPr>
                <w:sz w:val="19"/>
                <w:szCs w:val="19"/>
              </w:rPr>
              <w:t xml:space="preserve">ALTER ROLE … ADD MEMBER / GRANT</w:t>
            </w:r>
          </w:p>
        </w:tc>
      </w:tr>
    </w:tbl>
    <w:p>
      <w:pPr>
        <w:spacing w:after="120"/>
      </w:pPr>
      <w:r>
        <w:t xml:space="preserve">Every Oracle query has an ALL_/USER_ fallback so the dialog degrades gracefully for a non-DBA login. Each RoleGrant and PrivilegeGrant carries both its current and originally-loaded state, so BuildAlterScript emits statements only for genuine changes — an unmodified user produces an empty script.</w:t>
      </w:r>
    </w:p>
    <w:p>
      <w:pPr>
        <w:pBdr>
          <w:left w:val="single" w:color="1F3864" w:sz="18" w:space="8"/>
        </w:pBdr>
        <w:shd w:fill="DEEAF6" w:color="auto" w:val="clear"/>
        <w:spacing w:after="140" w:before="100"/>
        <w:ind w:left="180" w:right="180"/>
      </w:pPr>
      <w:r>
        <w:rPr>
          <w:b/>
          <w:bCs/>
          <w:color w:val="1F3864"/>
        </w:rPr>
        <w:t xml:space="preserve">Safety  </w:t>
      </w:r>
      <w:r>
        <w:t xml:space="preserve">Generated administration DDL is always displayed for confirmation before execution. Qplus never applies user changes silently.</w:t>
      </w:r>
    </w:p>
    <w:p>
      <w:pPr>
        <w:pStyle w:val="Heading1"/>
        <w:spacing w:after="160" w:before="360"/>
      </w:pPr>
      <w:r>
        <w:t xml:space="preserve">8. Local catalog</w:t>
      </w:r>
    </w:p>
    <w:p>
      <w:pPr>
        <w:spacing w:after="120"/>
      </w:pPr>
      <w:r>
        <w:t xml:space="preserve">CatalogStore owns a SQLite database at %AppData%\Qplus\qplus.db, created and migrated on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shd w:fill="1F3864" w:color="auto" w:val="clear"/>
            <w:tcMar>
              <w:top w:type="dxa" w:w="60"/>
              <w:left w:type="dxa" w:w="100"/>
              <w:bottom w:type="dxa" w:w="60"/>
              <w:right w:type="dxa" w:w="100"/>
            </w:tcMar>
          </w:tcPr>
          <w:p>
            <w:r>
              <w:rPr>
                <w:b/>
                <w:bCs/>
                <w:color w:val="FFFFFF"/>
                <w:sz w:val="19"/>
                <w:szCs w:val="19"/>
              </w:rPr>
              <w:t xml:space="preserve">Table</w:t>
            </w:r>
          </w:p>
        </w:tc>
        <w:tc>
          <w:tcPr>
            <w:tcW w:type="dxa" w:w="2600"/>
            <w:shd w:fill="1F3864" w:color="auto" w:val="clear"/>
            <w:tcMar>
              <w:top w:type="dxa" w:w="60"/>
              <w:left w:type="dxa" w:w="100"/>
              <w:bottom w:type="dxa" w:w="60"/>
              <w:right w:type="dxa" w:w="100"/>
            </w:tcMar>
          </w:tcPr>
          <w:p>
            <w:r>
              <w:rPr>
                <w:b/>
                <w:bCs/>
                <w:color w:val="FFFFFF"/>
                <w:sz w:val="19"/>
                <w:szCs w:val="19"/>
              </w:rPr>
              <w:t xml:space="preserve">Purpose</w:t>
            </w:r>
          </w:p>
        </w:tc>
        <w:tc>
          <w:tcPr>
            <w:tcW w:type="dxa" w:w="4960"/>
            <w:shd w:fill="1F3864" w:color="auto" w:val="clear"/>
            <w:tcMar>
              <w:top w:type="dxa" w:w="60"/>
              <w:left w:type="dxa" w:w="100"/>
              <w:bottom w:type="dxa" w:w="60"/>
              <w:right w:type="dxa" w:w="100"/>
            </w:tcMar>
          </w:tcPr>
          <w:p>
            <w:r>
              <w:rPr>
                <w:b/>
                <w:bCs/>
                <w:color w:val="FFFFFF"/>
                <w:sz w:val="19"/>
                <w:szCs w:val="19"/>
              </w:rPr>
              <w:t xml:space="preserve">Notable columns</w:t>
            </w:r>
          </w:p>
        </w:tc>
      </w:tr>
      <w:tr>
        <w:tc>
          <w:tcPr>
            <w:tcW w:type="dxa" w:w="1800"/>
            <w:tcMar>
              <w:top w:type="dxa" w:w="60"/>
              <w:left w:type="dxa" w:w="100"/>
              <w:bottom w:type="dxa" w:w="60"/>
              <w:right w:type="dxa" w:w="100"/>
            </w:tcMar>
          </w:tcPr>
          <w:p>
            <w:r>
              <w:rPr>
                <w:sz w:val="19"/>
                <w:szCs w:val="19"/>
              </w:rPr>
              <w:t xml:space="preserve">connections</w:t>
            </w:r>
          </w:p>
        </w:tc>
        <w:tc>
          <w:tcPr>
            <w:tcW w:type="dxa" w:w="2600"/>
            <w:tcMar>
              <w:top w:type="dxa" w:w="60"/>
              <w:left w:type="dxa" w:w="100"/>
              <w:bottom w:type="dxa" w:w="60"/>
              <w:right w:type="dxa" w:w="100"/>
            </w:tcMar>
          </w:tcPr>
          <w:p>
            <w:r>
              <w:rPr>
                <w:sz w:val="19"/>
                <w:szCs w:val="19"/>
              </w:rPr>
              <w:t xml:space="preserve">Saved connections</w:t>
            </w:r>
          </w:p>
        </w:tc>
        <w:tc>
          <w:tcPr>
            <w:tcW w:type="dxa" w:w="4960"/>
            <w:tcMar>
              <w:top w:type="dxa" w:w="60"/>
              <w:left w:type="dxa" w:w="100"/>
              <w:bottom w:type="dxa" w:w="60"/>
              <w:right w:type="dxa" w:w="100"/>
            </w:tcMar>
          </w:tcPr>
          <w:p>
            <w:r>
              <w:rPr>
                <w:sz w:val="19"/>
                <w:szCs w:val="19"/>
              </w:rPr>
              <w:t xml:space="preserve">engine, host, port, database, integrated_security, enc_password, trust_server_cert</w:t>
            </w:r>
          </w:p>
        </w:tc>
      </w:tr>
      <w:tr>
        <w:tc>
          <w:tcPr>
            <w:tcW w:type="dxa" w:w="1800"/>
            <w:shd w:fill="F7F9FC" w:color="auto" w:val="clear"/>
            <w:tcMar>
              <w:top w:type="dxa" w:w="60"/>
              <w:left w:type="dxa" w:w="100"/>
              <w:bottom w:type="dxa" w:w="60"/>
              <w:right w:type="dxa" w:w="100"/>
            </w:tcMar>
          </w:tcPr>
          <w:p>
            <w:r>
              <w:rPr>
                <w:sz w:val="19"/>
                <w:szCs w:val="19"/>
              </w:rPr>
              <w:t xml:space="preserve">saved_queries</w:t>
            </w:r>
          </w:p>
        </w:tc>
        <w:tc>
          <w:tcPr>
            <w:tcW w:type="dxa" w:w="2600"/>
            <w:shd w:fill="F7F9FC" w:color="auto" w:val="clear"/>
            <w:tcMar>
              <w:top w:type="dxa" w:w="60"/>
              <w:left w:type="dxa" w:w="100"/>
              <w:bottom w:type="dxa" w:w="60"/>
              <w:right w:type="dxa" w:w="100"/>
            </w:tcMar>
          </w:tcPr>
          <w:p>
            <w:r>
              <w:rPr>
                <w:sz w:val="19"/>
                <w:szCs w:val="19"/>
              </w:rPr>
              <w:t xml:space="preserve">Reusable SQL library</w:t>
            </w:r>
          </w:p>
        </w:tc>
        <w:tc>
          <w:tcPr>
            <w:tcW w:type="dxa" w:w="4960"/>
            <w:shd w:fill="F7F9FC" w:color="auto" w:val="clear"/>
            <w:tcMar>
              <w:top w:type="dxa" w:w="60"/>
              <w:left w:type="dxa" w:w="100"/>
              <w:bottom w:type="dxa" w:w="60"/>
              <w:right w:type="dxa" w:w="100"/>
            </w:tcMar>
          </w:tcPr>
          <w:p>
            <w:r>
              <w:rPr>
                <w:sz w:val="19"/>
                <w:szCs w:val="19"/>
              </w:rPr>
              <w:t xml:space="preserve">name, tags, folder, sql, engine_scope, created_utc, updated_utc, is_deleted</w:t>
            </w:r>
          </w:p>
        </w:tc>
      </w:tr>
      <w:tr>
        <w:tc>
          <w:tcPr>
            <w:tcW w:type="dxa" w:w="1800"/>
            <w:tcMar>
              <w:top w:type="dxa" w:w="60"/>
              <w:left w:type="dxa" w:w="100"/>
              <w:bottom w:type="dxa" w:w="60"/>
              <w:right w:type="dxa" w:w="100"/>
            </w:tcMar>
          </w:tcPr>
          <w:p>
            <w:r>
              <w:rPr>
                <w:sz w:val="19"/>
                <w:szCs w:val="19"/>
              </w:rPr>
              <w:t xml:space="preserve">settings</w:t>
            </w:r>
          </w:p>
        </w:tc>
        <w:tc>
          <w:tcPr>
            <w:tcW w:type="dxa" w:w="2600"/>
            <w:tcMar>
              <w:top w:type="dxa" w:w="60"/>
              <w:left w:type="dxa" w:w="100"/>
              <w:bottom w:type="dxa" w:w="60"/>
              <w:right w:type="dxa" w:w="100"/>
            </w:tcMar>
          </w:tcPr>
          <w:p>
            <w:r>
              <w:rPr>
                <w:sz w:val="19"/>
                <w:szCs w:val="19"/>
              </w:rPr>
              <w:t xml:space="preserve">Application preferences</w:t>
            </w:r>
          </w:p>
        </w:tc>
        <w:tc>
          <w:tcPr>
            <w:tcW w:type="dxa" w:w="4960"/>
            <w:tcMar>
              <w:top w:type="dxa" w:w="60"/>
              <w:left w:type="dxa" w:w="100"/>
              <w:bottom w:type="dxa" w:w="60"/>
              <w:right w:type="dxa" w:w="100"/>
            </w:tcMar>
          </w:tcPr>
          <w:p>
            <w:r>
              <w:rPr>
                <w:sz w:val="19"/>
                <w:szCs w:val="19"/>
              </w:rPr>
              <w:t xml:space="preserve">key, value (currently the theme)</w:t>
            </w:r>
          </w:p>
        </w:tc>
      </w:tr>
    </w:tbl>
    <w:p>
      <w:pPr>
        <w:spacing w:after="120"/>
      </w:pPr>
      <w:r>
        <w:t xml:space="preserve">All access uses parameterised commands. Passwords are stored only as DPAPI ciphertext (CurrentUser scope with a fixed entropy value); SecretProtector returns an empty string rather than throwing when a blob cannot be decrypted, which is the expected outcome if the file is moved between user profiles.</w:t>
      </w:r>
    </w:p>
    <w:p>
      <w:pPr>
        <w:pStyle w:val="Heading1"/>
        <w:spacing w:after="160" w:before="360"/>
      </w:pPr>
      <w:r>
        <w:t xml:space="preserve">9. Query sync</w:t>
      </w:r>
    </w:p>
    <w:p>
      <w:pPr>
        <w:spacing w:after="120"/>
      </w:pPr>
      <w:r>
        <w:t xml:space="preserve">The saved-query library can be shared through a central server (Qplus.Server), an ASP.NET Core service backed by SQLite. It stores query text only — no credentials or connection details ever leave the client.</w:t>
      </w:r>
    </w:p>
    <w:p>
      <w:pPr>
        <w:pStyle w:val="Heading2"/>
        <w:spacing w:after="120" w:before="280"/>
      </w:pPr>
      <w:r>
        <w:t xml:space="preserve">Protocol</w:t>
      </w:r>
    </w:p>
    <w:p>
      <w:pPr>
        <w:spacing w:after="120"/>
      </w:pPr>
      <w:r>
        <w:t xml:space="preserve">One endpoint does both halves of a sync in a single round trip: POST /api/v1/sync takes the client revision watermark plus its locally-changed rows, and returns the rows changed on the server since that watermark. GET /api/v1/health reports status. An optional X-Api-Key header is compared in constant time.</w:t>
      </w:r>
    </w:p>
    <w:p>
      <w:pPr>
        <w:pStyle w:val="Heading2"/>
        <w:spacing w:after="120" w:before="280"/>
      </w:pPr>
      <w:r>
        <w:t xml:space="preserve">Authentication</w:t>
      </w:r>
    </w:p>
    <w:p>
      <w:pPr>
        <w:spacing w:after="120"/>
      </w:pPr>
      <w:r>
        <w:t xml:space="preserve">The server compares an X-Api-Key header against QPLUS_API_KEY in constant time. When that variable is unset the server accepts every request and logs a warning at startup — convenient for a first run on a trusted network, unsafe for anything reachable beyond it. There is no default key.</w:t>
      </w:r>
    </w:p>
    <w:p>
      <w:pPr>
        <w:spacing w:after="120"/>
      </w:pPr>
      <w:r>
        <w:t xml:space="preserve">This is a separate concern from query encryption. Encryption denies an attacker the ability to read; the API key denies the ability to write. An unauthenticated server holding encrypted queries is still exposed to deletion and to injected rows, so a shared deployment wants both, behind TLS.</w:t>
      </w:r>
    </w:p>
    <w:p>
      <w:pPr>
        <w:pStyle w:val="Heading2"/>
        <w:spacing w:after="120" w:before="280"/>
      </w:pPr>
      <w:r>
        <w:t xml:space="preserve">Conflict and deletion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Concern</w:t>
            </w:r>
          </w:p>
        </w:tc>
        <w:tc>
          <w:tcPr>
            <w:tcW w:type="dxa" w:w="6960"/>
            <w:shd w:fill="1F3864" w:color="auto" w:val="clear"/>
            <w:tcMar>
              <w:top w:type="dxa" w:w="60"/>
              <w:left w:type="dxa" w:w="100"/>
              <w:bottom w:type="dxa" w:w="60"/>
              <w:right w:type="dxa" w:w="100"/>
            </w:tcMar>
          </w:tcPr>
          <w:p>
            <w:r>
              <w:rPr>
                <w:b/>
                <w:bCs/>
                <w:color w:val="FFFFFF"/>
                <w:sz w:val="19"/>
                <w:szCs w:val="19"/>
              </w:rPr>
              <w:t xml:space="preserve">Mechanism</w:t>
            </w:r>
          </w:p>
        </w:tc>
      </w:tr>
      <w:tr>
        <w:tc>
          <w:tcPr>
            <w:tcW w:type="dxa" w:w="2400"/>
            <w:tcMar>
              <w:top w:type="dxa" w:w="60"/>
              <w:left w:type="dxa" w:w="100"/>
              <w:bottom w:type="dxa" w:w="60"/>
              <w:right w:type="dxa" w:w="100"/>
            </w:tcMar>
          </w:tcPr>
          <w:p>
            <w:r>
              <w:rPr>
                <w:sz w:val="19"/>
                <w:szCs w:val="19"/>
              </w:rPr>
              <w:t xml:space="preserve">What to download</w:t>
            </w:r>
          </w:p>
        </w:tc>
        <w:tc>
          <w:tcPr>
            <w:tcW w:type="dxa" w:w="6960"/>
            <w:tcMar>
              <w:top w:type="dxa" w:w="60"/>
              <w:left w:type="dxa" w:w="100"/>
              <w:bottom w:type="dxa" w:w="60"/>
              <w:right w:type="dxa" w:w="100"/>
            </w:tcMar>
          </w:tcPr>
          <w:p>
            <w:r>
              <w:rPr>
                <w:sz w:val="19"/>
                <w:szCs w:val="19"/>
              </w:rPr>
              <w:t xml:space="preserve">A server-assigned revision counter (rev), incremented on every write</w:t>
            </w:r>
          </w:p>
        </w:tc>
      </w:tr>
      <w:tr>
        <w:tc>
          <w:tcPr>
            <w:tcW w:type="dxa" w:w="2400"/>
            <w:shd w:fill="F7F9FC" w:color="auto" w:val="clear"/>
            <w:tcMar>
              <w:top w:type="dxa" w:w="60"/>
              <w:left w:type="dxa" w:w="100"/>
              <w:bottom w:type="dxa" w:w="60"/>
              <w:right w:type="dxa" w:w="100"/>
            </w:tcMar>
          </w:tcPr>
          <w:p>
            <w:r>
              <w:rPr>
                <w:sz w:val="19"/>
                <w:szCs w:val="19"/>
              </w:rPr>
              <w:t xml:space="preserve">What to upload</w:t>
            </w:r>
          </w:p>
        </w:tc>
        <w:tc>
          <w:tcPr>
            <w:tcW w:type="dxa" w:w="6960"/>
            <w:shd w:fill="F7F9FC" w:color="auto" w:val="clear"/>
            <w:tcMar>
              <w:top w:type="dxa" w:w="60"/>
              <w:left w:type="dxa" w:w="100"/>
              <w:bottom w:type="dxa" w:w="60"/>
              <w:right w:type="dxa" w:w="100"/>
            </w:tcMar>
          </w:tcPr>
          <w:p>
            <w:r>
              <w:rPr>
                <w:sz w:val="19"/>
                <w:szCs w:val="19"/>
              </w:rPr>
              <w:t xml:space="preserve">A local timestamp watermark — rows edited since the last successful push</w:t>
            </w:r>
          </w:p>
        </w:tc>
      </w:tr>
      <w:tr>
        <w:tc>
          <w:tcPr>
            <w:tcW w:type="dxa" w:w="2400"/>
            <w:tcMar>
              <w:top w:type="dxa" w:w="60"/>
              <w:left w:type="dxa" w:w="100"/>
              <w:bottom w:type="dxa" w:w="60"/>
              <w:right w:type="dxa" w:w="100"/>
            </w:tcMar>
          </w:tcPr>
          <w:p>
            <w:r>
              <w:rPr>
                <w:sz w:val="19"/>
                <w:szCs w:val="19"/>
              </w:rPr>
              <w:t xml:space="preserve">Conflicting edits</w:t>
            </w:r>
          </w:p>
        </w:tc>
        <w:tc>
          <w:tcPr>
            <w:tcW w:type="dxa" w:w="6960"/>
            <w:tcMar>
              <w:top w:type="dxa" w:w="60"/>
              <w:left w:type="dxa" w:w="100"/>
              <w:bottom w:type="dxa" w:w="60"/>
              <w:right w:type="dxa" w:w="100"/>
            </w:tcMar>
          </w:tcPr>
          <w:p>
            <w:r>
              <w:rPr>
                <w:sz w:val="19"/>
                <w:szCs w:val="19"/>
              </w:rPr>
              <w:t xml:space="preserve">Last writer wins, compared on the client UpdatedUtc</w:t>
            </w:r>
          </w:p>
        </w:tc>
      </w:tr>
      <w:tr>
        <w:tc>
          <w:tcPr>
            <w:tcW w:type="dxa" w:w="2400"/>
            <w:shd w:fill="F7F9FC" w:color="auto" w:val="clear"/>
            <w:tcMar>
              <w:top w:type="dxa" w:w="60"/>
              <w:left w:type="dxa" w:w="100"/>
              <w:bottom w:type="dxa" w:w="60"/>
              <w:right w:type="dxa" w:w="100"/>
            </w:tcMar>
          </w:tcPr>
          <w:p>
            <w:r>
              <w:rPr>
                <w:sz w:val="19"/>
                <w:szCs w:val="19"/>
              </w:rPr>
              <w:t xml:space="preserve">Deletions</w:t>
            </w:r>
          </w:p>
        </w:tc>
        <w:tc>
          <w:tcPr>
            <w:tcW w:type="dxa" w:w="6960"/>
            <w:shd w:fill="F7F9FC" w:color="auto" w:val="clear"/>
            <w:tcMar>
              <w:top w:type="dxa" w:w="60"/>
              <w:left w:type="dxa" w:w="100"/>
              <w:bottom w:type="dxa" w:w="60"/>
              <w:right w:type="dxa" w:w="100"/>
            </w:tcMar>
          </w:tcPr>
          <w:p>
            <w:r>
              <w:rPr>
                <w:sz w:val="19"/>
                <w:szCs w:val="19"/>
              </w:rPr>
              <w:t xml:space="preserve">Tombstones (is_deleted), so a delete propagates instead of being resurrected</w:t>
            </w:r>
          </w:p>
        </w:tc>
      </w:tr>
      <w:tr>
        <w:tc>
          <w:tcPr>
            <w:tcW w:type="dxa" w:w="2400"/>
            <w:tcMar>
              <w:top w:type="dxa" w:w="60"/>
              <w:left w:type="dxa" w:w="100"/>
              <w:bottom w:type="dxa" w:w="60"/>
              <w:right w:type="dxa" w:w="100"/>
            </w:tcMar>
          </w:tcPr>
          <w:p>
            <w:r>
              <w:rPr>
                <w:sz w:val="19"/>
                <w:szCs w:val="19"/>
              </w:rPr>
              <w:t xml:space="preserve">Restores</w:t>
            </w:r>
          </w:p>
        </w:tc>
        <w:tc>
          <w:tcPr>
            <w:tcW w:type="dxa" w:w="6960"/>
            <w:tcMar>
              <w:top w:type="dxa" w:w="60"/>
              <w:left w:type="dxa" w:w="100"/>
              <w:bottom w:type="dxa" w:w="60"/>
              <w:right w:type="dxa" w:w="100"/>
            </w:tcMar>
          </w:tcPr>
          <w:p>
            <w:r>
              <w:rPr>
                <w:sz w:val="19"/>
                <w:szCs w:val="19"/>
              </w:rPr>
              <w:t xml:space="preserve">RestoreSavedQuery clears the tombstone and bumps UpdatedUtc, so the restoration outranks the deletion other machines still hold</w:t>
            </w:r>
          </w:p>
        </w:tc>
      </w:tr>
    </w:tbl>
    <w:p>
      <w:pPr>
        <w:pBdr>
          <w:left w:val="single" w:color="1F3864" w:sz="18" w:space="8"/>
        </w:pBdr>
        <w:shd w:fill="DEEAF6" w:color="auto" w:val="clear"/>
        <w:spacing w:after="140" w:before="100"/>
        <w:ind w:left="180" w:right="180"/>
      </w:pPr>
      <w:r>
        <w:rPr>
          <w:b/>
          <w:bCs/>
          <w:color w:val="1F3864"/>
        </w:rPr>
        <w:t xml:space="preserve">Design note  </w:t>
      </w:r>
      <w:r>
        <w:t xml:space="preserve">Downloads are driven by a server revision counter, not a timestamp. The two are not interchangeable: a row can be written to the server after a client watermark while carrying an older client timestamp, so a timestamp filter would never deliver that row. The first implementation did exactly that and silently lost conflicting edits — the conflict test caught it. Push and pull watermarks measure different clocks and must stay separate.</w:t>
      </w:r>
    </w:p>
    <w:p>
      <w:pPr>
        <w:pStyle w:val="Heading1"/>
        <w:spacing w:after="160" w:before="360"/>
      </w:pPr>
      <w:r>
        <w:t xml:space="preserve">10. Query encryption</w:t>
      </w:r>
    </w:p>
    <w:p>
      <w:pPr>
        <w:spacing w:after="120"/>
      </w:pPr>
      <w:r>
        <w:t xml:space="preserve">Saved queries frequently encode business logic worth protecting. Qplus can encrypt query names, tags and SQL so that neither the local catalog nor the central server holds readable text.</w:t>
      </w:r>
    </w:p>
    <w:p>
      <w:pPr>
        <w:pStyle w:val="Heading2"/>
        <w:spacing w:after="120" w:before="280"/>
      </w:pPr>
      <w:r>
        <w:t xml:space="preserve">Threat model</w:t>
      </w:r>
    </w:p>
    <w:p>
      <w:pPr>
        <w:spacing w:after="120"/>
      </w:pPr>
      <w:r>
        <w:t xml:space="preserve">The protection is against anyone who can read a database file: a server administrator, a stolen backup, or a copied catalog. Encryption is therefore performed entirely on the client — the server receives ciphertext and holds no key material, so it cannot decrypt even in principle.</w:t>
      </w:r>
    </w:p>
    <w:p>
      <w:pPr>
        <w:spacing w:after="120"/>
      </w:pPr>
      <w:r>
        <w:t xml:space="preserve">It is not a defence against a compromised client: once a user unlocks the library on their own machine, the queries are readable to that process.</w:t>
      </w:r>
    </w:p>
    <w:p>
      <w:pPr>
        <w:spacing w:after="120"/>
      </w:pPr>
      <w:r>
        <w:t xml:space="preserve">Nor does it protect integrity or availability of the shared library. An attacker who can reach an unauthenticated server can still delete rows or insert their own without reading anything, because the sync protocol treats query text as opaque. Authentication (section 9) is the control for that.</w:t>
      </w:r>
    </w:p>
    <w:p>
      <w:pPr>
        <w:pStyle w:val="Heading2"/>
        <w:spacing w:after="120" w:before="280"/>
      </w:pPr>
      <w:r>
        <w:t xml:space="preserv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1F3864" w:color="auto" w:val="clear"/>
            <w:tcMar>
              <w:top w:type="dxa" w:w="60"/>
              <w:left w:type="dxa" w:w="100"/>
              <w:bottom w:type="dxa" w:w="60"/>
              <w:right w:type="dxa" w:w="100"/>
            </w:tcMar>
          </w:tcPr>
          <w:p>
            <w:r>
              <w:rPr>
                <w:b/>
                <w:bCs/>
                <w:color w:val="FFFFFF"/>
                <w:sz w:val="19"/>
                <w:szCs w:val="19"/>
              </w:rPr>
              <w:t xml:space="preserve">Element</w:t>
            </w:r>
          </w:p>
        </w:tc>
        <w:tc>
          <w:tcPr>
            <w:tcW w:type="dxa" w:w="3400"/>
            <w:shd w:fill="1F3864" w:color="auto" w:val="clear"/>
            <w:tcMar>
              <w:top w:type="dxa" w:w="60"/>
              <w:left w:type="dxa" w:w="100"/>
              <w:bottom w:type="dxa" w:w="60"/>
              <w:right w:type="dxa" w:w="100"/>
            </w:tcMar>
          </w:tcPr>
          <w:p>
            <w:r>
              <w:rPr>
                <w:b/>
                <w:bCs/>
                <w:color w:val="FFFFFF"/>
                <w:sz w:val="19"/>
                <w:szCs w:val="19"/>
              </w:rPr>
              <w:t xml:space="preserve">Choice</w:t>
            </w:r>
          </w:p>
        </w:tc>
        <w:tc>
          <w:tcPr>
            <w:tcW w:type="dxa" w:w="4160"/>
            <w:shd w:fill="1F3864" w:color="auto" w:val="clear"/>
            <w:tcMar>
              <w:top w:type="dxa" w:w="60"/>
              <w:left w:type="dxa" w:w="100"/>
              <w:bottom w:type="dxa" w:w="60"/>
              <w:right w:type="dxa" w:w="100"/>
            </w:tcMar>
          </w:tcPr>
          <w:p>
            <w:r>
              <w:rPr>
                <w:b/>
                <w:bCs/>
                <w:color w:val="FFFFFF"/>
                <w:sz w:val="19"/>
                <w:szCs w:val="19"/>
              </w:rPr>
              <w:t xml:space="preserve">Reason</w:t>
            </w:r>
          </w:p>
        </w:tc>
      </w:tr>
      <w:tr>
        <w:tc>
          <w:tcPr>
            <w:tcW w:type="dxa" w:w="1800"/>
            <w:tcMar>
              <w:top w:type="dxa" w:w="60"/>
              <w:left w:type="dxa" w:w="100"/>
              <w:bottom w:type="dxa" w:w="60"/>
              <w:right w:type="dxa" w:w="100"/>
            </w:tcMar>
          </w:tcPr>
          <w:p>
            <w:r>
              <w:rPr>
                <w:sz w:val="19"/>
                <w:szCs w:val="19"/>
              </w:rPr>
              <w:t xml:space="preserve">Cipher</w:t>
            </w:r>
          </w:p>
        </w:tc>
        <w:tc>
          <w:tcPr>
            <w:tcW w:type="dxa" w:w="3400"/>
            <w:tcMar>
              <w:top w:type="dxa" w:w="60"/>
              <w:left w:type="dxa" w:w="100"/>
              <w:bottom w:type="dxa" w:w="60"/>
              <w:right w:type="dxa" w:w="100"/>
            </w:tcMar>
          </w:tcPr>
          <w:p>
            <w:r>
              <w:rPr>
                <w:sz w:val="19"/>
                <w:szCs w:val="19"/>
              </w:rPr>
              <w:t xml:space="preserve">AES-256-CBC, random 16-byte IV per record</w:t>
            </w:r>
          </w:p>
        </w:tc>
        <w:tc>
          <w:tcPr>
            <w:tcW w:type="dxa" w:w="4160"/>
            <w:tcMar>
              <w:top w:type="dxa" w:w="60"/>
              <w:left w:type="dxa" w:w="100"/>
              <w:bottom w:type="dxa" w:w="60"/>
              <w:right w:type="dxa" w:w="100"/>
            </w:tcMar>
          </w:tcPr>
          <w:p>
            <w:r>
              <w:rPr>
                <w:sz w:val="19"/>
                <w:szCs w:val="19"/>
              </w:rPr>
              <w:t xml:space="preserve">Identical queries produce different ciphertext, so the server cannot correlate rows</w:t>
            </w:r>
          </w:p>
        </w:tc>
      </w:tr>
      <w:tr>
        <w:tc>
          <w:tcPr>
            <w:tcW w:type="dxa" w:w="1800"/>
            <w:shd w:fill="F7F9FC" w:color="auto" w:val="clear"/>
            <w:tcMar>
              <w:top w:type="dxa" w:w="60"/>
              <w:left w:type="dxa" w:w="100"/>
              <w:bottom w:type="dxa" w:w="60"/>
              <w:right w:type="dxa" w:w="100"/>
            </w:tcMar>
          </w:tcPr>
          <w:p>
            <w:r>
              <w:rPr>
                <w:sz w:val="19"/>
                <w:szCs w:val="19"/>
              </w:rPr>
              <w:t xml:space="preserve">Authentication</w:t>
            </w:r>
          </w:p>
        </w:tc>
        <w:tc>
          <w:tcPr>
            <w:tcW w:type="dxa" w:w="3400"/>
            <w:shd w:fill="F7F9FC" w:color="auto" w:val="clear"/>
            <w:tcMar>
              <w:top w:type="dxa" w:w="60"/>
              <w:left w:type="dxa" w:w="100"/>
              <w:bottom w:type="dxa" w:w="60"/>
              <w:right w:type="dxa" w:w="100"/>
            </w:tcMar>
          </w:tcPr>
          <w:p>
            <w:r>
              <w:rPr>
                <w:sz w:val="19"/>
                <w:szCs w:val="19"/>
              </w:rPr>
              <w:t xml:space="preserve">HMAC-SHA256, encrypt-then-MAC</w:t>
            </w:r>
          </w:p>
        </w:tc>
        <w:tc>
          <w:tcPr>
            <w:tcW w:type="dxa" w:w="4160"/>
            <w:shd w:fill="F7F9FC" w:color="auto" w:val="clear"/>
            <w:tcMar>
              <w:top w:type="dxa" w:w="60"/>
              <w:left w:type="dxa" w:w="100"/>
              <w:bottom w:type="dxa" w:w="60"/>
              <w:right w:type="dxa" w:w="100"/>
            </w:tcMar>
          </w:tcPr>
          <w:p>
            <w:r>
              <w:rPr>
                <w:sz w:val="19"/>
                <w:szCs w:val="19"/>
              </w:rPr>
              <w:t xml:space="preserve">Tampering is detected before any decryption is attempted</w:t>
            </w:r>
          </w:p>
        </w:tc>
      </w:tr>
      <w:tr>
        <w:tc>
          <w:tcPr>
            <w:tcW w:type="dxa" w:w="1800"/>
            <w:tcMar>
              <w:top w:type="dxa" w:w="60"/>
              <w:left w:type="dxa" w:w="100"/>
              <w:bottom w:type="dxa" w:w="60"/>
              <w:right w:type="dxa" w:w="100"/>
            </w:tcMar>
          </w:tcPr>
          <w:p>
            <w:r>
              <w:rPr>
                <w:sz w:val="19"/>
                <w:szCs w:val="19"/>
              </w:rPr>
              <w:t xml:space="preserve">MAC coverage</w:t>
            </w:r>
          </w:p>
        </w:tc>
        <w:tc>
          <w:tcPr>
            <w:tcW w:type="dxa" w:w="3400"/>
            <w:tcMar>
              <w:top w:type="dxa" w:w="60"/>
              <w:left w:type="dxa" w:w="100"/>
              <w:bottom w:type="dxa" w:w="60"/>
              <w:right w:type="dxa" w:w="100"/>
            </w:tcMar>
          </w:tcPr>
          <w:p>
            <w:r>
              <w:rPr>
                <w:sz w:val="19"/>
                <w:szCs w:val="19"/>
              </w:rPr>
              <w:t xml:space="preserve">IV and ciphertext together</w:t>
            </w:r>
          </w:p>
        </w:tc>
        <w:tc>
          <w:tcPr>
            <w:tcW w:type="dxa" w:w="4160"/>
            <w:tcMar>
              <w:top w:type="dxa" w:w="60"/>
              <w:left w:type="dxa" w:w="100"/>
              <w:bottom w:type="dxa" w:w="60"/>
              <w:right w:type="dxa" w:w="100"/>
            </w:tcMar>
          </w:tcPr>
          <w:p>
            <w:r>
              <w:rPr>
                <w:sz w:val="19"/>
                <w:szCs w:val="19"/>
              </w:rPr>
              <w:t xml:space="preserve">A modified IV would otherwise flip plaintext bits undetected</w:t>
            </w:r>
          </w:p>
        </w:tc>
      </w:tr>
      <w:tr>
        <w:tc>
          <w:tcPr>
            <w:tcW w:type="dxa" w:w="1800"/>
            <w:shd w:fill="F7F9FC" w:color="auto" w:val="clear"/>
            <w:tcMar>
              <w:top w:type="dxa" w:w="60"/>
              <w:left w:type="dxa" w:w="100"/>
              <w:bottom w:type="dxa" w:w="60"/>
              <w:right w:type="dxa" w:w="100"/>
            </w:tcMar>
          </w:tcPr>
          <w:p>
            <w:r>
              <w:rPr>
                <w:sz w:val="19"/>
                <w:szCs w:val="19"/>
              </w:rPr>
              <w:t xml:space="preserve">Key separation</w:t>
            </w:r>
          </w:p>
        </w:tc>
        <w:tc>
          <w:tcPr>
            <w:tcW w:type="dxa" w:w="3400"/>
            <w:shd w:fill="F7F9FC" w:color="auto" w:val="clear"/>
            <w:tcMar>
              <w:top w:type="dxa" w:w="60"/>
              <w:left w:type="dxa" w:w="100"/>
              <w:bottom w:type="dxa" w:w="60"/>
              <w:right w:type="dxa" w:w="100"/>
            </w:tcMar>
          </w:tcPr>
          <w:p>
            <w:r>
              <w:rPr>
                <w:sz w:val="19"/>
                <w:szCs w:val="19"/>
              </w:rPr>
              <w:t xml:space="preserve">Independent 256-bit encryption and MAC keys</w:t>
            </w:r>
          </w:p>
        </w:tc>
        <w:tc>
          <w:tcPr>
            <w:tcW w:type="dxa" w:w="4160"/>
            <w:shd w:fill="F7F9FC" w:color="auto" w:val="clear"/>
            <w:tcMar>
              <w:top w:type="dxa" w:w="60"/>
              <w:left w:type="dxa" w:w="100"/>
              <w:bottom w:type="dxa" w:w="60"/>
              <w:right w:type="dxa" w:w="100"/>
            </w:tcMar>
          </w:tcPr>
          <w:p>
            <w:r>
              <w:rPr>
                <w:sz w:val="19"/>
                <w:szCs w:val="19"/>
              </w:rPr>
              <w:t xml:space="preserve">Reusing one key for both weakens the construction</w:t>
            </w:r>
          </w:p>
        </w:tc>
      </w:tr>
      <w:tr>
        <w:tc>
          <w:tcPr>
            <w:tcW w:type="dxa" w:w="1800"/>
            <w:tcMar>
              <w:top w:type="dxa" w:w="60"/>
              <w:left w:type="dxa" w:w="100"/>
              <w:bottom w:type="dxa" w:w="60"/>
              <w:right w:type="dxa" w:w="100"/>
            </w:tcMar>
          </w:tcPr>
          <w:p>
            <w:r>
              <w:rPr>
                <w:sz w:val="19"/>
                <w:szCs w:val="19"/>
              </w:rPr>
              <w:t xml:space="preserve">Comparison</w:t>
            </w:r>
          </w:p>
        </w:tc>
        <w:tc>
          <w:tcPr>
            <w:tcW w:type="dxa" w:w="3400"/>
            <w:tcMar>
              <w:top w:type="dxa" w:w="60"/>
              <w:left w:type="dxa" w:w="100"/>
              <w:bottom w:type="dxa" w:w="60"/>
              <w:right w:type="dxa" w:w="100"/>
            </w:tcMar>
          </w:tcPr>
          <w:p>
            <w:r>
              <w:rPr>
                <w:sz w:val="19"/>
                <w:szCs w:val="19"/>
              </w:rPr>
              <w:t xml:space="preserve">Constant time</w:t>
            </w:r>
          </w:p>
        </w:tc>
        <w:tc>
          <w:tcPr>
            <w:tcW w:type="dxa" w:w="4160"/>
            <w:tcMar>
              <w:top w:type="dxa" w:w="60"/>
              <w:left w:type="dxa" w:w="100"/>
              <w:bottom w:type="dxa" w:w="60"/>
              <w:right w:type="dxa" w:w="100"/>
            </w:tcMar>
          </w:tcPr>
          <w:p>
            <w:r>
              <w:rPr>
                <w:sz w:val="19"/>
                <w:szCs w:val="19"/>
              </w:rPr>
              <w:t xml:space="preserve">Prevents probing the tag byte by byte</w:t>
            </w:r>
          </w:p>
        </w:tc>
      </w:tr>
      <w:tr>
        <w:tc>
          <w:tcPr>
            <w:tcW w:type="dxa" w:w="1800"/>
            <w:shd w:fill="F7F9FC" w:color="auto" w:val="clear"/>
            <w:tcMar>
              <w:top w:type="dxa" w:w="60"/>
              <w:left w:type="dxa" w:w="100"/>
              <w:bottom w:type="dxa" w:w="60"/>
              <w:right w:type="dxa" w:w="100"/>
            </w:tcMar>
          </w:tcPr>
          <w:p>
            <w:r>
              <w:rPr>
                <w:sz w:val="19"/>
                <w:szCs w:val="19"/>
              </w:rPr>
              <w:t xml:space="preserve">Derivation</w:t>
            </w:r>
          </w:p>
        </w:tc>
        <w:tc>
          <w:tcPr>
            <w:tcW w:type="dxa" w:w="3400"/>
            <w:shd w:fill="F7F9FC" w:color="auto" w:val="clear"/>
            <w:tcMar>
              <w:top w:type="dxa" w:w="60"/>
              <w:left w:type="dxa" w:w="100"/>
              <w:bottom w:type="dxa" w:w="60"/>
              <w:right w:type="dxa" w:w="100"/>
            </w:tcMar>
          </w:tcPr>
          <w:p>
            <w:r>
              <w:rPr>
                <w:sz w:val="19"/>
                <w:szCs w:val="19"/>
              </w:rPr>
              <w:t xml:space="preserve">PBKDF2-HMAC-SHA256, 210,000 iterations, 64 bytes split into the two keys</w:t>
            </w:r>
          </w:p>
        </w:tc>
        <w:tc>
          <w:tcPr>
            <w:tcW w:type="dxa" w:w="4160"/>
            <w:shd w:fill="F7F9FC" w:color="auto" w:val="clear"/>
            <w:tcMar>
              <w:top w:type="dxa" w:w="60"/>
              <w:left w:type="dxa" w:w="100"/>
              <w:bottom w:type="dxa" w:w="60"/>
              <w:right w:type="dxa" w:w="100"/>
            </w:tcMar>
          </w:tcPr>
          <w:p>
            <w:r>
              <w:rPr>
                <w:sz w:val="19"/>
                <w:szCs w:val="19"/>
              </w:rPr>
              <w:t xml:space="preserve">Slows offline guessing if ciphertext is obtained</w:t>
            </w:r>
          </w:p>
        </w:tc>
      </w:tr>
    </w:tbl>
    <w:p>
      <w:pPr>
        <w:spacing w:after="120"/>
      </w:pPr>
      <w:r>
        <w:t xml:space="preserve">Protected values carry a QP1: prefix. Anything without it is treated as plaintext, which is what allows a library to be migrated in place and stay readable while partially converted.</w:t>
      </w:r>
    </w:p>
    <w:p>
      <w:pPr>
        <w:pStyle w:val="Heading2"/>
        <w:spacing w:after="120" w:before="280"/>
      </w:pPr>
      <w:r>
        <w:t xml:space="preserve">Key management</w:t>
      </w:r>
    </w:p>
    <w:p>
      <w:pPr>
        <w:pStyle w:val="ListParagraph"/>
        <w:numPr>
          <w:ilvl w:val="0"/>
          <w:numId w:val="2"/>
        </w:numPr>
        <w:spacing w:after="60"/>
      </w:pPr>
      <w:r>
        <w:t xml:space="preserve">The passphrase is never stored. A verifier (an HMAC of a fixed string under the MAC key) detects a wrong passphrase immediately rather than yielding unreadable output later.</w:t>
      </w:r>
    </w:p>
    <w:p>
      <w:pPr>
        <w:pStyle w:val="ListParagraph"/>
        <w:numPr>
          <w:ilvl w:val="0"/>
          <w:numId w:val="2"/>
        </w:numPr>
        <w:spacing w:after="60"/>
      </w:pPr>
      <w:r>
        <w:t xml:space="preserve">Derived keys are cached under DPAPI for the current Windows account, so the passphrase is entered once per machine.</w:t>
      </w:r>
    </w:p>
    <w:p>
      <w:pPr>
        <w:pStyle w:val="ListParagraph"/>
        <w:numPr>
          <w:ilvl w:val="0"/>
          <w:numId w:val="2"/>
        </w:numPr>
        <w:spacing w:after="60"/>
      </w:pPr>
      <w:r>
        <w:t xml:space="preserve">The PBKDF2 salt is a fixed application constant. Every machine must derive the same key from the same passphrase, so a per-install random salt is not possible; passphrase length therefore carries the security, and a 12-character minimum is enforced.</w:t>
      </w:r>
    </w:p>
    <w:p>
      <w:pPr>
        <w:pStyle w:val="ListParagraph"/>
        <w:numPr>
          <w:ilvl w:val="0"/>
          <w:numId w:val="2"/>
        </w:numPr>
        <w:spacing w:after="60"/>
      </w:pPr>
      <w:r>
        <w:t xml:space="preserve">Enabling, disabling or rotating re-writes every row through CatalogStore.ReprotectAllQueries and bumps UpdatedUtc so the change propagates on the next sync.</w:t>
      </w:r>
    </w:p>
    <w:p>
      <w:pPr>
        <w:pStyle w:val="Heading2"/>
        <w:spacing w:after="120" w:before="280"/>
      </w:pPr>
      <w:r>
        <w:t xml:space="preserve">What is and is not encrypted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color="auto" w:val="clear"/>
            <w:tcMar>
              <w:top w:type="dxa" w:w="60"/>
              <w:left w:type="dxa" w:w="100"/>
              <w:bottom w:type="dxa" w:w="60"/>
              <w:right w:type="dxa" w:w="100"/>
            </w:tcMar>
          </w:tcPr>
          <w:p>
            <w:r>
              <w:rPr>
                <w:b/>
                <w:bCs/>
                <w:color w:val="FFFFFF"/>
                <w:sz w:val="19"/>
                <w:szCs w:val="19"/>
              </w:rPr>
              <w:t xml:space="preserve">Encrypted</w:t>
            </w:r>
          </w:p>
        </w:tc>
        <w:tc>
          <w:tcPr>
            <w:tcW w:type="dxa" w:w="4680"/>
            <w:shd w:fill="1F3864" w:color="auto" w:val="clear"/>
            <w:tcMar>
              <w:top w:type="dxa" w:w="60"/>
              <w:left w:type="dxa" w:w="100"/>
              <w:bottom w:type="dxa" w:w="60"/>
              <w:right w:type="dxa" w:w="100"/>
            </w:tcMar>
          </w:tcPr>
          <w:p>
            <w:r>
              <w:rPr>
                <w:b/>
                <w:bCs/>
                <w:color w:val="FFFFFF"/>
                <w:sz w:val="19"/>
                <w:szCs w:val="19"/>
              </w:rPr>
              <w:t xml:space="preserve">Left readable</w:t>
            </w:r>
          </w:p>
        </w:tc>
      </w:tr>
      <w:tr>
        <w:tc>
          <w:tcPr>
            <w:tcW w:type="dxa" w:w="4680"/>
            <w:tcMar>
              <w:top w:type="dxa" w:w="60"/>
              <w:left w:type="dxa" w:w="100"/>
              <w:bottom w:type="dxa" w:w="60"/>
              <w:right w:type="dxa" w:w="100"/>
            </w:tcMar>
          </w:tcPr>
          <w:p>
            <w:r>
              <w:rPr>
                <w:sz w:val="19"/>
                <w:szCs w:val="19"/>
              </w:rPr>
              <w:t xml:space="preserve">Query name</w:t>
            </w:r>
          </w:p>
          <w:p>
            <w:r>
              <w:rPr>
                <w:sz w:val="19"/>
                <w:szCs w:val="19"/>
              </w:rPr>
              <w:t xml:space="preserve">Tags</w:t>
            </w:r>
          </w:p>
          <w:p>
            <w:r>
              <w:rPr>
                <w:sz w:val="19"/>
                <w:szCs w:val="19"/>
              </w:rPr>
              <w:t xml:space="preserve">Folder</w:t>
            </w:r>
          </w:p>
          <w:p>
            <w:r>
              <w:rPr>
                <w:sz w:val="19"/>
                <w:szCs w:val="19"/>
              </w:rPr>
              <w:t xml:space="preserve">SQL text</w:t>
            </w:r>
          </w:p>
        </w:tc>
        <w:tc>
          <w:tcPr>
            <w:tcW w:type="dxa" w:w="4680"/>
            <w:tcMar>
              <w:top w:type="dxa" w:w="60"/>
              <w:left w:type="dxa" w:w="100"/>
              <w:bottom w:type="dxa" w:w="60"/>
              <w:right w:type="dxa" w:w="100"/>
            </w:tcMar>
          </w:tcPr>
          <w:p>
            <w:r>
              <w:rPr>
                <w:sz w:val="19"/>
                <w:szCs w:val="19"/>
              </w:rPr>
              <w:t xml:space="preserve">Row id</w:t>
            </w:r>
          </w:p>
          <w:p>
            <w:r>
              <w:rPr>
                <w:sz w:val="19"/>
                <w:szCs w:val="19"/>
              </w:rPr>
              <w:t xml:space="preserve">Created and updated timestamps</w:t>
            </w:r>
          </w:p>
          <w:p>
            <w:r>
              <w:rPr>
                <w:sz w:val="19"/>
                <w:szCs w:val="19"/>
              </w:rPr>
              <w:t xml:space="preserve">Deletion flag</w:t>
            </w:r>
          </w:p>
          <w:p>
            <w:r>
              <w:rPr>
                <w:sz w:val="19"/>
                <w:szCs w:val="19"/>
              </w:rPr>
              <w:t xml:space="preserve">Engine scope (0/1/2)</w:t>
            </w:r>
          </w:p>
          <w:p>
            <w:r>
              <w:rPr>
                <w:sz w:val="19"/>
                <w:szCs w:val="19"/>
              </w:rPr>
              <w:t xml:space="preserve">Server revision number</w:t>
            </w:r>
          </w:p>
        </w:tc>
      </w:tr>
    </w:tbl>
    <w:p>
      <w:pPr>
        <w:spacing w:after="120"/>
      </w:pPr>
      <w:r>
        <w:t xml:space="preserve">The folder is encrypted deliberately. A name like “Project Falcon” reveals intent even when the queries inside it cannot be read, so leaving it in clear text on a shared server would undercut the point.</w:t>
      </w:r>
    </w:p>
    <w:p>
      <w:pPr>
        <w:spacing w:after="120"/>
      </w:pPr>
      <w:r>
        <w:t xml:space="preserve">The readable fields are the mechanics that sync depends on. They reveal how many queries exist and when they changed, but not their content or purpose.</w:t>
      </w:r>
    </w:p>
    <w:p>
      <w:pPr>
        <w:pBdr>
          <w:left w:val="single" w:color="1F3864" w:sz="18" w:space="8"/>
        </w:pBdr>
        <w:shd w:fill="DEEAF6" w:color="auto" w:val="clear"/>
        <w:spacing w:after="140" w:before="100"/>
        <w:ind w:left="180" w:right="180"/>
      </w:pPr>
      <w:r>
        <w:rPr>
          <w:b/>
          <w:bCs/>
          <w:color w:val="1F3864"/>
        </w:rPr>
        <w:t xml:space="preserve">Operational note  </w:t>
      </w:r>
      <w:r>
        <w:t xml:space="preserve">There is no key escrow and no recovery path. Losing the passphrase makes every encrypted query unreadable everywhere. That is a deliberate consequence of the server holding no key material.</w:t>
      </w:r>
    </w:p>
    <w:p>
      <w:pPr>
        <w:pStyle w:val="Heading2"/>
        <w:spacing w:after="120" w:before="280"/>
      </w:pPr>
      <w:r>
        <w:t xml:space="preserve">Folders</w:t>
      </w:r>
    </w:p>
    <w:p>
      <w:pPr>
        <w:spacing w:after="120"/>
      </w:pPr>
      <w:r>
        <w:t xml:space="preserve">A folder is a string on the query itself, not a row in a folders table. The list offered in the pickers is derived from the queries in use, so a folder comes into existence when something is filed in it and disappears when the last query leaves. Nesting is by convention — a forward slash in the name — rather than a parent/child relationship.</w:t>
      </w:r>
    </w:p>
    <w:p>
      <w:pPr>
        <w:spacing w:after="120"/>
      </w:pPr>
      <w:r>
        <w:t xml:space="preserve">That choice keeps folders out of the sync protocol entirely: moving a query between folders is an ordinary field edit that resolves last-writer-wins like any other, with no second entity to keep consistent, no orphaned folders, and no rename cascade. Clearing a folder is an edit to an empty string, which must propagate like any other change rather than being mistaken for “no change”.</w:t>
      </w:r>
    </w:p>
    <w:p>
      <w:pPr>
        <w:pStyle w:val="Heading1"/>
        <w:spacing w:after="160" w:before="360"/>
      </w:pPr>
      <w:r>
        <w:t xml:space="preserve">11. Theming</w:t>
      </w:r>
    </w:p>
    <w:p>
      <w:pPr>
        <w:spacing w:after="120"/>
      </w:pPr>
      <w:r>
        <w:t xml:space="preserve">Two palette dictionaries, Themes/Dark.xaml and Themes/Light.xaml, define the same set of brush keys. They are merged at index 0 of the application resources; ThemeManager swaps that entry at runtime and the choice is persisted in the settings table.</w:t>
      </w:r>
    </w:p>
    <w:p>
      <w:pPr>
        <w:spacing w:after="120"/>
      </w:pPr>
      <w:r>
        <w:t xml:space="preserve">Themes/Controls.xaml holds the control styles and templates. Every colour reference uses DynamicResource — StaticResource is resolved once at load and cannot hot-swap.</w:t>
      </w:r>
    </w:p>
    <w:p>
      <w:pPr>
        <w:pBdr>
          <w:left w:val="single" w:color="1F3864" w:sz="18" w:space="8"/>
        </w:pBdr>
        <w:shd w:fill="DEEAF6" w:color="auto" w:val="clear"/>
        <w:spacing w:after="140" w:before="100"/>
        <w:ind w:left="180" w:right="180"/>
      </w:pPr>
      <w:r>
        <w:rPr>
          <w:b/>
          <w:bCs/>
          <w:color w:val="1F3864"/>
        </w:rPr>
        <w:t xml:space="preserve">Implementation note  </w:t>
      </w:r>
      <w:r>
        <w:t xml:space="preserve">WPF ToolBar substitutes its own system styles for child controls through ToolBar.ComboBoxStyleKey, ToolBar.ButtonStyleKey and similar keys, which overrides implicit styles entirely. Controls.xaml therefore re-registers the Qplus styles under those keys; without this, controls inside a toolbar silently render with the system light theme.</w:t>
      </w:r>
    </w:p>
    <w:p>
      <w:pPr>
        <w:spacing w:after="120"/>
      </w:pPr>
      <w:r>
        <w:t xml:space="preserve">SQL syntax colours are not part of the resource dictionaries. SqlSyntax.Apply mutates the named colours of AvalonEdit's shared TSQL highlighting definition for the active theme, and open editors are refreshed by reassigning SyntaxHighlighting.</w:t>
      </w:r>
    </w:p>
    <w:p>
      <w:r>
        <w:br w:type="page"/>
      </w:r>
    </w:p>
    <w:p>
      <w:pPr>
        <w:pStyle w:val="Heading1"/>
        <w:spacing w:after="160" w:before="360"/>
      </w:pPr>
      <w:r>
        <w:t xml:space="preserve">12. Building and publishing</w:t>
      </w:r>
    </w:p>
    <w:p>
      <w:pPr>
        <w:pStyle w:val="Heading2"/>
        <w:spacing w:after="120" w:before="280"/>
      </w:pPr>
      <w:r>
        <w:t xml:space="preserve">Build</w:t>
      </w:r>
    </w:p>
    <w:p>
      <w:pPr>
        <w:shd w:fill="F2F2F2" w:color="auto" w:val="clear"/>
        <w:spacing w:after="60" w:before="60"/>
        <w:ind w:left="360"/>
      </w:pPr>
      <w:r>
        <w:rPr>
          <w:rFonts w:ascii="Consolas" w:cs="Consolas" w:eastAsia="Consolas" w:hAnsi="Consolas"/>
          <w:sz w:val="18"/>
          <w:szCs w:val="18"/>
        </w:rPr>
        <w:t xml:space="preserve">dotnet build Qplus.slnx</w:t>
      </w:r>
    </w:p>
    <w:p>
      <w:pPr>
        <w:spacing w:after="120"/>
      </w:pPr>
    </w:p>
    <w:p>
      <w:pPr>
        <w:pStyle w:val="Heading2"/>
        <w:spacing w:after="120" w:before="280"/>
      </w:pPr>
      <w:r>
        <w:t xml:space="preserve">Publish (single self-contained executable)</w:t>
      </w:r>
    </w:p>
    <w:p>
      <w:pPr>
        <w:shd w:fill="F2F2F2" w:color="auto" w:val="clear"/>
        <w:spacing w:after="60" w:before="60"/>
        <w:ind w:left="360"/>
      </w:pPr>
      <w:r>
        <w:rPr>
          <w:rFonts w:ascii="Consolas" w:cs="Consolas" w:eastAsia="Consolas" w:hAnsi="Consolas"/>
          <w:sz w:val="18"/>
          <w:szCs w:val="18"/>
        </w:rPr>
        <w:t xml:space="preserve">dotnet publish src/Qplus.App/Qplus.App.csproj -c Release -r win-x64 \</w:t>
      </w:r>
    </w:p>
    <w:p>
      <w:pPr>
        <w:shd w:fill="F2F2F2" w:color="auto" w:val="clear"/>
        <w:spacing w:after="60" w:before="60"/>
        <w:ind w:left="360"/>
      </w:pPr>
      <w:r>
        <w:rPr>
          <w:rFonts w:ascii="Consolas" w:cs="Consolas" w:eastAsia="Consolas" w:hAnsi="Consolas"/>
          <w:sz w:val="18"/>
          <w:szCs w:val="18"/>
        </w:rPr>
        <w:t xml:space="preserve">  --self-contained true -p:PublishSingleFile=true \</w:t>
      </w:r>
    </w:p>
    <w:p>
      <w:pPr>
        <w:shd w:fill="F2F2F2" w:color="auto" w:val="clear"/>
        <w:spacing w:after="60" w:before="60"/>
        <w:ind w:left="360"/>
      </w:pPr>
      <w:r>
        <w:rPr>
          <w:rFonts w:ascii="Consolas" w:cs="Consolas" w:eastAsia="Consolas" w:hAnsi="Consolas"/>
          <w:sz w:val="18"/>
          <w:szCs w:val="18"/>
        </w:rPr>
        <w:t xml:space="preserve">  -p:IncludeNativeLibrariesForSelfExtract=true -p:EnableCompressionInSingleFile=true</w:t>
      </w:r>
    </w:p>
    <w:p>
      <w:pPr>
        <w:spacing w:after="120"/>
      </w:pPr>
    </w:p>
    <w:p>
      <w:pPr>
        <w:spacing w:after="120"/>
      </w:pPr>
      <w:r>
        <w:t xml:space="preserve">PublishDir is set in the project file, so output always lands in publish/ at the repository root. The result is a single ~75 MB executable that embeds the .NET runtime, WPF, both database drivers and the SQLite native library. It requires no .NET installation, no database client and no VC++ redistributable; it needs 64-bit Windows 10 1607 or later and a writable %TEMP% for first-run extraction of native libraries.</w:t>
      </w:r>
    </w:p>
    <w:p>
      <w:pPr>
        <w:pStyle w:val="Heading2"/>
        <w:spacing w:after="120" w:before="280"/>
      </w:pPr>
      <w:r>
        <w:t xml:space="preserve">SDK requirement</w:t>
      </w:r>
    </w:p>
    <w:p>
      <w:pPr>
        <w:spacing w:after="120"/>
      </w:pPr>
      <w:r>
        <w:t xml:space="preserve">global.json asks for 8.0.100 with rollForward latestMajor, so any .NET 8 SDK or newer builds the repository. Both projects target net8.0 (net8.0-windows for the client), and nothing depends on a newer SDK feature.</w:t>
      </w:r>
    </w:p>
    <w:p>
      <w:pPr>
        <w:pBdr>
          <w:left w:val="single" w:color="1F3864" w:sz="18" w:space="8"/>
        </w:pBdr>
        <w:shd w:fill="DEEAF6" w:color="auto" w:val="clear"/>
        <w:spacing w:after="140" w:before="100"/>
        <w:ind w:left="180" w:right="180"/>
      </w:pPr>
      <w:r>
        <w:rPr>
          <w:b/>
          <w:bCs/>
          <w:color w:val="1F3864"/>
        </w:rPr>
        <w:t xml:space="preserve">Design note  </w:t>
      </w:r>
      <w:r>
        <w:t xml:space="preserve">The pin was originally the exact preview SDK present on the machine where the project was scaffolded. That made the repository unbuildable anywhere else, and rollForward did not rescue it: roll-forward only ever moves forward, so an installed SDK older than the pinned version can never satisfy it, however new its major version appears. Pin the lowest version that actually works, not the one that happens to be installed.</w:t>
      </w:r>
    </w:p>
    <w:p>
      <w:pPr>
        <w:pStyle w:val="Heading2"/>
        <w:spacing w:after="120" w:before="280"/>
      </w:pPr>
      <w:r>
        <w:t xml:space="preserve">The Linux server</w:t>
      </w:r>
    </w:p>
    <w:p>
      <w:pPr>
        <w:spacing w:after="120"/>
      </w:pPr>
      <w:r>
        <w:t xml:space="preserve">src/Qplus.Server carries a Makefile covering the whole lifecycle. Run make with no arguments to list the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color="auto" w:val="clear"/>
            <w:tcMar>
              <w:top w:type="dxa" w:w="60"/>
              <w:left w:type="dxa" w:w="100"/>
              <w:bottom w:type="dxa" w:w="60"/>
              <w:right w:type="dxa" w:w="100"/>
            </w:tcMar>
          </w:tcPr>
          <w:p>
            <w:r>
              <w:rPr>
                <w:b/>
                <w:bCs/>
                <w:color w:val="FFFFFF"/>
                <w:sz w:val="19"/>
                <w:szCs w:val="19"/>
              </w:rPr>
              <w:t xml:space="preserve">Target</w:t>
            </w:r>
          </w:p>
        </w:tc>
        <w:tc>
          <w:tcPr>
            <w:tcW w:type="dxa" w:w="7660"/>
            <w:shd w:fill="1F3864" w:color="auto" w:val="clear"/>
            <w:tcMar>
              <w:top w:type="dxa" w:w="60"/>
              <w:left w:type="dxa" w:w="100"/>
              <w:bottom w:type="dxa" w:w="60"/>
              <w:right w:type="dxa" w:w="100"/>
            </w:tcMar>
          </w:tcPr>
          <w:p>
            <w:r>
              <w:rPr>
                <w:b/>
                <w:bCs/>
                <w:color w:val="FFFFFF"/>
                <w:sz w:val="19"/>
                <w:szCs w:val="19"/>
              </w:rPr>
              <w:t xml:space="preserve">Does</w:t>
            </w:r>
          </w:p>
        </w:tc>
      </w:tr>
      <w:tr>
        <w:tc>
          <w:tcPr>
            <w:tcW w:type="dxa" w:w="1700"/>
            <w:tcMar>
              <w:top w:type="dxa" w:w="60"/>
              <w:left w:type="dxa" w:w="100"/>
              <w:bottom w:type="dxa" w:w="60"/>
              <w:right w:type="dxa" w:w="100"/>
            </w:tcMar>
          </w:tcPr>
          <w:p>
            <w:r>
              <w:rPr>
                <w:sz w:val="19"/>
                <w:szCs w:val="19"/>
              </w:rPr>
              <w:t xml:space="preserve">sdk</w:t>
            </w:r>
          </w:p>
        </w:tc>
        <w:tc>
          <w:tcPr>
            <w:tcW w:type="dxa" w:w="7660"/>
            <w:tcMar>
              <w:top w:type="dxa" w:w="60"/>
              <w:left w:type="dxa" w:w="100"/>
              <w:bottom w:type="dxa" w:w="60"/>
              <w:right w:type="dxa" w:w="100"/>
            </w:tcMar>
          </w:tcPr>
          <w:p>
            <w:r>
              <w:rPr>
                <w:sz w:val="19"/>
                <w:szCs w:val="19"/>
              </w:rPr>
              <w:t xml:space="preserve">Runs scripts/install-dotnet.sh to install a suitable .NET SDK</w:t>
            </w:r>
          </w:p>
        </w:tc>
      </w:tr>
      <w:tr>
        <w:tc>
          <w:tcPr>
            <w:tcW w:type="dxa" w:w="1700"/>
            <w:shd w:fill="F7F9FC" w:color="auto" w:val="clear"/>
            <w:tcMar>
              <w:top w:type="dxa" w:w="60"/>
              <w:left w:type="dxa" w:w="100"/>
              <w:bottom w:type="dxa" w:w="60"/>
              <w:right w:type="dxa" w:w="100"/>
            </w:tcMar>
          </w:tcPr>
          <w:p>
            <w:r>
              <w:rPr>
                <w:sz w:val="19"/>
                <w:szCs w:val="19"/>
              </w:rPr>
              <w:t xml:space="preserve">publish</w:t>
            </w:r>
          </w:p>
        </w:tc>
        <w:tc>
          <w:tcPr>
            <w:tcW w:type="dxa" w:w="7660"/>
            <w:shd w:fill="F7F9FC" w:color="auto" w:val="clear"/>
            <w:tcMar>
              <w:top w:type="dxa" w:w="60"/>
              <w:left w:type="dxa" w:w="100"/>
              <w:bottom w:type="dxa" w:w="60"/>
              <w:right w:type="dxa" w:w="100"/>
            </w:tcMar>
          </w:tcPr>
          <w:p>
            <w:r>
              <w:rPr>
                <w:sz w:val="19"/>
                <w:szCs w:val="19"/>
              </w:rPr>
              <w:t xml:space="preserve">Single self-contained linux-x64 binary into ./out (RID overridable for arm64)</w:t>
            </w:r>
          </w:p>
        </w:tc>
      </w:tr>
      <w:tr>
        <w:tc>
          <w:tcPr>
            <w:tcW w:type="dxa" w:w="1700"/>
            <w:tcMar>
              <w:top w:type="dxa" w:w="60"/>
              <w:left w:type="dxa" w:w="100"/>
              <w:bottom w:type="dxa" w:w="60"/>
              <w:right w:type="dxa" w:w="100"/>
            </w:tcMar>
          </w:tcPr>
          <w:p>
            <w:r>
              <w:rPr>
                <w:sz w:val="19"/>
                <w:szCs w:val="19"/>
              </w:rPr>
              <w:t xml:space="preserve">install / service</w:t>
            </w:r>
          </w:p>
        </w:tc>
        <w:tc>
          <w:tcPr>
            <w:tcW w:type="dxa" w:w="7660"/>
            <w:tcMar>
              <w:top w:type="dxa" w:w="60"/>
              <w:left w:type="dxa" w:w="100"/>
              <w:bottom w:type="dxa" w:w="60"/>
              <w:right w:type="dxa" w:w="100"/>
            </w:tcMar>
          </w:tcPr>
          <w:p>
            <w:r>
              <w:rPr>
                <w:sz w:val="19"/>
                <w:szCs w:val="19"/>
              </w:rPr>
              <w:t xml:space="preserve">Creates the service account and data directory, installs the binary, writes a hardened systemd unit, then enables and starts it</w:t>
            </w:r>
          </w:p>
        </w:tc>
      </w:tr>
      <w:tr>
        <w:tc>
          <w:tcPr>
            <w:tcW w:type="dxa" w:w="1700"/>
            <w:shd w:fill="F7F9FC" w:color="auto" w:val="clear"/>
            <w:tcMar>
              <w:top w:type="dxa" w:w="60"/>
              <w:left w:type="dxa" w:w="100"/>
              <w:bottom w:type="dxa" w:w="60"/>
              <w:right w:type="dxa" w:w="100"/>
            </w:tcMar>
          </w:tcPr>
          <w:p>
            <w:r>
              <w:rPr>
                <w:sz w:val="19"/>
                <w:szCs w:val="19"/>
              </w:rPr>
              <w:t xml:space="preserve">status / logs / backup</w:t>
            </w:r>
          </w:p>
        </w:tc>
        <w:tc>
          <w:tcPr>
            <w:tcW w:type="dxa" w:w="7660"/>
            <w:shd w:fill="F7F9FC" w:color="auto" w:val="clear"/>
            <w:tcMar>
              <w:top w:type="dxa" w:w="60"/>
              <w:left w:type="dxa" w:w="100"/>
              <w:bottom w:type="dxa" w:w="60"/>
              <w:right w:type="dxa" w:w="100"/>
            </w:tcMar>
          </w:tcPr>
          <w:p>
            <w:r>
              <w:rPr>
                <w:sz w:val="19"/>
                <w:szCs w:val="19"/>
              </w:rPr>
              <w:t xml:space="preserve">Unit state plus a health probe, journal follow, and a SQLite snapshot</w:t>
            </w:r>
          </w:p>
        </w:tc>
      </w:tr>
      <w:tr>
        <w:tc>
          <w:tcPr>
            <w:tcW w:type="dxa" w:w="1700"/>
            <w:tcMar>
              <w:top w:type="dxa" w:w="60"/>
              <w:left w:type="dxa" w:w="100"/>
              <w:bottom w:type="dxa" w:w="60"/>
              <w:right w:type="dxa" w:w="100"/>
            </w:tcMar>
          </w:tcPr>
          <w:p>
            <w:r>
              <w:rPr>
                <w:sz w:val="19"/>
                <w:szCs w:val="19"/>
              </w:rPr>
              <w:t xml:space="preserve">uninstall</w:t>
            </w:r>
          </w:p>
        </w:tc>
        <w:tc>
          <w:tcPr>
            <w:tcW w:type="dxa" w:w="7660"/>
            <w:tcMar>
              <w:top w:type="dxa" w:w="60"/>
              <w:left w:type="dxa" w:w="100"/>
              <w:bottom w:type="dxa" w:w="60"/>
              <w:right w:type="dxa" w:w="100"/>
            </w:tcMar>
          </w:tcPr>
          <w:p>
            <w:r>
              <w:rPr>
                <w:sz w:val="19"/>
                <w:szCs w:val="19"/>
              </w:rPr>
              <w:t xml:space="preserve">Removes the service and binary, deliberately keeping the data directory</w:t>
            </w:r>
          </w:p>
        </w:tc>
      </w:tr>
    </w:tbl>
    <w:p>
      <w:pPr>
        <w:spacing w:after="120"/>
      </w:pPr>
      <w:r>
        <w:t xml:space="preserve">scripts/install-dotnet.sh decides whether an SDK is acceptable by running dotnet --version from the repository root, which makes dotnet resolve global.json itself rather than inferring compatibility from version numbers. Settings such as RID, PORT, API_KEY, PREFIX and DATA_DIR are all overridable on the make command line.</w:t>
      </w:r>
    </w:p>
    <w:p>
      <w:pPr>
        <w:pBdr>
          <w:left w:val="single" w:color="1F3864" w:sz="18" w:space="8"/>
        </w:pBdr>
        <w:shd w:fill="DEEAF6" w:color="auto" w:val="clear"/>
        <w:spacing w:after="140" w:before="100"/>
        <w:ind w:left="180" w:right="180"/>
      </w:pPr>
      <w:r>
        <w:rPr>
          <w:b/>
          <w:bCs/>
          <w:color w:val="1F3864"/>
        </w:rPr>
        <w:t xml:space="preserve">Caution  </w:t>
      </w:r>
      <w:r>
        <w:t xml:space="preserve">Only publish/Qplus.exe is self-contained. The executables under bin/Debug and bin/Release are framework-dependent and will fail on a machine without the .NET 8 desktop runtime.</w:t>
      </w:r>
    </w:p>
    <w:p>
      <w:pPr>
        <w:pStyle w:val="Heading1"/>
        <w:spacing w:after="160" w:before="360"/>
      </w:pPr>
      <w:r>
        <w:t xml:space="preserve">13. Testing</w:t>
      </w:r>
    </w:p>
    <w:p>
      <w:pPr>
        <w:spacing w:after="120"/>
      </w:pPr>
      <w:r>
        <w:t xml:space="preserve">tests/Qplus.ReaderTests is a console application that returns a non-zero exit code on failure. It contains three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shd w:fill="1F3864" w:color="auto" w:val="clear"/>
            <w:tcMar>
              <w:top w:type="dxa" w:w="60"/>
              <w:left w:type="dxa" w:w="100"/>
              <w:bottom w:type="dxa" w:w="60"/>
              <w:right w:type="dxa" w:w="100"/>
            </w:tcMar>
          </w:tcPr>
          <w:p>
            <w:r>
              <w:rPr>
                <w:b/>
                <w:bCs/>
                <w:color w:val="FFFFFF"/>
                <w:sz w:val="19"/>
                <w:szCs w:val="19"/>
              </w:rPr>
              <w:t xml:space="preserve">Suite</w:t>
            </w:r>
          </w:p>
        </w:tc>
        <w:tc>
          <w:tcPr>
            <w:tcW w:type="dxa" w:w="2200"/>
            <w:shd w:fill="1F3864" w:color="auto" w:val="clear"/>
            <w:tcMar>
              <w:top w:type="dxa" w:w="60"/>
              <w:left w:type="dxa" w:w="100"/>
              <w:bottom w:type="dxa" w:w="60"/>
              <w:right w:type="dxa" w:w="100"/>
            </w:tcMar>
          </w:tcPr>
          <w:p>
            <w:r>
              <w:rPr>
                <w:b/>
                <w:bCs/>
                <w:color w:val="FFFFFF"/>
                <w:sz w:val="19"/>
                <w:szCs w:val="19"/>
              </w:rPr>
              <w:t xml:space="preserve">Requires a database?</w:t>
            </w:r>
          </w:p>
        </w:tc>
        <w:tc>
          <w:tcPr>
            <w:tcW w:type="dxa" w:w="5360"/>
            <w:shd w:fill="1F3864" w:color="auto" w:val="clear"/>
            <w:tcMar>
              <w:top w:type="dxa" w:w="60"/>
              <w:left w:type="dxa" w:w="100"/>
              <w:bottom w:type="dxa" w:w="60"/>
              <w:right w:type="dxa" w:w="100"/>
            </w:tcMar>
          </w:tcPr>
          <w:p>
            <w:r>
              <w:rPr>
                <w:b/>
                <w:bCs/>
                <w:color w:val="FFFFFF"/>
                <w:sz w:val="19"/>
                <w:szCs w:val="19"/>
              </w:rPr>
              <w:t xml:space="preserve">Covers</w:t>
            </w:r>
          </w:p>
        </w:tc>
      </w:tr>
      <w:tr>
        <w:tc>
          <w:tcPr>
            <w:tcW w:type="dxa" w:w="1800"/>
            <w:tcMar>
              <w:top w:type="dxa" w:w="60"/>
              <w:left w:type="dxa" w:w="100"/>
              <w:bottom w:type="dxa" w:w="60"/>
              <w:right w:type="dxa" w:w="100"/>
            </w:tcMar>
          </w:tcPr>
          <w:p>
            <w:r>
              <w:rPr>
                <w:sz w:val="19"/>
                <w:szCs w:val="19"/>
              </w:rPr>
              <w:t xml:space="preserve">Reader tests</w:t>
            </w:r>
          </w:p>
        </w:tc>
        <w:tc>
          <w:tcPr>
            <w:tcW w:type="dxa" w:w="2200"/>
            <w:tcMar>
              <w:top w:type="dxa" w:w="60"/>
              <w:left w:type="dxa" w:w="100"/>
              <w:bottom w:type="dxa" w:w="60"/>
              <w:right w:type="dxa" w:w="100"/>
            </w:tcMar>
          </w:tcPr>
          <w:p>
            <w:r>
              <w:rPr>
                <w:sz w:val="19"/>
                <w:szCs w:val="19"/>
              </w:rPr>
              <w:t xml:space="preserve">No — uses in-memory SQLite</w:t>
            </w:r>
          </w:p>
        </w:tc>
        <w:tc>
          <w:tcPr>
            <w:tcW w:type="dxa" w:w="5360"/>
            <w:tcMar>
              <w:top w:type="dxa" w:w="60"/>
              <w:left w:type="dxa" w:w="100"/>
              <w:bottom w:type="dxa" w:w="60"/>
              <w:right w:type="dxa" w:w="100"/>
            </w:tcMar>
          </w:tcPr>
          <w:p>
            <w:r>
              <w:rPr>
                <w:sz w:val="19"/>
                <w:szCs w:val="19"/>
              </w:rPr>
              <w:t xml:space="preserve">Multi-result-set handling, unnamed and duplicate columns</w:t>
            </w:r>
          </w:p>
        </w:tc>
      </w:tr>
      <w:tr>
        <w:tc>
          <w:tcPr>
            <w:tcW w:type="dxa" w:w="1800"/>
            <w:shd w:fill="F7F9FC" w:color="auto" w:val="clear"/>
            <w:tcMar>
              <w:top w:type="dxa" w:w="60"/>
              <w:left w:type="dxa" w:w="100"/>
              <w:bottom w:type="dxa" w:w="60"/>
              <w:right w:type="dxa" w:w="100"/>
            </w:tcMar>
          </w:tcPr>
          <w:p>
            <w:r>
              <w:rPr>
                <w:sz w:val="19"/>
                <w:szCs w:val="19"/>
              </w:rPr>
              <w:t xml:space="preserve">Analyzer tests</w:t>
            </w:r>
          </w:p>
        </w:tc>
        <w:tc>
          <w:tcPr>
            <w:tcW w:type="dxa" w:w="2200"/>
            <w:shd w:fill="F7F9FC" w:color="auto" w:val="clear"/>
            <w:tcMar>
              <w:top w:type="dxa" w:w="60"/>
              <w:left w:type="dxa" w:w="100"/>
              <w:bottom w:type="dxa" w:w="60"/>
              <w:right w:type="dxa" w:w="100"/>
            </w:tcMar>
          </w:tcPr>
          <w:p>
            <w:r>
              <w:rPr>
                <w:sz w:val="19"/>
                <w:szCs w:val="19"/>
              </w:rPr>
              <w:t xml:space="preserve">No — pure functions</w:t>
            </w:r>
          </w:p>
        </w:tc>
        <w:tc>
          <w:tcPr>
            <w:tcW w:type="dxa" w:w="5360"/>
            <w:shd w:fill="F7F9FC" w:color="auto" w:val="clear"/>
            <w:tcMar>
              <w:top w:type="dxa" w:w="60"/>
              <w:left w:type="dxa" w:w="100"/>
              <w:bottom w:type="dxa" w:w="60"/>
              <w:right w:type="dxa" w:w="100"/>
            </w:tcMar>
          </w:tcPr>
          <w:p>
            <w:r>
              <w:rPr>
                <w:sz w:val="19"/>
                <w:szCs w:val="19"/>
              </w:rPr>
              <w:t xml:space="preserve">Completion context: keywords, aliases, qualifiers, comment and string safety, statement isolation</w:t>
            </w:r>
          </w:p>
        </w:tc>
      </w:tr>
      <w:tr>
        <w:tc>
          <w:tcPr>
            <w:tcW w:type="dxa" w:w="1800"/>
            <w:tcMar>
              <w:top w:type="dxa" w:w="60"/>
              <w:left w:type="dxa" w:w="100"/>
              <w:bottom w:type="dxa" w:w="60"/>
              <w:right w:type="dxa" w:w="100"/>
            </w:tcMar>
          </w:tcPr>
          <w:p>
            <w:r>
              <w:rPr>
                <w:sz w:val="19"/>
                <w:szCs w:val="19"/>
              </w:rPr>
              <w:t xml:space="preserve">Integration tests</w:t>
            </w:r>
          </w:p>
        </w:tc>
        <w:tc>
          <w:tcPr>
            <w:tcW w:type="dxa" w:w="2200"/>
            <w:tcMar>
              <w:top w:type="dxa" w:w="60"/>
              <w:left w:type="dxa" w:w="100"/>
              <w:bottom w:type="dxa" w:w="60"/>
              <w:right w:type="dxa" w:w="100"/>
            </w:tcMar>
          </w:tcPr>
          <w:p>
            <w:r>
              <w:rPr>
                <w:sz w:val="19"/>
                <w:szCs w:val="19"/>
              </w:rPr>
              <w:t xml:space="preserve">Yes — SQL Server and Oracle</w:t>
            </w:r>
          </w:p>
        </w:tc>
        <w:tc>
          <w:tcPr>
            <w:tcW w:type="dxa" w:w="5360"/>
            <w:tcMar>
              <w:top w:type="dxa" w:w="60"/>
              <w:left w:type="dxa" w:w="100"/>
              <w:bottom w:type="dxa" w:w="60"/>
              <w:right w:type="dxa" w:w="100"/>
            </w:tcMar>
          </w:tcPr>
          <w:p>
            <w:r>
              <w:rPr>
                <w:sz w:val="19"/>
                <w:szCs w:val="19"/>
              </w:rPr>
              <w:t xml:space="preserve">Connectivity, PRINT capture, detail panes, DDL generation, editable loads, user administration metadata</w:t>
            </w:r>
          </w:p>
        </w:tc>
      </w:tr>
    </w:tbl>
    <w:p>
      <w:pPr>
        <w:shd w:fill="F2F2F2" w:color="auto" w:val="clear"/>
        <w:spacing w:after="60" w:before="60"/>
        <w:ind w:left="360"/>
      </w:pPr>
      <w:r>
        <w:rPr>
          <w:rFonts w:ascii="Consolas" w:cs="Consolas" w:eastAsia="Consolas" w:hAnsi="Consolas"/>
          <w:sz w:val="18"/>
          <w:szCs w:val="18"/>
        </w:rPr>
        <w:t xml:space="preserve">dotnet run --project tests/Qplus.ReaderTests</w:t>
      </w:r>
    </w:p>
    <w:p>
      <w:pPr>
        <w:spacing w:after="120"/>
      </w:pPr>
    </w:p>
    <w:p>
      <w:pPr>
        <w:spacing w:after="120"/>
      </w:pPr>
      <w:r>
        <w:t xml:space="preserve">Integration credentials are read from environment variables at runtime and never stored in source: EDMUSER and EDMPASSWD for credentials, EDMDSN for the SQL Server database, and EDMORASERVICE for the Oracle service name. When these are not set the integration suite skips cleanly and the offline suites still run.</w:t>
      </w:r>
    </w:p>
    <w:p>
      <w:pPr>
        <w:pBdr>
          <w:left w:val="single" w:color="1F3864" w:sz="18" w:space="8"/>
        </w:pBdr>
        <w:shd w:fill="DEEAF6" w:color="auto" w:val="clear"/>
        <w:spacing w:after="140" w:before="100"/>
        <w:ind w:left="180" w:right="180"/>
      </w:pPr>
      <w:r>
        <w:rPr>
          <w:b/>
          <w:bCs/>
          <w:color w:val="1F3864"/>
        </w:rPr>
        <w:t xml:space="preserve">Policy  </w:t>
      </w:r>
      <w:r>
        <w:t xml:space="preserve">The integration suite is strictly read-only. It verifies that administration and data-modification DDL is generated correctly, but never executes it against a live database.</w:t>
      </w:r>
    </w:p>
    <w:p>
      <w:pPr>
        <w:pStyle w:val="Heading1"/>
        <w:spacing w:after="160" w:before="360"/>
      </w:pPr>
      <w:r>
        <w:t xml:space="preserve">14. Known limitations</w:t>
      </w:r>
    </w:p>
    <w:p>
      <w:pPr>
        <w:pStyle w:val="ListParagraph"/>
        <w:numPr>
          <w:ilvl w:val="0"/>
          <w:numId w:val="2"/>
        </w:numPr>
        <w:spacing w:after="60"/>
      </w:pPr>
      <w:r>
        <w:t xml:space="preserve">Data editing requires a primary key; tables without one are read-only in the Data pane.</w:t>
      </w:r>
    </w:p>
    <w:p>
      <w:pPr>
        <w:pStyle w:val="ListParagraph"/>
        <w:numPr>
          <w:ilvl w:val="0"/>
          <w:numId w:val="2"/>
        </w:numPr>
        <w:spacing w:after="60"/>
      </w:pPr>
      <w:r>
        <w:t xml:space="preserve">The table designer generates CREATE TABLE and ALTER TABLE ADD only — it does not diff and alter existing column definitions.</w:t>
      </w:r>
    </w:p>
    <w:p>
      <w:pPr>
        <w:pStyle w:val="ListParagraph"/>
        <w:numPr>
          <w:ilvl w:val="0"/>
          <w:numId w:val="2"/>
        </w:numPr>
        <w:spacing w:after="60"/>
      </w:pPr>
      <w:r>
        <w:t xml:space="preserve">Oracle DBMS_OUTPUT is not captured; only warnings arriving via InfoMessage are shown.</w:t>
      </w:r>
    </w:p>
    <w:p>
      <w:pPr>
        <w:pStyle w:val="ListParagraph"/>
        <w:numPr>
          <w:ilvl w:val="0"/>
          <w:numId w:val="2"/>
        </w:numPr>
        <w:spacing w:after="60"/>
      </w:pPr>
      <w:r>
        <w:t xml:space="preserve">Save-back of edited rows and user-administration DDL have been verified as generated scripts but have not been executed against a live database as part of automated testing.</w:t>
      </w:r>
    </w:p>
    <w:p>
      <w:pPr>
        <w:pStyle w:val="ListParagraph"/>
        <w:numPr>
          <w:ilvl w:val="0"/>
          <w:numId w:val="2"/>
        </w:numPr>
        <w:spacing w:after="60"/>
      </w:pPr>
      <w:r>
        <w:t xml:space="preserve">The application is Windows-only and published for x64; ARM64 runs under emulation.</w:t>
      </w:r>
    </w:p>
    <w:p>
      <w:pPr>
        <w:pStyle w:val="ListParagraph"/>
        <w:numPr>
          <w:ilvl w:val="0"/>
          <w:numId w:val="2"/>
        </w:numPr>
        <w:spacing w:after="60"/>
      </w:pPr>
      <w:r>
        <w:t xml:space="preserve">Message and grid ordering within a batch reflects arrival order and may not interleave exactly as SSMS does.</w:t>
      </w:r>
    </w:p>
    <w:p>
      <w:pPr>
        <w:pStyle w:val="ListParagraph"/>
        <w:numPr>
          <w:ilvl w:val="0"/>
          <w:numId w:val="2"/>
        </w:numPr>
        <w:spacing w:after="60"/>
      </w:pPr>
      <w:r>
        <w:t xml:space="preserve">Query encryption uses a fixed PBKDF2 salt so every machine derives the same key from the same passphrase; passphrase strength is what carries the security.</w:t>
      </w:r>
    </w:p>
    <w:p>
      <w:pPr>
        <w:pStyle w:val="ListParagraph"/>
        <w:numPr>
          <w:ilvl w:val="0"/>
          <w:numId w:val="2"/>
        </w:numPr>
        <w:spacing w:after="60"/>
      </w:pPr>
      <w:r>
        <w:t xml:space="preserve">There is no key escrow: a lost passphrase means permanently unreadable queries.</w:t>
      </w:r>
    </w:p>
    <w:p>
      <w:pPr>
        <w:pStyle w:val="ListParagraph"/>
        <w:numPr>
          <w:ilvl w:val="0"/>
          <w:numId w:val="2"/>
        </w:numPr>
        <w:spacing w:after="60"/>
      </w:pPr>
      <w:r>
        <w:t xml:space="preserve">The query server has no default API key. Left unset it accepts every request, so a deployment reachable beyond a trusted network must set QPLUS_API_KEY and terminate TLS in front of it.</w:t>
      </w:r>
    </w:p>
    <w:p>
      <w:pPr>
        <w:pStyle w:val="ListParagraph"/>
        <w:numPr>
          <w:ilvl w:val="0"/>
          <w:numId w:val="2"/>
        </w:numPr>
        <w:spacing w:after="60"/>
      </w:pPr>
      <w:r>
        <w:t xml:space="preserve">Sync conflict resolution is last-writer-wins per row, so simultaneous edits to one query keep the later version rather than merging.</w:t>
      </w:r>
    </w:p>
    <w:p>
      <w:pPr>
        <w:pStyle w:val="Heading1"/>
        <w:spacing w:after="160" w:before="360"/>
      </w:pPr>
      <w:r>
        <w:t xml:space="preserve">15. Implementation notes and pitfalls</w:t>
      </w:r>
    </w:p>
    <w:p>
      <w:pPr>
        <w:spacing w:after="120"/>
      </w:pPr>
      <w:r>
        <w:t xml:space="preserve">These cost real time during development and are recorded so they are not rediscovered.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3864" w:color="auto" w:val="clear"/>
            <w:tcMar>
              <w:top w:type="dxa" w:w="60"/>
              <w:left w:type="dxa" w:w="100"/>
              <w:bottom w:type="dxa" w:w="60"/>
              <w:right w:type="dxa" w:w="100"/>
            </w:tcMar>
          </w:tcPr>
          <w:p>
            <w:r>
              <w:rPr>
                <w:b/>
                <w:bCs/>
                <w:color w:val="FFFFFF"/>
                <w:sz w:val="19"/>
                <w:szCs w:val="19"/>
              </w:rPr>
              <w:t xml:space="preserve">Area</w:t>
            </w:r>
          </w:p>
        </w:tc>
        <w:tc>
          <w:tcPr>
            <w:tcW w:type="dxa" w:w="7560"/>
            <w:shd w:fill="1F3864" w:color="auto" w:val="clear"/>
            <w:tcMar>
              <w:top w:type="dxa" w:w="60"/>
              <w:left w:type="dxa" w:w="100"/>
              <w:bottom w:type="dxa" w:w="60"/>
              <w:right w:type="dxa" w:w="100"/>
            </w:tcMar>
          </w:tcPr>
          <w:p>
            <w:r>
              <w:rPr>
                <w:b/>
                <w:bCs/>
                <w:color w:val="FFFFFF"/>
                <w:sz w:val="19"/>
                <w:szCs w:val="19"/>
              </w:rPr>
              <w:t xml:space="preserve">Pitfall</w:t>
            </w:r>
          </w:p>
        </w:tc>
      </w:tr>
      <w:tr>
        <w:tc>
          <w:tcPr>
            <w:tcW w:type="dxa" w:w="1800"/>
            <w:tcMar>
              <w:top w:type="dxa" w:w="60"/>
              <w:left w:type="dxa" w:w="100"/>
              <w:bottom w:type="dxa" w:w="60"/>
              <w:right w:type="dxa" w:w="100"/>
            </w:tcMar>
          </w:tcPr>
          <w:p>
            <w:r>
              <w:rPr>
                <w:sz w:val="19"/>
                <w:szCs w:val="19"/>
              </w:rPr>
              <w:t xml:space="preserve">NuGet</w:t>
            </w:r>
          </w:p>
        </w:tc>
        <w:tc>
          <w:tcPr>
            <w:tcW w:type="dxa" w:w="7560"/>
            <w:tcMar>
              <w:top w:type="dxa" w:w="60"/>
              <w:left w:type="dxa" w:w="100"/>
              <w:bottom w:type="dxa" w:w="60"/>
              <w:right w:type="dxa" w:w="100"/>
            </w:tcMar>
          </w:tcPr>
          <w:p>
            <w:r>
              <w:rPr>
                <w:sz w:val="19"/>
                <w:szCs w:val="19"/>
              </w:rPr>
              <w:t xml:space="preserve">AvalonEdit's package id is AvalonEdit, not ICSharpCode.AvalonEdit (that is only the namespace). The wrong id resolves to an unrelated 4.3.0-alpha package.</w:t>
            </w:r>
          </w:p>
        </w:tc>
      </w:tr>
      <w:tr>
        <w:tc>
          <w:tcPr>
            <w:tcW w:type="dxa" w:w="1800"/>
            <w:shd w:fill="F7F9FC" w:color="auto" w:val="clear"/>
            <w:tcMar>
              <w:top w:type="dxa" w:w="60"/>
              <w:left w:type="dxa" w:w="100"/>
              <w:bottom w:type="dxa" w:w="60"/>
              <w:right w:type="dxa" w:w="100"/>
            </w:tcMar>
          </w:tcPr>
          <w:p>
            <w:r>
              <w:rPr>
                <w:sz w:val="19"/>
                <w:szCs w:val="19"/>
              </w:rPr>
              <w:t xml:space="preserve">Solution format</w:t>
            </w:r>
          </w:p>
        </w:tc>
        <w:tc>
          <w:tcPr>
            <w:tcW w:type="dxa" w:w="7560"/>
            <w:shd w:fill="F7F9FC" w:color="auto" w:val="clear"/>
            <w:tcMar>
              <w:top w:type="dxa" w:w="60"/>
              <w:left w:type="dxa" w:w="100"/>
              <w:bottom w:type="dxa" w:w="60"/>
              <w:right w:type="dxa" w:w="100"/>
            </w:tcMar>
          </w:tcPr>
          <w:p>
            <w:r>
              <w:rPr>
                <w:sz w:val="19"/>
                <w:szCs w:val="19"/>
              </w:rPr>
              <w:t xml:space="preserve">The .NET 10 SDK creates a .slnx (XML) solution rather than .sln; build with dotnet build Qplus.slnx.</w:t>
            </w:r>
          </w:p>
        </w:tc>
      </w:tr>
      <w:tr>
        <w:tc>
          <w:tcPr>
            <w:tcW w:type="dxa" w:w="1800"/>
            <w:tcMar>
              <w:top w:type="dxa" w:w="60"/>
              <w:left w:type="dxa" w:w="100"/>
              <w:bottom w:type="dxa" w:w="60"/>
              <w:right w:type="dxa" w:w="100"/>
            </w:tcMar>
          </w:tcPr>
          <w:p>
            <w:r>
              <w:rPr>
                <w:sz w:val="19"/>
                <w:szCs w:val="19"/>
              </w:rPr>
              <w:t xml:space="preserve">Build locking</w:t>
            </w:r>
          </w:p>
        </w:tc>
        <w:tc>
          <w:tcPr>
            <w:tcW w:type="dxa" w:w="7560"/>
            <w:tcMar>
              <w:top w:type="dxa" w:w="60"/>
              <w:left w:type="dxa" w:w="100"/>
              <w:bottom w:type="dxa" w:w="60"/>
              <w:right w:type="dxa" w:w="100"/>
            </w:tcMar>
          </w:tcPr>
          <w:p>
            <w:r>
              <w:rPr>
                <w:sz w:val="19"/>
                <w:szCs w:val="19"/>
              </w:rPr>
              <w:t xml:space="preserve">A running Qplus.exe locks Qplus.Core.dll and fails the next build with MSB3021/MSB3026. Stop the process first.</w:t>
            </w:r>
          </w:p>
        </w:tc>
      </w:tr>
      <w:tr>
        <w:tc>
          <w:tcPr>
            <w:tcW w:type="dxa" w:w="1800"/>
            <w:shd w:fill="F7F9FC" w:color="auto" w:val="clear"/>
            <w:tcMar>
              <w:top w:type="dxa" w:w="60"/>
              <w:left w:type="dxa" w:w="100"/>
              <w:bottom w:type="dxa" w:w="60"/>
              <w:right w:type="dxa" w:w="100"/>
            </w:tcMar>
          </w:tcPr>
          <w:p>
            <w:r>
              <w:rPr>
                <w:sz w:val="19"/>
                <w:szCs w:val="19"/>
              </w:rPr>
              <w:t xml:space="preserve">ADO.NET</w:t>
            </w:r>
          </w:p>
        </w:tc>
        <w:tc>
          <w:tcPr>
            <w:tcW w:type="dxa" w:w="7560"/>
            <w:shd w:fill="F7F9FC" w:color="auto" w:val="clear"/>
            <w:tcMar>
              <w:top w:type="dxa" w:w="60"/>
              <w:left w:type="dxa" w:w="100"/>
              <w:bottom w:type="dxa" w:w="60"/>
              <w:right w:type="dxa" w:w="100"/>
            </w:tcMar>
          </w:tcPr>
          <w:p>
            <w:r>
              <w:rPr>
                <w:sz w:val="19"/>
                <w:szCs w:val="19"/>
              </w:rPr>
              <w:t xml:space="preserve">DataTable.Load advances the reader; never combine it with NextResultAsync (see section 4).</w:t>
            </w:r>
          </w:p>
        </w:tc>
      </w:tr>
      <w:tr>
        <w:tc>
          <w:tcPr>
            <w:tcW w:type="dxa" w:w="1800"/>
            <w:tcMar>
              <w:top w:type="dxa" w:w="60"/>
              <w:left w:type="dxa" w:w="100"/>
              <w:bottom w:type="dxa" w:w="60"/>
              <w:right w:type="dxa" w:w="100"/>
            </w:tcMar>
          </w:tcPr>
          <w:p>
            <w:r>
              <w:rPr>
                <w:sz w:val="19"/>
                <w:szCs w:val="19"/>
              </w:rPr>
              <w:t xml:space="preserve">Binary columns</w:t>
            </w:r>
          </w:p>
        </w:tc>
        <w:tc>
          <w:tcPr>
            <w:tcW w:type="dxa" w:w="7560"/>
            <w:tcMar>
              <w:top w:type="dxa" w:w="60"/>
              <w:left w:type="dxa" w:w="100"/>
              <w:bottom w:type="dxa" w:w="60"/>
              <w:right w:type="dxa" w:w="100"/>
            </w:tcMar>
          </w:tcPr>
          <w:p>
            <w:r>
              <w:rPr>
                <w:sz w:val="19"/>
                <w:szCs w:val="19"/>
              </w:rPr>
              <w:t xml:space="preserve">A byte[] column stringifies to the literal "System.Byte[]" through ToString(). The grid, text view and CSV export all route binary through CellFormat, which shows a size summary; grid blob columns are forced read-only so a text edit cannot corrupt the bytes (see section 4).</w:t>
            </w:r>
          </w:p>
        </w:tc>
      </w:tr>
      <w:tr>
        <w:tc>
          <w:tcPr>
            <w:tcW w:type="dxa" w:w="1800"/>
            <w:shd w:fill="F7F9FC" w:color="auto" w:val="clear"/>
            <w:tcMar>
              <w:top w:type="dxa" w:w="60"/>
              <w:left w:type="dxa" w:w="100"/>
              <w:bottom w:type="dxa" w:w="60"/>
              <w:right w:type="dxa" w:w="100"/>
            </w:tcMar>
          </w:tcPr>
          <w:p>
            <w:r>
              <w:rPr>
                <w:sz w:val="19"/>
                <w:szCs w:val="19"/>
              </w:rPr>
              <w:t xml:space="preserve">WPF theming</w:t>
            </w:r>
          </w:p>
        </w:tc>
        <w:tc>
          <w:tcPr>
            <w:tcW w:type="dxa" w:w="7560"/>
            <w:shd w:fill="F7F9FC" w:color="auto" w:val="clear"/>
            <w:tcMar>
              <w:top w:type="dxa" w:w="60"/>
              <w:left w:type="dxa" w:w="100"/>
              <w:bottom w:type="dxa" w:w="60"/>
              <w:right w:type="dxa" w:w="100"/>
            </w:tcMar>
          </w:tcPr>
          <w:p>
            <w:r>
              <w:rPr>
                <w:sz w:val="19"/>
                <w:szCs w:val="19"/>
              </w:rPr>
              <w:t xml:space="preserve">ToolBar overrides child control styles via its *StyleKey resources (see section 9).</w:t>
            </w:r>
          </w:p>
        </w:tc>
      </w:tr>
      <w:tr>
        <w:tc>
          <w:tcPr>
            <w:tcW w:type="dxa" w:w="1800"/>
            <w:tcMar>
              <w:top w:type="dxa" w:w="60"/>
              <w:left w:type="dxa" w:w="100"/>
              <w:bottom w:type="dxa" w:w="60"/>
              <w:right w:type="dxa" w:w="100"/>
            </w:tcMar>
          </w:tcPr>
          <w:p>
            <w:r>
              <w:rPr>
                <w:sz w:val="19"/>
                <w:szCs w:val="19"/>
              </w:rPr>
              <w:t xml:space="preserve">WPF theming</w:t>
            </w:r>
          </w:p>
        </w:tc>
        <w:tc>
          <w:tcPr>
            <w:tcW w:type="dxa" w:w="7560"/>
            <w:tcMar>
              <w:top w:type="dxa" w:w="60"/>
              <w:left w:type="dxa" w:w="100"/>
              <w:bottom w:type="dxa" w:w="60"/>
              <w:right w:type="dxa" w:w="100"/>
            </w:tcMar>
          </w:tcPr>
          <w:p>
            <w:r>
              <w:rPr>
                <w:sz w:val="19"/>
                <w:szCs w:val="19"/>
              </w:rPr>
              <w:t xml:space="preserve">Controls whose default chrome ignores app styling — tab headers, tooltips, toolbar children — need explicit styles or they render with system colours.</w:t>
            </w:r>
          </w:p>
        </w:tc>
      </w:tr>
      <w:tr>
        <w:tc>
          <w:tcPr>
            <w:tcW w:type="dxa" w:w="1800"/>
            <w:shd w:fill="F7F9FC" w:color="auto" w:val="clear"/>
            <w:tcMar>
              <w:top w:type="dxa" w:w="60"/>
              <w:left w:type="dxa" w:w="100"/>
              <w:bottom w:type="dxa" w:w="60"/>
              <w:right w:type="dxa" w:w="100"/>
            </w:tcMar>
          </w:tcPr>
          <w:p>
            <w:r>
              <w:rPr>
                <w:sz w:val="19"/>
                <w:szCs w:val="19"/>
              </w:rPr>
              <w:t xml:space="preserve">Oracle SQL</w:t>
            </w:r>
          </w:p>
        </w:tc>
        <w:tc>
          <w:tcPr>
            <w:tcW w:type="dxa" w:w="7560"/>
            <w:shd w:fill="F7F9FC" w:color="auto" w:val="clear"/>
            <w:tcMar>
              <w:top w:type="dxa" w:w="60"/>
              <w:left w:type="dxa" w:w="100"/>
              <w:bottom w:type="dxa" w:w="60"/>
              <w:right w:type="dxa" w:w="100"/>
            </w:tcMar>
          </w:tcPr>
          <w:p>
            <w:r>
              <w:rPr>
                <w:sz w:val="19"/>
                <w:szCs w:val="19"/>
              </w:rPr>
              <w:t xml:space="preserve">Identifiers cannot begin with an underscore; a probe name like __no_such_table__ raises ORA-00911 (invalid character) rather than ORA-00942 (table not found).</w:t>
            </w:r>
          </w:p>
        </w:tc>
      </w:tr>
      <w:tr>
        <w:tc>
          <w:tcPr>
            <w:tcW w:type="dxa" w:w="1800"/>
            <w:tcMar>
              <w:top w:type="dxa" w:w="60"/>
              <w:left w:type="dxa" w:w="100"/>
              <w:bottom w:type="dxa" w:w="60"/>
              <w:right w:type="dxa" w:w="100"/>
            </w:tcMar>
          </w:tcPr>
          <w:p>
            <w:r>
              <w:rPr>
                <w:sz w:val="19"/>
                <w:szCs w:val="19"/>
              </w:rPr>
              <w:t xml:space="preserve">Oracle catalog</w:t>
            </w:r>
          </w:p>
        </w:tc>
        <w:tc>
          <w:tcPr>
            <w:tcW w:type="dxa" w:w="7560"/>
            <w:tcMar>
              <w:top w:type="dxa" w:w="60"/>
              <w:left w:type="dxa" w:w="100"/>
              <w:bottom w:type="dxa" w:w="60"/>
              <w:right w:type="dxa" w:w="100"/>
            </w:tcMar>
          </w:tcPr>
          <w:p>
            <w:r>
              <w:rPr>
                <w:sz w:val="19"/>
                <w:szCs w:val="19"/>
              </w:rPr>
              <w:t xml:space="preserve">Dropped tables persist in the recycle bin as BIN$… names. Their constraints survive but their indexes do not, which makes them misleading samples.</w:t>
            </w:r>
          </w:p>
        </w:tc>
      </w:tr>
      <w:tr>
        <w:tc>
          <w:tcPr>
            <w:tcW w:type="dxa" w:w="1800"/>
            <w:shd w:fill="F7F9FC" w:color="auto" w:val="clear"/>
            <w:tcMar>
              <w:top w:type="dxa" w:w="60"/>
              <w:left w:type="dxa" w:w="100"/>
              <w:bottom w:type="dxa" w:w="60"/>
              <w:right w:type="dxa" w:w="100"/>
            </w:tcMar>
          </w:tcPr>
          <w:p>
            <w:r>
              <w:rPr>
                <w:sz w:val="19"/>
                <w:szCs w:val="19"/>
              </w:rPr>
              <w:t xml:space="preserve">Sync</w:t>
            </w:r>
          </w:p>
        </w:tc>
        <w:tc>
          <w:tcPr>
            <w:tcW w:type="dxa" w:w="7560"/>
            <w:shd w:fill="F7F9FC" w:color="auto" w:val="clear"/>
            <w:tcMar>
              <w:top w:type="dxa" w:w="60"/>
              <w:left w:type="dxa" w:w="100"/>
              <w:bottom w:type="dxa" w:w="60"/>
              <w:right w:type="dxa" w:w="100"/>
            </w:tcMar>
          </w:tcPr>
          <w:p>
            <w:r>
              <w:rPr>
                <w:sz w:val="19"/>
                <w:szCs w:val="19"/>
              </w:rPr>
              <w:t xml:space="preserve">Never filter "changed since" by a client timestamp while using a server clock as the watermark. A row written after a client's watermark can carry an older client timestamp, so it would never be delivered — see section 9.</w:t>
            </w:r>
          </w:p>
        </w:tc>
      </w:tr>
      <w:tr>
        <w:tc>
          <w:tcPr>
            <w:tcW w:type="dxa" w:w="1800"/>
            <w:tcMar>
              <w:top w:type="dxa" w:w="60"/>
              <w:left w:type="dxa" w:w="100"/>
              <w:bottom w:type="dxa" w:w="60"/>
              <w:right w:type="dxa" w:w="100"/>
            </w:tcMar>
          </w:tcPr>
          <w:p>
            <w:r>
              <w:rPr>
                <w:sz w:val="19"/>
                <w:szCs w:val="19"/>
              </w:rPr>
              <w:t xml:space="preserve">Encryption</w:t>
            </w:r>
          </w:p>
        </w:tc>
        <w:tc>
          <w:tcPr>
            <w:tcW w:type="dxa" w:w="7560"/>
            <w:tcMar>
              <w:top w:type="dxa" w:w="60"/>
              <w:left w:type="dxa" w:w="100"/>
              <w:bottom w:type="dxa" w:w="60"/>
              <w:right w:type="dxa" w:w="100"/>
            </w:tcMar>
          </w:tcPr>
          <w:p>
            <w:r>
              <w:rPr>
                <w:sz w:val="19"/>
                <w:szCs w:val="19"/>
              </w:rPr>
              <w:t xml:space="preserve">Rows arriving from the server are already ciphertext; applying them must bypass encryption or they get double-wrapped. Hence the separate raw read/write paths in CatalogStore.</w:t>
            </w:r>
          </w:p>
        </w:tc>
      </w:tr>
      <w:tr>
        <w:tc>
          <w:tcPr>
            <w:tcW w:type="dxa" w:w="1800"/>
            <w:shd w:fill="F7F9FC" w:color="auto" w:val="clear"/>
            <w:tcMar>
              <w:top w:type="dxa" w:w="60"/>
              <w:left w:type="dxa" w:w="100"/>
              <w:bottom w:type="dxa" w:w="60"/>
              <w:right w:type="dxa" w:w="100"/>
            </w:tcMar>
          </w:tcPr>
          <w:p>
            <w:r>
              <w:rPr>
                <w:sz w:val="19"/>
                <w:szCs w:val="19"/>
              </w:rPr>
              <w:t xml:space="preserve">Encryption</w:t>
            </w:r>
          </w:p>
        </w:tc>
        <w:tc>
          <w:tcPr>
            <w:tcW w:type="dxa" w:w="7560"/>
            <w:shd w:fill="F7F9FC" w:color="auto" w:val="clear"/>
            <w:tcMar>
              <w:top w:type="dxa" w:w="60"/>
              <w:left w:type="dxa" w:w="100"/>
              <w:bottom w:type="dxa" w:w="60"/>
              <w:right w:type="dxa" w:w="100"/>
            </w:tcMar>
          </w:tcPr>
          <w:p>
            <w:r>
              <w:rPr>
                <w:sz w:val="19"/>
                <w:szCs w:val="19"/>
              </w:rPr>
              <w:t xml:space="preserve">Once the name column holds ciphertext, ORDER BY name in SQL is meaningless — sorting has to happen in memory after decryption.</w:t>
            </w:r>
          </w:p>
        </w:tc>
      </w:tr>
      <w:tr>
        <w:tc>
          <w:tcPr>
            <w:tcW w:type="dxa" w:w="1800"/>
            <w:tcMar>
              <w:top w:type="dxa" w:w="60"/>
              <w:left w:type="dxa" w:w="100"/>
              <w:bottom w:type="dxa" w:w="60"/>
              <w:right w:type="dxa" w:w="100"/>
            </w:tcMar>
          </w:tcPr>
          <w:p>
            <w:r>
              <w:rPr>
                <w:sz w:val="19"/>
                <w:szCs w:val="19"/>
              </w:rPr>
              <w:t xml:space="preserve">global.json</w:t>
            </w:r>
          </w:p>
        </w:tc>
        <w:tc>
          <w:tcPr>
            <w:tcW w:type="dxa" w:w="7560"/>
            <w:tcMar>
              <w:top w:type="dxa" w:w="60"/>
              <w:left w:type="dxa" w:w="100"/>
              <w:bottom w:type="dxa" w:w="60"/>
              <w:right w:type="dxa" w:w="100"/>
            </w:tcMar>
          </w:tcPr>
          <w:p>
            <w:r>
              <w:rPr>
                <w:sz w:val="19"/>
                <w:szCs w:val="19"/>
              </w:rPr>
              <w:t xml:space="preserve">Never pin to whichever SDK happens to be installed, especially a preview. Roll-forward only moves forward, so a lower installed version can never satisfy a higher pin and the repository stops building elsewhere.</w:t>
            </w:r>
          </w:p>
        </w:tc>
      </w:tr>
      <w:tr>
        <w:tc>
          <w:tcPr>
            <w:tcW w:type="dxa" w:w="1800"/>
            <w:shd w:fill="F7F9FC" w:color="auto" w:val="clear"/>
            <w:tcMar>
              <w:top w:type="dxa" w:w="60"/>
              <w:left w:type="dxa" w:w="100"/>
              <w:bottom w:type="dxa" w:w="60"/>
              <w:right w:type="dxa" w:w="100"/>
            </w:tcMar>
          </w:tcPr>
          <w:p>
            <w:r>
              <w:rPr>
                <w:sz w:val="19"/>
                <w:szCs w:val="19"/>
              </w:rPr>
              <w:t xml:space="preserve">Line endings</w:t>
            </w:r>
          </w:p>
        </w:tc>
        <w:tc>
          <w:tcPr>
            <w:tcW w:type="dxa" w:w="7560"/>
            <w:shd w:fill="F7F9FC" w:color="auto" w:val="clear"/>
            <w:tcMar>
              <w:top w:type="dxa" w:w="60"/>
              <w:left w:type="dxa" w:w="100"/>
              <w:bottom w:type="dxa" w:w="60"/>
              <w:right w:type="dxa" w:w="100"/>
            </w:tcMar>
          </w:tcPr>
          <w:p>
            <w:r>
              <w:rPr>
                <w:sz w:val="19"/>
                <w:szCs w:val="19"/>
              </w:rPr>
              <w:t xml:space="preserve">A Makefile checked out with CRLF breaks GNU Make: the trailing carriage return lands inside recipes and after line-continuation backslashes. .gitattributes pins Makefile, *.sh, Dockerfile and *.service to LF.</w:t>
            </w:r>
          </w:p>
        </w:tc>
      </w:tr>
    </w:tbl>
    <w:p>
      <w:pPr>
        <w:pStyle w:val="Heading1"/>
        <w:spacing w:after="160" w:before="360"/>
      </w:pPr>
      <w:r>
        <w:t xml:space="preserve">16. Extending Qplus</w:t>
      </w:r>
    </w:p>
    <w:p>
      <w:pPr>
        <w:spacing w:after="120"/>
      </w:pPr>
      <w:r>
        <w:t xml:space="preserve">To add support for another database engine:</w:t>
      </w:r>
    </w:p>
    <w:p>
      <w:pPr>
        <w:pStyle w:val="ListParagraph"/>
        <w:numPr>
          <w:ilvl w:val="0"/>
          <w:numId w:val="3"/>
        </w:numPr>
        <w:spacing w:after="60"/>
      </w:pPr>
      <w:r>
        <w:t xml:space="preserve">Implement IDbEngine for the new provider — connection string, quoting, batch splitting, explorer metadata, detail-pane queries, DDL generation, adapter and command builder, and message capture.</w:t>
      </w:r>
    </w:p>
    <w:p>
      <w:pPr>
        <w:pStyle w:val="ListParagraph"/>
        <w:numPr>
          <w:ilvl w:val="0"/>
          <w:numId w:val="3"/>
        </w:numPr>
        <w:spacing w:after="60"/>
      </w:pPr>
      <w:r>
        <w:t xml:space="preserve">Implement IUserAdmin if user administration is required.</w:t>
      </w:r>
    </w:p>
    <w:p>
      <w:pPr>
        <w:pStyle w:val="ListParagraph"/>
        <w:numPr>
          <w:ilvl w:val="0"/>
          <w:numId w:val="3"/>
        </w:numPr>
        <w:spacing w:after="60"/>
      </w:pPr>
      <w:r>
        <w:t xml:space="preserve">Add the engine to the DbEngineKind enum and register both implementations in DbEngines and UserAdmins.</w:t>
      </w:r>
    </w:p>
    <w:p>
      <w:pPr>
        <w:pStyle w:val="ListParagraph"/>
        <w:numPr>
          <w:ilvl w:val="0"/>
          <w:numId w:val="3"/>
        </w:numPr>
        <w:spacing w:after="60"/>
      </w:pPr>
      <w:r>
        <w:t xml:space="preserve">Add the provider NuGet package to Qplus.Core.</w:t>
      </w:r>
    </w:p>
    <w:p>
      <w:pPr>
        <w:pStyle w:val="ListParagraph"/>
        <w:numPr>
          <w:ilvl w:val="0"/>
          <w:numId w:val="3"/>
        </w:numPr>
        <w:spacing w:after="60"/>
      </w:pPr>
      <w:r>
        <w:t xml:space="preserve">Extend the integration suite — the engine-agnostic tests will then exercise the new engine automatically.</w:t>
      </w:r>
    </w:p>
    <w:p>
      <w:pPr>
        <w:spacing w:after="120"/>
      </w:pPr>
      <w:r>
        <w:t xml:space="preserve">No user-interface changes are required: the connection dialog, object explorer, detail panes and user editor all drive off the interfaces.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Qplus 0.4.0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6"/>
      <w:szCs w:val="36"/>
    </w:rPr>
  </w:style>
  <w:style w:type="paragraph" w:styleId="Heading2">
    <w:name w:val="Heading 2"/>
    <w:basedOn w:val="Normal"/>
    <w:next w:val="Normal"/>
    <w:qFormat/>
    <w:pPr>
      <w:spacing w:after="120" w:before="280"/>
    </w:pPr>
    <w:rPr>
      <w:rFonts w:ascii="Calibri Light" w:cs="Calibri Light" w:eastAsia="Calibri Light" w:hAnsi="Calibri Light"/>
      <w:b/>
      <w:bCs/>
      <w:color w:val="2E5496"/>
      <w:sz w:val="28"/>
      <w:szCs w:val="28"/>
    </w:rPr>
  </w:style>
  <w:style w:type="paragraph" w:styleId="Heading3">
    <w:name w:val="Heading 3"/>
    <w:basedOn w:val="Normal"/>
    <w:next w:val="Normal"/>
    <w:qFormat/>
    <w:pPr>
      <w:spacing w:after="100" w:before="220"/>
    </w:pPr>
    <w:rPr>
      <w:rFonts w:ascii="Calibri Light" w:cs="Calibri Light" w:eastAsia="Calibri Light" w:hAnsi="Calibri Light"/>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2026-07-28T15:01:48.749Z</dcterms:created>
  <dcterms:modified xsi:type="dcterms:W3CDTF">2026-07-28T15:01:48.749Z</dcterms:modified>
</cp:coreProperties>
</file>

<file path=docProps/custom.xml><?xml version="1.0" encoding="utf-8"?>
<Properties xmlns="http://schemas.openxmlformats.org/officeDocument/2006/custom-properties" xmlns:vt="http://schemas.openxmlformats.org/officeDocument/2006/docPropsVTypes"/>
</file>