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am married to {SPOUSE_NAME} ("my spouse"). ##Delete first sentence if unmarried##I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{SPOUSE_NAME}, if {SPOUSE_PRONOUN}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 ##If trust for minors exists: to be held in trust as provided in Article VI herein.##</w:t>
      </w:r>
    </w:p>
    <w:p/>
    <w:p>
      <w:r>
        <w:rPr>
          <w:b/>
        </w:rPr>
        <w:t>C. Contingent Beneficiaries</w:t>
      </w:r>
    </w:p>
    <w:p>
      <w:r>
        <w:t>If neither my spouse nor any of my children survive me by thirty (30) days, then I give, devise and bequeath all of my property to {CONTINGENT_BENEFICIARY_NAME}, my {CONTINGENT_BENEFICIARY_RELATION}. ##If no contingent beneficiary, replace with: to my heirs at law, per stirpes.##</w:t>
      </w:r>
    </w:p>
    <w:p/>
    <w:p/>
    <w:p>
      <w:r>
        <w:t>##INSERT_ARTICLE_III_CLAUSES##</w:t>
      </w:r>
    </w:p>
    <w:p>
      <w:r>
        <w:t>##INSERT_NO_CONTEST_ARTICLE##</w:t>
      </w:r>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t>##INSERT_NEW_ARTICLES##</w:t>
      </w:r>
    </w:p>
    <w:p>
      <w:r>
        <w:t>Article VI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t>Article VII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