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57F8" w:rsidRDefault="005857F8" w:rsidP="005857F8">
      <w:pPr>
        <w:pStyle w:val="BodyText"/>
        <w:spacing w:before="69"/>
        <w:ind w:left="4347"/>
      </w:pPr>
      <w:r>
        <w:rPr>
          <w:spacing w:val="-10"/>
        </w:rPr>
        <w:t>A</w:t>
      </w:r>
    </w:p>
    <w:p w:rsidR="005857F8" w:rsidRDefault="005857F8" w:rsidP="005857F8">
      <w:pPr>
        <w:pStyle w:val="BodyText"/>
        <w:spacing w:before="48" w:line="276" w:lineRule="auto"/>
        <w:ind w:left="3216" w:right="2961"/>
        <w:jc w:val="center"/>
      </w:pPr>
      <w:r>
        <w:rPr>
          <w:spacing w:val="-2"/>
        </w:rPr>
        <w:t>Mini</w:t>
      </w:r>
      <w:r>
        <w:rPr>
          <w:spacing w:val="-17"/>
        </w:rPr>
        <w:t xml:space="preserve"> </w:t>
      </w:r>
      <w:r>
        <w:rPr>
          <w:spacing w:val="-2"/>
        </w:rPr>
        <w:t>Project</w:t>
      </w:r>
      <w:r>
        <w:rPr>
          <w:spacing w:val="-16"/>
        </w:rPr>
        <w:t xml:space="preserve"> </w:t>
      </w:r>
      <w:r>
        <w:rPr>
          <w:spacing w:val="-2"/>
        </w:rPr>
        <w:t xml:space="preserve">Report </w:t>
      </w:r>
      <w:r>
        <w:rPr>
          <w:spacing w:val="-6"/>
        </w:rPr>
        <w:t>On</w:t>
      </w:r>
    </w:p>
    <w:p w:rsidR="005857F8" w:rsidRDefault="005857F8" w:rsidP="005857F8">
      <w:pPr>
        <w:spacing w:line="360" w:lineRule="exact"/>
        <w:ind w:left="576" w:right="576"/>
        <w:jc w:val="center"/>
        <w:rPr>
          <w:b/>
          <w:sz w:val="32"/>
        </w:rPr>
      </w:pPr>
      <w:bookmarkStart w:id="0" w:name="“Title”"/>
      <w:bookmarkEnd w:id="0"/>
      <w:r>
        <w:rPr>
          <w:b/>
          <w:color w:val="9900FF"/>
          <w:spacing w:val="-2"/>
          <w:sz w:val="30"/>
        </w:rPr>
        <w:t>“Explainability Audit of Plant Disease Classifiers: Quantifying Background Shortcut Learning with Grad-CAM and a Background-Suppression Training Strategy”</w:t>
      </w:r>
    </w:p>
    <w:p w:rsidR="005857F8" w:rsidRDefault="005857F8" w:rsidP="005857F8">
      <w:pPr>
        <w:pStyle w:val="BodyText"/>
        <w:spacing w:before="64"/>
        <w:ind w:left="3225" w:right="2961"/>
        <w:jc w:val="center"/>
      </w:pPr>
      <w:r>
        <w:rPr>
          <w:spacing w:val="-2"/>
        </w:rPr>
        <w:t>Submitted</w:t>
      </w:r>
    </w:p>
    <w:p w:rsidR="005857F8" w:rsidRDefault="005857F8" w:rsidP="005857F8">
      <w:pPr>
        <w:pStyle w:val="BodyText"/>
        <w:spacing w:before="48"/>
        <w:ind w:left="488" w:right="230"/>
        <w:jc w:val="center"/>
      </w:pPr>
      <w:proofErr w:type="gramStart"/>
      <w:r>
        <w:t>in</w:t>
      </w:r>
      <w:proofErr w:type="gramEnd"/>
      <w:r>
        <w:rPr>
          <w:spacing w:val="-6"/>
        </w:rPr>
        <w:t xml:space="preserve"> </w:t>
      </w:r>
      <w:r>
        <w:t>partial</w:t>
      </w:r>
      <w:r>
        <w:rPr>
          <w:spacing w:val="-4"/>
        </w:rPr>
        <w:t xml:space="preserve"> </w:t>
      </w:r>
      <w:r>
        <w:t>fulfillment</w:t>
      </w:r>
      <w:r>
        <w:rPr>
          <w:spacing w:val="-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degree</w:t>
      </w:r>
      <w:r>
        <w:rPr>
          <w:spacing w:val="-8"/>
        </w:rPr>
        <w:t xml:space="preserve"> </w:t>
      </w:r>
      <w:r>
        <w:rPr>
          <w:spacing w:val="-5"/>
        </w:rPr>
        <w:t>of</w:t>
      </w:r>
    </w:p>
    <w:p w:rsidR="005857F8" w:rsidRDefault="005857F8" w:rsidP="005857F8">
      <w:pPr>
        <w:pStyle w:val="Heading1"/>
        <w:spacing w:before="247"/>
      </w:pPr>
      <w:bookmarkStart w:id="1" w:name="Bachelor_of_Technology"/>
      <w:bookmarkEnd w:id="1"/>
      <w:r>
        <w:rPr>
          <w:color w:val="FF0000"/>
          <w:spacing w:val="-2"/>
        </w:rPr>
        <w:t>Bachelor</w:t>
      </w:r>
      <w:r>
        <w:rPr>
          <w:color w:val="FF0000"/>
          <w:spacing w:val="-12"/>
        </w:rPr>
        <w:t xml:space="preserve"> </w:t>
      </w:r>
      <w:r>
        <w:rPr>
          <w:color w:val="FF0000"/>
          <w:spacing w:val="-2"/>
        </w:rPr>
        <w:t>of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Technology</w:t>
      </w:r>
    </w:p>
    <w:p w:rsidR="005857F8" w:rsidRDefault="005857F8" w:rsidP="005857F8">
      <w:pPr>
        <w:pStyle w:val="BodyText"/>
        <w:spacing w:before="54"/>
        <w:ind w:left="477"/>
        <w:jc w:val="center"/>
      </w:pPr>
      <w:proofErr w:type="gramStart"/>
      <w:r>
        <w:rPr>
          <w:spacing w:val="-5"/>
        </w:rPr>
        <w:t>in</w:t>
      </w:r>
      <w:proofErr w:type="gramEnd"/>
    </w:p>
    <w:p w:rsidR="005857F8" w:rsidRDefault="005857F8" w:rsidP="005857F8">
      <w:pPr>
        <w:pStyle w:val="Heading1"/>
        <w:spacing w:before="46"/>
        <w:ind w:right="5"/>
      </w:pPr>
      <w:bookmarkStart w:id="2" w:name="CSE(AIML)_Engineering"/>
      <w:bookmarkEnd w:id="2"/>
      <w:proofErr w:type="gramStart"/>
      <w:r>
        <w:rPr>
          <w:color w:val="FF0000"/>
          <w:spacing w:val="-5"/>
        </w:rPr>
        <w:t>CSE(</w:t>
      </w:r>
      <w:proofErr w:type="gramEnd"/>
      <w:r>
        <w:rPr>
          <w:color w:val="FF0000"/>
          <w:spacing w:val="-5"/>
        </w:rPr>
        <w:t xml:space="preserve">AIML) </w:t>
      </w:r>
      <w:r>
        <w:rPr>
          <w:color w:val="FF0000"/>
          <w:spacing w:val="-2"/>
        </w:rPr>
        <w:t>Engineering</w:t>
      </w:r>
    </w:p>
    <w:p w:rsidR="005857F8" w:rsidRDefault="005857F8" w:rsidP="005857F8">
      <w:pPr>
        <w:spacing w:before="61"/>
        <w:ind w:left="4417"/>
        <w:rPr>
          <w:b/>
          <w:sz w:val="24"/>
        </w:rPr>
      </w:pPr>
      <w:r>
        <w:rPr>
          <w:b/>
          <w:spacing w:val="-5"/>
          <w:sz w:val="24"/>
        </w:rPr>
        <w:t>By</w:t>
      </w:r>
    </w:p>
    <w:p w:rsidR="005857F8" w:rsidRDefault="005857F8" w:rsidP="005857F8">
      <w:pPr>
        <w:pStyle w:val="BodyText"/>
        <w:spacing w:before="61"/>
        <w:rPr>
          <w:b/>
          <w:sz w:val="24"/>
        </w:rPr>
      </w:pPr>
    </w:p>
    <w:p w:rsidR="005857F8" w:rsidRDefault="005857F8" w:rsidP="005857F8">
      <w:pPr>
        <w:pStyle w:val="BodyText"/>
        <w:ind w:left="1771"/>
      </w:pPr>
      <w:r>
        <w:rPr>
          <w:color w:val="0000FF"/>
          <w:spacing w:val="-5"/>
        </w:rPr>
        <w:t>Mr. Amogh Narendra Mulik (PRN: 2417022)</w:t>
      </w:r>
    </w:p>
    <w:p w:rsidR="005857F8" w:rsidRDefault="005857F8" w:rsidP="005857F8">
      <w:pPr>
        <w:pStyle w:val="BodyText"/>
      </w:pPr>
    </w:p>
    <w:p w:rsidR="005857F8" w:rsidRDefault="005857F8" w:rsidP="005857F8">
      <w:pPr>
        <w:ind w:left="3216" w:right="2967"/>
        <w:jc w:val="center"/>
        <w:rPr>
          <w:b/>
          <w:sz w:val="24"/>
        </w:rPr>
      </w:pPr>
      <w:r>
        <w:rPr>
          <w:b/>
          <w:sz w:val="24"/>
        </w:rPr>
        <w:t>Under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Guidance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of</w:t>
      </w:r>
    </w:p>
    <w:p w:rsidR="005857F8" w:rsidRDefault="005857F8" w:rsidP="005857F8">
      <w:pPr>
        <w:pStyle w:val="BodyText"/>
        <w:jc w:val="center"/>
        <w:rPr>
          <w:b/>
          <w:sz w:val="20"/>
        </w:rPr>
      </w:pPr>
      <w:r>
        <w:rPr>
          <w:rFonts w:ascii="Times New Roman" w:hAnsi="Times New Roman"/>
          <w:b/>
          <w:color w:val="0000CC"/>
          <w:sz w:val="28"/>
        </w:rPr>
        <w:t>Prof. Ashvini Sandip Patil</w:t>
      </w:r>
    </w:p>
    <w:p w:rsidR="005857F8" w:rsidRDefault="005857F8" w:rsidP="005857F8">
      <w:pPr>
        <w:pStyle w:val="BodyText"/>
        <w:spacing w:before="183"/>
        <w:rPr>
          <w:b/>
          <w:sz w:val="20"/>
        </w:rPr>
      </w:pPr>
      <w:r>
        <w:rPr>
          <w:b/>
          <w:noProof/>
          <w:sz w:val="20"/>
          <w:lang w:bidi="mr-IN"/>
        </w:rPr>
        <w:drawing>
          <wp:anchor distT="0" distB="0" distL="0" distR="0" simplePos="0" relativeHeight="251659264" behindDoc="1" locked="0" layoutInCell="1" allowOverlap="1" wp14:anchorId="5A43EB58" wp14:editId="7AA873C8">
            <wp:simplePos x="0" y="0"/>
            <wp:positionH relativeFrom="page">
              <wp:posOffset>2898139</wp:posOffset>
            </wp:positionH>
            <wp:positionV relativeFrom="paragraph">
              <wp:posOffset>277762</wp:posOffset>
            </wp:positionV>
            <wp:extent cx="2114999" cy="8191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999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57F8" w:rsidRDefault="005857F8" w:rsidP="005857F8">
      <w:pPr>
        <w:pStyle w:val="BodyText"/>
        <w:spacing w:before="160"/>
        <w:rPr>
          <w:b/>
          <w:sz w:val="24"/>
        </w:rPr>
      </w:pPr>
    </w:p>
    <w:p w:rsidR="005857F8" w:rsidRDefault="005857F8" w:rsidP="005857F8">
      <w:pPr>
        <w:pStyle w:val="Heading2"/>
      </w:pPr>
      <w:bookmarkStart w:id="3" w:name="Department_of_CSE(AIML)_Engineering"/>
      <w:bookmarkEnd w:id="3"/>
      <w:r>
        <w:t>Department</w:t>
      </w:r>
      <w:r>
        <w:rPr>
          <w:spacing w:val="-7"/>
        </w:rPr>
        <w:t xml:space="preserve"> </w:t>
      </w:r>
      <w:r>
        <w:t>of</w:t>
      </w:r>
      <w:r>
        <w:rPr>
          <w:spacing w:val="-11"/>
        </w:rPr>
        <w:t xml:space="preserve"> </w:t>
      </w:r>
      <w:proofErr w:type="gramStart"/>
      <w:r>
        <w:t>CSE(</w:t>
      </w:r>
      <w:proofErr w:type="gramEnd"/>
      <w:r>
        <w:t>AIML)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:rsidR="005857F8" w:rsidRDefault="005857F8" w:rsidP="005857F8">
      <w:pPr>
        <w:spacing w:before="244"/>
        <w:ind w:left="3782"/>
      </w:pPr>
      <w:r>
        <w:t>K.</w:t>
      </w:r>
      <w:r>
        <w:rPr>
          <w:spacing w:val="-1"/>
        </w:rPr>
        <w:t xml:space="preserve"> </w:t>
      </w:r>
      <w:r>
        <w:t>E.</w:t>
      </w:r>
      <w:r>
        <w:rPr>
          <w:spacing w:val="-4"/>
        </w:rPr>
        <w:t xml:space="preserve"> </w:t>
      </w:r>
      <w:r>
        <w:rPr>
          <w:spacing w:val="-2"/>
        </w:rPr>
        <w:t>Society’s</w:t>
      </w:r>
    </w:p>
    <w:p w:rsidR="005857F8" w:rsidRDefault="005857F8" w:rsidP="005857F8">
      <w:pPr>
        <w:pStyle w:val="Heading2"/>
        <w:spacing w:before="41"/>
        <w:ind w:right="235"/>
      </w:pPr>
      <w:bookmarkStart w:id="4" w:name="Rajarambapu_Institute_of_Technology,_Raj"/>
      <w:bookmarkEnd w:id="4"/>
      <w:proofErr w:type="spellStart"/>
      <w:r>
        <w:t>Rajarambapu</w:t>
      </w:r>
      <w:proofErr w:type="spellEnd"/>
      <w:r>
        <w:rPr>
          <w:spacing w:val="-15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Technology,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Rajaramnagar</w:t>
      </w:r>
      <w:proofErr w:type="spellEnd"/>
    </w:p>
    <w:p w:rsidR="005857F8" w:rsidRDefault="005857F8" w:rsidP="005857F8">
      <w:pPr>
        <w:spacing w:before="49"/>
        <w:ind w:left="488" w:right="231"/>
        <w:jc w:val="center"/>
      </w:pPr>
      <w:r>
        <w:t>(An</w:t>
      </w:r>
      <w:r>
        <w:rPr>
          <w:spacing w:val="-15"/>
        </w:rPr>
        <w:t xml:space="preserve"> </w:t>
      </w:r>
      <w:r>
        <w:t>Empowered</w:t>
      </w:r>
      <w:r>
        <w:rPr>
          <w:spacing w:val="-8"/>
        </w:rPr>
        <w:t xml:space="preserve"> </w:t>
      </w:r>
      <w:r>
        <w:t>Autonomous</w:t>
      </w:r>
      <w:r>
        <w:rPr>
          <w:spacing w:val="-10"/>
        </w:rPr>
        <w:t xml:space="preserve"> </w:t>
      </w:r>
      <w:r>
        <w:t>Institute,</w:t>
      </w:r>
      <w:r>
        <w:rPr>
          <w:spacing w:val="-8"/>
        </w:rPr>
        <w:t xml:space="preserve"> </w:t>
      </w:r>
      <w:r>
        <w:t>Affiliated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proofErr w:type="spellStart"/>
      <w:r>
        <w:t>Shivaji</w:t>
      </w:r>
      <w:proofErr w:type="spellEnd"/>
      <w:r>
        <w:rPr>
          <w:spacing w:val="-10"/>
        </w:rPr>
        <w:t xml:space="preserve"> </w:t>
      </w:r>
      <w:r>
        <w:t>University,</w:t>
      </w:r>
      <w:r>
        <w:rPr>
          <w:spacing w:val="-8"/>
        </w:rPr>
        <w:t xml:space="preserve"> </w:t>
      </w:r>
      <w:r>
        <w:rPr>
          <w:spacing w:val="-2"/>
        </w:rPr>
        <w:t>Kolhapur)</w:t>
      </w:r>
    </w:p>
    <w:p w:rsidR="005857F8" w:rsidRDefault="005857F8" w:rsidP="005857F8">
      <w:pPr>
        <w:spacing w:before="236"/>
        <w:ind w:left="3226" w:right="2961"/>
        <w:jc w:val="center"/>
        <w:rPr>
          <w:b/>
          <w:sz w:val="28"/>
        </w:rPr>
      </w:pPr>
      <w:bookmarkStart w:id="5" w:name="2025-26"/>
      <w:bookmarkEnd w:id="5"/>
      <w:r>
        <w:rPr>
          <w:b/>
          <w:spacing w:val="-2"/>
          <w:sz w:val="28"/>
        </w:rPr>
        <w:t>2026-27</w:t>
      </w:r>
    </w:p>
    <w:p w:rsidR="005857F8" w:rsidRDefault="005857F8" w:rsidP="001F1EFD">
      <w:pPr>
        <w:jc w:val="center"/>
        <w:rPr>
          <w:sz w:val="28"/>
          <w:szCs w:val="28"/>
        </w:rPr>
      </w:pPr>
    </w:p>
    <w:p w:rsidR="008B3084" w:rsidRDefault="001F1EFD" w:rsidP="001F1EFD">
      <w:pPr>
        <w:pageBreakBefore/>
        <w:jc w:val="center"/>
        <w:rPr>
          <w:sz w:val="28"/>
          <w:szCs w:val="28"/>
        </w:rPr>
      </w:pPr>
      <w:bookmarkStart w:id="6" w:name="_GoBack"/>
      <w:bookmarkEnd w:id="6"/>
      <w:r w:rsidRPr="001F1EFD">
        <w:rPr>
          <w:rFonts w:ascii="Times New Roman" w:hAnsi="Times New Roman"/>
          <w:b/>
          <w:sz w:val="32"/>
          <w:szCs w:val="28"/>
        </w:rPr>
        <w:t>Explainability Audit of Plant Disease Classifiers: Quantifying Background Shortcut Learning with Grad-CAM and a Background-Suppression Training Strategy</w:t>
      </w:r>
    </w:p>
    <w:p w:rsidR="001F1EFD" w:rsidRDefault="005857F8" w:rsidP="001F1EFD">
      <w:pPr>
        <w:spacing w:before="0" w:after="80" w:line="276" w:lineRule="auto"/>
        <w:jc w:val="both"/>
      </w:pPr>
      <w:r>
        <w:rPr>
          <w:sz w:val="28"/>
          <w:szCs w:val="28"/>
        </w:rPr>
      </w:r>
      <w:r>
        <w:rPr>
          <w:rFonts w:ascii="Times New Roman" w:hAnsi="Times New Roman"/>
          <w:b/>
          <w:sz w:val="26"/>
        </w:rPr>
        <w:t xml:space="preserve">Abstract: </w:t>
      </w:r>
      <w:r>
        <w:rPr>
          <w:rFonts w:ascii="Times New Roman" w:hAnsi="Times New Roman"/>
          <w:sz w:val="24"/>
        </w:rPr>
        <w:t>Deep learning models for plant disease classification report accuracies above 99% on the PlantVillage dataset, yet they fail on photographs taken in real fields. A likely cause is shortcut learning: because PlantVillage leaves were photographed on plain backgrounds under controlled conditions, a network can separate classes using the background instead of the diseased tissue. This project audits three deep learning architectures, ResNet-50, EfficientNet-B0 and the vision transformer ViT-S/16, trained for 30 epochs on the ten-class PlantVillage tomato subset (18,155 images). Grad-CAM heatmaps are converted into a Lesion Focus Score (LFS), the share of attention that falls on the leaf, and background reliance is tested directly with background-only and Mixed-Rand (background-swapped) test images. A training strategy, BG-Suppress, is then proposed; it combines random background replacement with an attention-alignment loss that penalises Grad-CAM attention outside the leaf. All baselines reached 99.2–99.9% test accuracy but classified 22–28% of images correctly from the background alone (chance: 10%) and lost up to 13.8 points when backgrounds were swapped; ViT-S/16 was the most background-reliant (LFS 0.602). BG-Suppress raised LFS to 0.98–0.99 for all three models and cut the background-swap loss to 0.3 points or less, at a cost of at most 0.37 points of test accuracy. On 744 real-field PlantDoc images, accuracy remained 25–29%, showing that removing background shortcuts is necessary but not sufficient for field-ready plant disease diagnosis.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Keywords: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Plant disease classification, explainable AI, Grad-CAM, shortcut learning, ResNet-50, EfficientNet-B0, vision transformer, domain shift.</w:t>
      </w:r>
    </w:p>
    <w:p>
      <w:pPr>
        <w:keepNext/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Introduction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1.1 Background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Plant diseases cause large crop losses every year, and many farmers have no quick access to a plant pathologist. Image-based diagnosis with deep learning promises a phone-based alternative. Since the release of the PlantVillage dataset [1], convolutional neural networks (CNNs) have repeatedly reported near-perfect accuracy on it: Mohanty et al. [2] reached 99.35% on 54,306 images, and later comparative studies reported similar figures [3], [4]. These numbers do not carry over to the field. When PlantVillage-trained models are tested on internet-sourced field images from PlantDoc [5], accuracy has been reported to fall from 99.77% to 28.57% for MobileNetV2 [6].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probable reason is shortcut learning [7]: a network learns any feature that correlates with the label, whether or not it is related to the disease. PlantVillage photographs each detached leaf on a plain background under controlled light, and capture conditions differ between classes. Noyan [8] trained a classifier on only eight background pixels per image and still obtained 49.0% accuracy against a chance level of 2.6%.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1.2 Problem Statement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Explainability Audit of Plant Disease Models: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Grad-CAM to show whether plant disease classifiers look at the lesion or at the background (shortcut learning), and propose a background-suppression training strategy that makes the models focus on the leaf.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1.3 Research Gap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</w:t>
        <w:tab/>
        <w:t>Grad-CAM in plant disease papers is mostly qualitative: a few heatmaps are shown, but attention is not measured.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</w:t>
        <w:tab/>
        <w:t>No plant disease study uses counterfactual background tests to prove, rather than suggest, shortcut reliance.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</w:t>
        <w:tab/>
        <w:t>Attention-constraining training has not been evaluated on multi-class PlantVillage together with a real-field test.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</w:t>
        <w:tab/>
        <w:t>Architecture comparisons report accuracy only, not whether CNNs and vision transformers differ in background reliance.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1.4 Objectives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</w:t>
        <w:tab/>
        <w:t>Train and compare three deep learning architectures (ResNet-50, EfficientNet-B0 and ViT-S/16) on PlantVillage tomato for 30 epochs each.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</w:t>
        <w:tab/>
        <w:t>Measure where each model looks with a Grad-CAM-based Lesion Focus Score (LFS).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</w:t>
        <w:tab/>
        <w:t>Prove or disprove background shortcut learning with background-only and Mixed-Rand counterfactual test sets.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</w:t>
        <w:tab/>
        <w:t>Propose and evaluate BG-Suppress, a background-suppression training strategy.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</w:t>
        <w:tab/>
        <w:t>Test every model on real-field PlantDoc images that were never used for training.</w:t>
      </w:r>
    </w:p>
    <w:p>
      <w:pPr>
        <w:keepNext/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Literature Review / Related Work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2.1 Deep Learning on PlantVillage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Hughes and Salathé [1] released PlantVillage as an open repository of leaf images. Mohanty et al. [2] trained AlexNet and GoogLeNet on its 54,306 images (14 crops, 26 diseases) and reported 99.35% held-out accuracy. Ferentinos [3] and Too et al. [4] compared several CNN families and fine-tuning strategies and again reported near-perfect accuracy. All of these evaluated models only on images captured under the same laboratory conditions.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2.2 Dataset Bias and the Laboratory-to-Field Gap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Singh et al. [5] built PlantDoc, 2,598 internet images with natural backgrounds, and showed that training on it raised field accuracy by up to 31%. Noyan [8] demonstrated capture bias in PlantVillage with the eight-pixel experiment. Ahmad et al. [11] reached 81.6% cross-dataset accuracy on corn only when backgrounds were removed or laboratory and field images were combined. Ho-Lam and Nguyen [6] measured the PlantVillage-to-PlantDoc collapse for three CNNs and used Grad-CAM to show that most attention fell off the leaf in field images, but stopped at diagnosis.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2.3 Explainability for Plant Disease Models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Grad-CAM [9] weights the feature maps of a layer by the averaged gradients of the class score and is the most widely used explanation in this domain; Gökten et al. [12] compared Grad-CAM maps across ConvNeXt-Tiny, MobileNetV2 and VGG16. Amara et al. [13], [14] applied concept-based explanations to PlantVillage models and found background and lighting concepts among the most influential for weak classes. Wang et al. [15] introduced the energy-based pointing game, which this project adapts from bounding boxes to leaf masks. Lee et al. [16] also noted that CNNs can attend to irrelevant background regions.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2.4 Shortcut Learning and Attention-Constraining Training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Geirhos et al. [7] framed shortcut learning as decision rules that work on benchmarks but fail under realistic shifts. Xiao et al. [10] showed that ImageNet models classify above chance from backgrounds alone. On the corrective side, Ross et al. [17] penalised input gradients in regions marked irrelevant, Li et al. [18] made attention maps trainable, Heo et al. [19] combined explanation regularisation with robustness on a binary leaf dataset, and Ferdi [20] showed that background-removed images used as augmentation help apple-leaf classification.</w:t>
      </w:r>
    </w:p>
    <w:p>
      <w:pPr>
        <w:keepNext/>
        <w:spacing w:before="160" w:after="8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Table 1: Summary of related work and comparison with this project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656"/>
            <w:shd w:val="clear" w:color="auto" w:fill="D9E7DC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Study</w:t>
            </w:r>
          </w:p>
        </w:tc>
        <w:tc>
          <w:tcPr>
            <w:tcW w:type="dxa" w:w="1944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Method / model</w:t>
            </w:r>
          </w:p>
        </w:tc>
        <w:tc>
          <w:tcPr>
            <w:tcW w:type="dxa" w:w="1584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Dataset</w:t>
            </w:r>
          </w:p>
        </w:tc>
        <w:tc>
          <w:tcPr>
            <w:tcW w:type="dxa" w:w="1872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Key result</w:t>
            </w:r>
          </w:p>
        </w:tc>
        <w:tc>
          <w:tcPr>
            <w:tcW w:type="dxa" w:w="2016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Limitation for this problem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Mohanty et al. [2]</w:t>
            </w:r>
          </w:p>
        </w:tc>
        <w:tc>
          <w:tcPr>
            <w:tcW w:type="dxa" w:w="194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AlexNet, GoogLeNet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PlantVillage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99.35% held-out accuracy</w:t>
            </w:r>
          </w:p>
        </w:tc>
        <w:tc>
          <w:tcPr>
            <w:tcW w:type="dxa" w:w="2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Laboratory-only evaluation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Singh et al. [5]</w:t>
            </w:r>
          </w:p>
        </w:tc>
        <w:tc>
          <w:tcPr>
            <w:tcW w:type="dxa" w:w="194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VGG16, InceptionV3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PlantDoc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Field data raise accuracy by up to 31%</w:t>
            </w:r>
          </w:p>
        </w:tc>
        <w:tc>
          <w:tcPr>
            <w:tcW w:type="dxa" w:w="2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Small dataset; no attention analysis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Noyan [8]</w:t>
            </w:r>
          </w:p>
        </w:tc>
        <w:tc>
          <w:tcPr>
            <w:tcW w:type="dxa" w:w="194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Classifier on 8 background pixels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PlantVillage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49.0% vs. 2.6% chance</w:t>
            </w:r>
          </w:p>
        </w:tc>
        <w:tc>
          <w:tcPr>
            <w:tcW w:type="dxa" w:w="2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Shows bias; no deep-model fix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Ahmad et al. [11]</w:t>
            </w:r>
          </w:p>
        </w:tc>
        <w:tc>
          <w:tcPr>
            <w:tcW w:type="dxa" w:w="194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Five CNNs incl. DenseNet169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Five corn datasets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81.6% cross-dataset accuracy</w:t>
            </w:r>
          </w:p>
        </w:tc>
        <w:tc>
          <w:tcPr>
            <w:tcW w:type="dxa" w:w="2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 explainability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Amara et al. [14]</w:t>
            </w:r>
          </w:p>
        </w:tc>
        <w:tc>
          <w:tcPr>
            <w:tcW w:type="dxa" w:w="194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InceptionV3 + concept extraction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PlantVillage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Background concepts in weak classes</w:t>
            </w:r>
          </w:p>
        </w:tc>
        <w:tc>
          <w:tcPr>
            <w:tcW w:type="dxa" w:w="2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 mitigation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Ho-Lam &amp; Nguyen [6]</w:t>
            </w:r>
          </w:p>
        </w:tc>
        <w:tc>
          <w:tcPr>
            <w:tcW w:type="dxa" w:w="194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TinyCNN, MobileNetV2, ResNet18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PlantVillage → PlantDoc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99.77% → 28.57% (MobileNetV2)</w:t>
            </w:r>
          </w:p>
        </w:tc>
        <w:tc>
          <w:tcPr>
            <w:tcW w:type="dxa" w:w="2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Diagnosis only; no fix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Xiao et al. [10]</w:t>
            </w:r>
          </w:p>
        </w:tc>
        <w:tc>
          <w:tcPr>
            <w:tcW w:type="dxa" w:w="194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ResNet family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ImageNet-9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Backgrounds alone classify</w:t>
            </w:r>
          </w:p>
        </w:tc>
        <w:tc>
          <w:tcPr>
            <w:tcW w:type="dxa" w:w="2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General vision, not agriculture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Ross et al. [17]</w:t>
            </w:r>
          </w:p>
        </w:tc>
        <w:tc>
          <w:tcPr>
            <w:tcW w:type="dxa" w:w="194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Input-gradient penalty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Toy and text data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Better generalisation under shift</w:t>
            </w:r>
          </w:p>
        </w:tc>
        <w:tc>
          <w:tcPr>
            <w:tcW w:type="dxa" w:w="2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Not tested on plant images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Heo et al. [19]</w:t>
            </w:r>
          </w:p>
        </w:tc>
        <w:tc>
          <w:tcPr>
            <w:tcW w:type="dxa" w:w="194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Explanation-guided training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Binary leaf-spot data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Beats standard training</w:t>
            </w:r>
          </w:p>
        </w:tc>
        <w:tc>
          <w:tcPr>
            <w:tcW w:type="dxa" w:w="201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Binary task; not PlantVillage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This project</w:t>
            </w:r>
          </w:p>
        </w:tc>
        <w:tc>
          <w:tcPr>
            <w:tcW w:type="dxa" w:w="19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ResNet-50, EfficientNet-B0, ViT-S/16 + BG-Suppress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PlantVillage tomato → PlantDoc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LFS 0.98–0.99; shortcut gap ≤ 0.3 pts</w:t>
            </w:r>
          </w:p>
        </w:tc>
        <w:tc>
          <w:tcPr>
            <w:tcW w:type="dxa" w:w="20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Measured fix across three architectures with a field test</w:t>
            </w:r>
          </w:p>
        </w:tc>
      </w:tr>
    </w:tbl>
    <w:p>
      <w:pPr>
        <w:spacing w:before="0" w:after="80" w:line="276" w:lineRule="auto"/>
        <w:jc w:val="both"/>
      </w:pP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Novelty of this project.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Unlike earlier work, this project (i) measures attention with a number (LFS) instead of showing a few heatmaps, (ii) proves background reliance with counterfactual tests, (iii) proposes and evaluates a fix, BG-Suppress, and (iv) compares a CNN, a lightweight CNN and a vision transformer under one protocol, including a real-field test.</w:t>
      </w:r>
    </w:p>
    <w:p>
      <w:pPr>
        <w:keepNext/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Methodology / Materials &amp; Methods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3.1 System Architecture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Figure 1 shows the overall pipeline. Leaf images and their masks are prepared once; each of the three architectures is trained in two modes, standard (baseline) and BG-Suppress; and every trained model is evaluated with the same four tests: laboratory test accuracy, Grad-CAM LFS, the two counterfactual shortcut tests and the PlantDoc field test.</w:t>
      </w:r>
    </w:p>
    <w:p>
      <w:pPr>
        <w:keepNext/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1867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Figure 1: System architecture of the explainability audit. PlantDoc images are never used for training; the shaded box is the proposed training strategy.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3.2 Datasets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PlantVillage tomato (training and laboratory test).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 ten tomato classes of the public PlantVillage release were used. The release contains a colour and a segmented version of every image; a binary leaf mask M was obtained from the segmented copy by thresholding, morphological closing, hole filling (so dark lesions stay inside the leaf) and keeping the largest connected component. Images were resized to 256×256. After pairing images with masks, 18,155 images remained, split 70/15/15 with class stratification (seed 42) into 12,708 training, 2,723 validation and 2,724 test images (Table 2).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PlantDoc tomato (field test only).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Tomato images from the cropped PlantDoc release [5] were mapped to PlantVillage labels and used only for testing. Target Spot has no PlantDoc counterpart and the spider-mite folder holds only two images, so both were excluded, leaving 744 field images in eight classes. Uniform chance on this set is 12.5% and the majority class (Septoria, 151 images) is 20.3%.</w:t>
      </w:r>
    </w:p>
    <w:p>
      <w:pPr>
        <w:keepNext/>
        <w:spacing w:before="160" w:after="8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Table 2: Number of images per class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2880"/>
            <w:shd w:val="clear" w:color="auto" w:fill="D9E7DC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Class</w:t>
            </w:r>
          </w:p>
        </w:tc>
        <w:tc>
          <w:tcPr>
            <w:tcW w:type="dxa" w:w="1296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Train</w:t>
            </w:r>
          </w:p>
        </w:tc>
        <w:tc>
          <w:tcPr>
            <w:tcW w:type="dxa" w:w="1440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Validation</w:t>
            </w:r>
          </w:p>
        </w:tc>
        <w:tc>
          <w:tcPr>
            <w:tcW w:type="dxa" w:w="1296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</w:t>
            </w:r>
          </w:p>
        </w:tc>
        <w:tc>
          <w:tcPr>
            <w:tcW w:type="dxa" w:w="1872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PlantDoc (field)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Bacterial spot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1,489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319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319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Early blight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699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150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150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 blight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1,336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286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287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Leaf mold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666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143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143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Septoria leaf spot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1,238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265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266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Spider mites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1,173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251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251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–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Target spot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983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211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210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–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Yellow leaf curl virus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3,749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803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804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Mosaic virus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261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56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56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Healthy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1,114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239</w:t>
            </w:r>
          </w:p>
        </w:tc>
        <w:tc>
          <w:tcPr>
            <w:tcW w:type="dxa" w:w="129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238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Total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12,708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2,723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2,724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744</w:t>
            </w:r>
          </w:p>
        </w:tc>
      </w:tr>
    </w:tbl>
    <w:p>
      <w:pPr>
        <w:spacing w:before="0" w:after="80" w:line="276" w:lineRule="auto"/>
        <w:jc w:val="both"/>
      </w:pP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3.3 Deep Learning Models Compared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Three architectures from different design families were selected (Table 3). All start from ImageNet weights from the timm library, with the classifier replaced by a ten-class head.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eastAsia="Times New Roman"/>
          <w:b/>
          <w:i w:val="0"/>
          <w:sz w:val="24"/>
        </w:rPr>
        <w:t>ResNet-50 [21]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stacks bottleneck residual blocks with identity skip connections, which allow very deep networks to train; it is the most common backbone in plant disease studies.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eastAsia="Times New Roman"/>
          <w:b/>
          <w:i w:val="0"/>
          <w:sz w:val="24"/>
        </w:rPr>
        <w:t>EfficientNet-B0 [22]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uses mobile inverted-bottleneck blocks with squeeze-and-excitation and scales depth, width and resolution together; with about 5.3M parameters it suits mobile deployment.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eastAsia="Times New Roman"/>
          <w:b/>
          <w:i w:val="0"/>
          <w:sz w:val="24"/>
        </w:rPr>
        <w:t>ViT-S/16 [23]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splits the image into 16×16 patches and processes the 196 patch tokens with self-attention, giving every layer a global view of the image.</w:t>
      </w:r>
    </w:p>
    <w:p>
      <w:pPr>
        <w:keepNext/>
        <w:spacing w:before="160" w:after="8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Table 3: The three deep learning architectures compared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1584"/>
            <w:shd w:val="clear" w:color="auto" w:fill="D9E7DC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Model</w:t>
            </w:r>
          </w:p>
        </w:tc>
        <w:tc>
          <w:tcPr>
            <w:tcW w:type="dxa" w:w="1656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Family</w:t>
            </w:r>
          </w:p>
        </w:tc>
        <w:tc>
          <w:tcPr>
            <w:tcW w:type="dxa" w:w="1152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Parameters</w:t>
            </w:r>
          </w:p>
        </w:tc>
        <w:tc>
          <w:tcPr>
            <w:tcW w:type="dxa" w:w="2304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Pretrained weights (timm)</w:t>
            </w:r>
          </w:p>
        </w:tc>
        <w:tc>
          <w:tcPr>
            <w:tcW w:type="dxa" w:w="1728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Grad-CAM layer</w:t>
            </w:r>
          </w:p>
        </w:tc>
        <w:tc>
          <w:tcPr>
            <w:tcW w:type="dxa" w:w="1080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Learning rate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ResNet-50</w:t>
            </w:r>
          </w:p>
        </w:tc>
        <w:tc>
          <w:tcPr>
            <w:tcW w:type="dxa" w:w="165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Residual CNN</w:t>
            </w:r>
          </w:p>
        </w:tc>
        <w:tc>
          <w:tcPr>
            <w:tcW w:type="dxa" w:w="115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25.6M</w:t>
            </w:r>
          </w:p>
        </w:tc>
        <w:tc>
          <w:tcPr>
            <w:tcW w:type="dxa" w:w="230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resnet50.a1_in1k</w:t>
            </w:r>
          </w:p>
        </w:tc>
        <w:tc>
          <w:tcPr>
            <w:tcW w:type="dxa" w:w="172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Last residual stage</w:t>
            </w:r>
          </w:p>
        </w:tc>
        <w:tc>
          <w:tcPr>
            <w:tcW w:type="dxa" w:w="108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2×10⁻⁴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EfficientNet-B0</w:t>
            </w:r>
          </w:p>
        </w:tc>
        <w:tc>
          <w:tcPr>
            <w:tcW w:type="dxa" w:w="165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Compound-scaled CNN</w:t>
            </w:r>
          </w:p>
        </w:tc>
        <w:tc>
          <w:tcPr>
            <w:tcW w:type="dxa" w:w="115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5.3M</w:t>
            </w:r>
          </w:p>
        </w:tc>
        <w:tc>
          <w:tcPr>
            <w:tcW w:type="dxa" w:w="230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efficientnet_b0.ra_in1k</w:t>
            </w:r>
          </w:p>
        </w:tc>
        <w:tc>
          <w:tcPr>
            <w:tcW w:type="dxa" w:w="172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Final 1×1 conv head</w:t>
            </w:r>
          </w:p>
        </w:tc>
        <w:tc>
          <w:tcPr>
            <w:tcW w:type="dxa" w:w="108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2×10⁻⁴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ViT-S/16</w:t>
            </w:r>
          </w:p>
        </w:tc>
        <w:tc>
          <w:tcPr>
            <w:tcW w:type="dxa" w:w="165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Vision transformer</w:t>
            </w:r>
          </w:p>
        </w:tc>
        <w:tc>
          <w:tcPr>
            <w:tcW w:type="dxa" w:w="1152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22M</w:t>
            </w:r>
          </w:p>
        </w:tc>
        <w:tc>
          <w:tcPr>
            <w:tcW w:type="dxa" w:w="230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vit_small_patch16_224.augreg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Last block (14×14 tokens)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1×10⁻⁴</w:t>
            </w:r>
          </w:p>
        </w:tc>
      </w:tr>
    </w:tbl>
    <w:p>
      <w:pPr>
        <w:spacing w:before="0" w:after="80" w:line="276" w:lineRule="auto"/>
        <w:jc w:val="both"/>
      </w:pP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3.4 Grad-CAM and the Lesion Focus Score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For an input x and class c with score yᴄ, Grad-CAM [9] weights the feature maps Fₖ of a chosen layer by their averaged gradients and keeps the positive part:</w:t>
      </w:r>
    </w:p>
    <w:p>
      <w:pPr>
        <w:spacing w:before="80" w:after="1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62656" cy="45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656" cy="457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    (1)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For ViT-S/16 the 196 patch tokens are reshaped into a 14×14 map first. The map is upsampled to 224×224, min–max normalised to Â and compared with the leaf mask M:</w:t>
      </w:r>
    </w:p>
    <w:p>
      <w:pPr>
        <w:spacing w:before="80" w:after="1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86307" cy="6510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6307" cy="6510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    (2)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model that attends only to the leaf scores 1.0, and a spatially uniform map scores the leaf's area fraction, 0.517 on this test set. LFS is computed for the predicted class and averaged over the 2,724 test images.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3.5 Counterfactual Shortcut Tests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Every test image is also evaluated in two modified forms that do not depend on any explanation method (Eq. 3):</w:t>
      </w:r>
    </w:p>
    <w:p>
      <w:pPr>
        <w:spacing w:before="80" w:after="1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12387" cy="3145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2387" cy="31455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    (3)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eastAsia="Times New Roman"/>
          <w:b/>
          <w:i w:val="0"/>
          <w:sz w:val="24"/>
        </w:rPr>
        <w:t>Background-only (x_bg):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 leaf pixels are removed so only the background remains. Accuracy above the 10% chance level shows that the background alone carries label information.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eastAsia="Times New Roman"/>
          <w:b/>
          <w:i w:val="0"/>
          <w:sz w:val="24"/>
        </w:rPr>
        <w:t>Mixed-Rand (x_mix):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following Xiao et al. [10], each leaf is pasted onto the background b_d of a test image from a different class. The drop from original to Mixed-Rand accuracy is the </w:t>
      </w:r>
      <w:r>
        <w:rPr>
          <w:rFonts w:ascii="Times New Roman" w:hAnsi="Times New Roman" w:eastAsia="Times New Roman"/>
          <w:b/>
          <w:i w:val="0"/>
          <w:sz w:val="24"/>
        </w:rPr>
        <w:t>shortcut gap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3.6 Proposed BG-Suppress Training Strategy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BG-Suppress has two parts applied together. </w:t>
      </w:r>
      <w:r>
        <w:rPr>
          <w:rFonts w:ascii="Times New Roman" w:hAnsi="Times New Roman" w:eastAsia="Times New Roman"/>
          <w:b/>
          <w:i w:val="0"/>
          <w:sz w:val="24"/>
        </w:rPr>
        <w:t>Background randomisation: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probability p = 0.8, each training image is recomposed onto a random background B (solid colours, gradients, smoothed noise, earth- or foliage-coloured noise), after the same geometric augmentation is applied to the image and its mask:</w:t>
      </w:r>
    </w:p>
    <w:p>
      <w:pPr>
        <w:spacing w:before="80" w:after="1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52620" cy="3035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2620" cy="3035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    (4)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Attention-alignment loss: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for the true class, Grad-CAM is computed during training with the channel weights detached (stop-gradient, sg), so no second-order gradients are needed. The mask is average-pooled to the feature size (M̃) and the share of attention outside the leaf is penalised:</w:t>
      </w:r>
    </w:p>
    <w:p>
      <w:pPr>
        <w:spacing w:before="80" w:after="1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30752" cy="6108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0752" cy="6108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    (5)</w:t>
      </w:r>
    </w:p>
    <w:p>
      <w:pPr>
        <w:spacing w:before="80" w:after="1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26233" cy="3145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6233" cy="31455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    (6)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 the baseline mode the same pipeline is used with p = 0 and λ = 0. One BG-Suppress training step is: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</w:t>
        <w:tab/>
        <w:t>Apply the same random crop, flip and rotation to each image and its mask; apply colour jitter to the image.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</w:t>
        <w:tab/>
        <w:t>With probability 0.8, replace the background: x ← M⊙x + (1−M)⊙B.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</w:t>
        <w:tab/>
        <w:t>Forward pass under bfloat16 autocast; store the target-layer features F.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</w:t>
        <w:tab/>
        <w:t>Compute cross-entropy loss with label smoothing 0.1.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</w:t>
        <w:tab/>
        <w:t>Compute detached Grad-CAM weights, the map A and the pooled mask M̃; compute L_align.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</w:t>
        <w:tab/>
        <w:t>Update the model with AdamW on L_CE + λL_align; clip the gradient norm at 1.0.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3.7 Experimental Setup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All six runs (three architectures × two training modes) used identical settings apart from the training mode and the learning rate of ViT-S/16 (Table 4). Training ran on a laptop with an Intel Core 7 240H processor, 16 GB RAM and an NVIDIA GeForce RTX 5060 Laptop GPU (8 GB), using Python 3.12, PyTorch 2.11 with CUDA 12.8 [24] and timm. The checkpoint with the highest validation macro-F1 was kept for testing. One epoch took 57–152 s depending on the model.</w:t>
      </w:r>
    </w:p>
    <w:p>
      <w:pPr>
        <w:keepNext/>
        <w:spacing w:before="160" w:after="8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Table 4: Training hyperparameters (identical for all runs)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shd w:val="clear" w:color="auto" w:fill="D9E7DC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Setting</w:t>
            </w:r>
          </w:p>
        </w:tc>
        <w:tc>
          <w:tcPr>
            <w:tcW w:type="dxa" w:w="6192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Input size</w:t>
            </w:r>
          </w:p>
        </w:tc>
        <w:tc>
          <w:tcPr>
            <w:tcW w:type="dxa" w:w="619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224×224 (images stored at 256×256)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Epochs / batch size</w:t>
            </w:r>
          </w:p>
        </w:tc>
        <w:tc>
          <w:tcPr>
            <w:tcW w:type="dxa" w:w="619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 / 32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Optimiser</w:t>
            </w:r>
          </w:p>
        </w:tc>
        <w:tc>
          <w:tcPr>
            <w:tcW w:type="dxa" w:w="619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AdamW [25], weight decay 0.05; LR 2×10⁻⁴ (CNNs), 1×10⁻⁴ (ViT)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Schedule</w:t>
            </w:r>
          </w:p>
        </w:tc>
        <w:tc>
          <w:tcPr>
            <w:tcW w:type="dxa" w:w="619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 warm-up epochs, then cosine decay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Loss</w:t>
            </w:r>
          </w:p>
        </w:tc>
        <w:tc>
          <w:tcPr>
            <w:tcW w:type="dxa" w:w="619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Cross-entropy, label smoothing 0.1 (+ λL_align, λ = 1, for BG-Suppress)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Augmentation</w:t>
            </w:r>
          </w:p>
        </w:tc>
        <w:tc>
          <w:tcPr>
            <w:tcW w:type="dxa" w:w="619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Random resized crop (0.7–1.0), horizontal flip, ±15° rotation, colour jitter 0.2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Precision</w:t>
            </w:r>
          </w:p>
        </w:tc>
        <w:tc>
          <w:tcPr>
            <w:tcW w:type="dxa" w:w="619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Mixed precision (bfloat16); gradient clipping at norm 1.0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Model selection / seed</w:t>
            </w:r>
          </w:p>
        </w:tc>
        <w:tc>
          <w:tcPr>
            <w:tcW w:type="dxa" w:w="619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Best validation macro-F1 / 42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Evaluation metrics</w:t>
            </w:r>
          </w:p>
        </w:tc>
        <w:tc>
          <w:tcPr>
            <w:tcW w:type="dxa" w:w="6192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Accuracy (95% bootstrap CI), macro-F1, LFS, background-only accuracy, shortcut gap, PlantDoc accuracy and macro-F1</w:t>
            </w:r>
          </w:p>
        </w:tc>
      </w:tr>
    </w:tbl>
    <w:p>
      <w:pPr>
        <w:spacing w:before="0" w:after="80" w:line="276" w:lineRule="auto"/>
        <w:jc w:val="both"/>
      </w:pPr>
    </w:p>
    <w:p>
      <w:pPr>
        <w:keepNext/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Results &amp; Discussion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4.1 Training Behaviour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Figure 2 shows validation accuracy and training loss per epoch. All models passed 99% validation accuracy within about 10–15 epochs and then levelled off, so 30 epochs were sufficient. The ResNet-50 baseline became numerically unstable at epoch 14 (loss became NaN); its best checkpoint, from epoch 9, is the one evaluated. All BG-Suppress runs trained stably for 30 epochs.</w:t>
      </w:r>
    </w:p>
    <w:p>
      <w:pPr>
        <w:keepNext/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176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6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Figure 2: Validation accuracy (left) and training cross-entropy (right) for the six runs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4.2 Laboratory Classification Performance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Table 5 reports performance on the 2,724 test images. All six models exceeded 99.1% accuracy. BG-Suppress changed accuracy by only −0.04 to −0.37 points, and every BG-Suppress confidence interval overlaps that of its baseline.</w:t>
      </w:r>
    </w:p>
    <w:p>
      <w:pPr>
        <w:keepNext/>
        <w:spacing w:before="160" w:after="8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Table 5: Laboratory test performance on PlantVillage tomato (2,724 images)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1872"/>
            <w:shd w:val="clear" w:color="auto" w:fill="D9E7DC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Model</w:t>
            </w:r>
          </w:p>
        </w:tc>
        <w:tc>
          <w:tcPr>
            <w:tcW w:type="dxa" w:w="1584"/>
            <w:shd w:val="clear" w:color="auto" w:fill="D9E7DC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Training</w:t>
            </w:r>
          </w:p>
        </w:tc>
        <w:tc>
          <w:tcPr>
            <w:tcW w:type="dxa" w:w="1440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Accuracy (%)</w:t>
            </w:r>
          </w:p>
        </w:tc>
        <w:tc>
          <w:tcPr>
            <w:tcW w:type="dxa" w:w="1728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95% CI</w:t>
            </w:r>
          </w:p>
        </w:tc>
        <w:tc>
          <w:tcPr>
            <w:tcW w:type="dxa" w:w="1440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Macro-F1 (%)</w:t>
            </w:r>
          </w:p>
        </w:tc>
        <w:tc>
          <w:tcPr>
            <w:tcW w:type="dxa" w:w="1152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Best epoch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ResNet-50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Baseline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99.23</w:t>
            </w:r>
          </w:p>
        </w:tc>
        <w:tc>
          <w:tcPr>
            <w:tcW w:type="dxa" w:w="172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98.86–99.52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98.99</w:t>
            </w:r>
          </w:p>
        </w:tc>
        <w:tc>
          <w:tcPr>
            <w:tcW w:type="dxa" w:w="115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ResNet-50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BG-Suppress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99.19</w:t>
            </w:r>
          </w:p>
        </w:tc>
        <w:tc>
          <w:tcPr>
            <w:tcW w:type="dxa" w:w="172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98.83–99.52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98.94</w:t>
            </w:r>
          </w:p>
        </w:tc>
        <w:tc>
          <w:tcPr>
            <w:tcW w:type="dxa" w:w="115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24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EfficientNet-B0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Baseline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99.82</w:t>
            </w:r>
          </w:p>
        </w:tc>
        <w:tc>
          <w:tcPr>
            <w:tcW w:type="dxa" w:w="172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99.63–99.96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99.78</w:t>
            </w:r>
          </w:p>
        </w:tc>
        <w:tc>
          <w:tcPr>
            <w:tcW w:type="dxa" w:w="115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27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EfficientNet-B0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BG-Suppress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99.60</w:t>
            </w:r>
          </w:p>
        </w:tc>
        <w:tc>
          <w:tcPr>
            <w:tcW w:type="dxa" w:w="172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99.34–99.82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99.50</w:t>
            </w:r>
          </w:p>
        </w:tc>
        <w:tc>
          <w:tcPr>
            <w:tcW w:type="dxa" w:w="115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ViT-S/16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Baseline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99.85</w:t>
            </w:r>
          </w:p>
        </w:tc>
        <w:tc>
          <w:tcPr>
            <w:tcW w:type="dxa" w:w="172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99.67–99.96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99.84</w:t>
            </w:r>
          </w:p>
        </w:tc>
        <w:tc>
          <w:tcPr>
            <w:tcW w:type="dxa" w:w="115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26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ViT-S/16</w:t>
            </w:r>
          </w:p>
        </w:tc>
        <w:tc>
          <w:tcPr>
            <w:tcW w:type="dxa" w:w="158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BG-Suppress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99.49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99.19–99.74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99.46</w:t>
            </w:r>
          </w:p>
        </w:tc>
        <w:tc>
          <w:tcPr>
            <w:tcW w:type="dxa" w:w="1152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21</w:t>
            </w:r>
          </w:p>
        </w:tc>
      </w:tr>
    </w:tbl>
    <w:p>
      <w:pPr>
        <w:spacing w:before="0" w:after="80" w:line="276" w:lineRule="auto"/>
        <w:jc w:val="both"/>
      </w:pP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4.3 Attention Audit and Shortcut Tests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Table 6 and Figure 3 show that all three baselines rely on the background despite their near-perfect accuracy. With the leaf removed they still classified 22.2–27.9% of images correctly, two to three times the 10% chance level, and swapping backgrounds cost up to 13.8 points. ViT-S/16 was the most background-reliant: its LFS of 0.602 is close to the 0.517 of a uniform map. BG-Suppress moved every measure in the intended direction: LFS rose to 0.981–0.994, the shortcut gap fell to 0.3 points or less, and background-only accuracy fell sharply (ViT-S/16: 27.9% → 6.0%).</w:t>
      </w:r>
    </w:p>
    <w:p>
      <w:pPr>
        <w:keepNext/>
        <w:spacing w:before="160" w:after="8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Table 6: Attention and counterfactual shortcut tests (laboratory test set)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1800"/>
            <w:shd w:val="clear" w:color="auto" w:fill="D9E7DC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Model</w:t>
            </w:r>
          </w:p>
        </w:tc>
        <w:tc>
          <w:tcPr>
            <w:tcW w:type="dxa" w:w="1944"/>
            <w:shd w:val="clear" w:color="auto" w:fill="D9E7DC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Training</w:t>
            </w:r>
          </w:p>
        </w:tc>
        <w:tc>
          <w:tcPr>
            <w:tcW w:type="dxa" w:w="1008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LFS ↑</w:t>
            </w:r>
          </w:p>
        </w:tc>
        <w:tc>
          <w:tcPr>
            <w:tcW w:type="dxa" w:w="1800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Background-only acc. (%) ↓</w:t>
            </w:r>
          </w:p>
        </w:tc>
        <w:tc>
          <w:tcPr>
            <w:tcW w:type="dxa" w:w="1584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Mixed-Rand acc. (%)</w:t>
            </w:r>
          </w:p>
        </w:tc>
        <w:tc>
          <w:tcPr>
            <w:tcW w:type="dxa" w:w="1584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Shortcut gap (pts) ↓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ResNet-50</w:t>
            </w:r>
          </w:p>
        </w:tc>
        <w:tc>
          <w:tcPr>
            <w:tcW w:type="dxa" w:w="1944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Baseline</w:t>
            </w:r>
          </w:p>
        </w:tc>
        <w:tc>
          <w:tcPr>
            <w:tcW w:type="dxa" w:w="100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0.905</w:t>
            </w:r>
          </w:p>
        </w:tc>
        <w:tc>
          <w:tcPr>
            <w:tcW w:type="dxa" w:w="180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22.21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95.96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3.27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ResNet-50</w:t>
            </w:r>
          </w:p>
        </w:tc>
        <w:tc>
          <w:tcPr>
            <w:tcW w:type="dxa" w:w="1944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BG-Suppress</w:t>
            </w:r>
          </w:p>
        </w:tc>
        <w:tc>
          <w:tcPr>
            <w:tcW w:type="dxa" w:w="100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0.994</w:t>
            </w:r>
          </w:p>
        </w:tc>
        <w:tc>
          <w:tcPr>
            <w:tcW w:type="dxa" w:w="180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13.55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99.12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0.07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EfficientNet-B0</w:t>
            </w:r>
          </w:p>
        </w:tc>
        <w:tc>
          <w:tcPr>
            <w:tcW w:type="dxa" w:w="1944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Baseline</w:t>
            </w:r>
          </w:p>
        </w:tc>
        <w:tc>
          <w:tcPr>
            <w:tcW w:type="dxa" w:w="100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0.839</w:t>
            </w:r>
          </w:p>
        </w:tc>
        <w:tc>
          <w:tcPr>
            <w:tcW w:type="dxa" w:w="180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24.05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87.52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12.30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EfficientNet-B0</w:t>
            </w:r>
          </w:p>
        </w:tc>
        <w:tc>
          <w:tcPr>
            <w:tcW w:type="dxa" w:w="1944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BG-Suppress</w:t>
            </w:r>
          </w:p>
        </w:tc>
        <w:tc>
          <w:tcPr>
            <w:tcW w:type="dxa" w:w="100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0.985</w:t>
            </w:r>
          </w:p>
        </w:tc>
        <w:tc>
          <w:tcPr>
            <w:tcW w:type="dxa" w:w="180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12.52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99.30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0.29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ViT-S/16</w:t>
            </w:r>
          </w:p>
        </w:tc>
        <w:tc>
          <w:tcPr>
            <w:tcW w:type="dxa" w:w="1944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Baseline</w:t>
            </w:r>
          </w:p>
        </w:tc>
        <w:tc>
          <w:tcPr>
            <w:tcW w:type="dxa" w:w="100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0.602</w:t>
            </w:r>
          </w:p>
        </w:tc>
        <w:tc>
          <w:tcPr>
            <w:tcW w:type="dxa" w:w="180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27.86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86.05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13.80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ViT-S/16</w:t>
            </w:r>
          </w:p>
        </w:tc>
        <w:tc>
          <w:tcPr>
            <w:tcW w:type="dxa" w:w="1944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BG-Suppress</w:t>
            </w:r>
          </w:p>
        </w:tc>
        <w:tc>
          <w:tcPr>
            <w:tcW w:type="dxa" w:w="100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0.981</w:t>
            </w:r>
          </w:p>
        </w:tc>
        <w:tc>
          <w:tcPr>
            <w:tcW w:type="dxa" w:w="180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5.98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99.19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0.29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Reference</w:t>
            </w:r>
          </w:p>
        </w:tc>
        <w:tc>
          <w:tcPr>
            <w:tcW w:type="dxa" w:w="194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Uniform map / chance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0.517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10.00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–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–</w:t>
            </w:r>
          </w:p>
        </w:tc>
      </w:tr>
    </w:tbl>
    <w:p>
      <w:pPr>
        <w:spacing w:before="0" w:after="80" w:line="276" w:lineRule="auto"/>
        <w:jc w:val="both"/>
      </w:pPr>
    </w:p>
    <w:p>
      <w:pPr>
        <w:keepNext/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000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s-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Figure 3: Baseline vs. BG-Suppress. (a) Lesion Focus Score; (b) shortcut gap; (c) PlantDoc field accuracy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4.4 Qualitative Grad-CAM Comparison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Figure 4 shows Grad-CAM maps for the same six test images under every model. The baseline CNNs place their peak on the leaf but spread attention onto the background; the ViT-S/16 baseline often highlights background regions and image corners. After BG-Suppress, the CNN maps contract onto the leaf and the ViT-S/16 maps follow the leaf outline.</w:t>
      </w:r>
    </w:p>
    <w:p>
      <w:pPr>
        <w:keepNext/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06240" cy="49072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cam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90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Figure 4: Grad-CAM maps for six test images (top row). Rows alternate baseline and BG-Suppress for ResNet-50, EfficientNet-B0 and ViT-S/16; the number above each map is its LFS.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4.5 Field Test on PlantDoc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On 744 PlantDoc field images (Table 7), every model fell to 25–29% accuracy, only modestly above the 20.3% majority-class baseline. BG-Suppress raised field macro-F1 for all three models (by 1.0–3.3 points) and raised ViT-S/16 accuracy from 26.5% to 28.5%, but the confidence intervals overlap, so this is not a significant gain. Most field images were predicted as Early or Late blight; field photos also differ in scale, viewpoint, lighting, number of leaves and image quality, so removing background reliance addresses only one of several shifts.</w:t>
      </w:r>
    </w:p>
    <w:p>
      <w:pPr>
        <w:keepNext/>
        <w:spacing w:before="160" w:after="8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Table 7: Field performance on PlantDoc tomato (744 images, 8 classes)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val="clear" w:color="auto" w:fill="D9E7DC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Model</w:t>
            </w:r>
          </w:p>
        </w:tc>
        <w:tc>
          <w:tcPr>
            <w:tcW w:type="dxa" w:w="2304"/>
            <w:shd w:val="clear" w:color="auto" w:fill="D9E7DC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Training</w:t>
            </w:r>
          </w:p>
        </w:tc>
        <w:tc>
          <w:tcPr>
            <w:tcW w:type="dxa" w:w="1584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Accuracy (%)</w:t>
            </w:r>
          </w:p>
        </w:tc>
        <w:tc>
          <w:tcPr>
            <w:tcW w:type="dxa" w:w="1872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95% CI</w:t>
            </w:r>
          </w:p>
        </w:tc>
        <w:tc>
          <w:tcPr>
            <w:tcW w:type="dxa" w:w="1440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Macro-F1 (%)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ResNet-50</w:t>
            </w:r>
          </w:p>
        </w:tc>
        <w:tc>
          <w:tcPr>
            <w:tcW w:type="dxa" w:w="2304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Baseline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28.63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25.54–31.86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19.24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ResNet-50</w:t>
            </w:r>
          </w:p>
        </w:tc>
        <w:tc>
          <w:tcPr>
            <w:tcW w:type="dxa" w:w="2304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BG-Suppress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28.63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25.27–31.99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20.22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EfficientNet-B0</w:t>
            </w:r>
          </w:p>
        </w:tc>
        <w:tc>
          <w:tcPr>
            <w:tcW w:type="dxa" w:w="2304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Baseline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25.27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22.31–28.23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16.10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EfficientNet-B0</w:t>
            </w:r>
          </w:p>
        </w:tc>
        <w:tc>
          <w:tcPr>
            <w:tcW w:type="dxa" w:w="2304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BG-Suppress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25.81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22.72–29.17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19.41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ViT-S/16</w:t>
            </w:r>
          </w:p>
        </w:tc>
        <w:tc>
          <w:tcPr>
            <w:tcW w:type="dxa" w:w="2304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Baseline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26.48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23.39–29.70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18.68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ViT-S/16</w:t>
            </w:r>
          </w:p>
        </w:tc>
        <w:tc>
          <w:tcPr>
            <w:tcW w:type="dxa" w:w="2304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BG-Suppress</w:t>
            </w:r>
          </w:p>
        </w:tc>
        <w:tc>
          <w:tcPr>
            <w:tcW w:type="dxa" w:w="158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28.50</w:t>
            </w:r>
          </w:p>
        </w:tc>
        <w:tc>
          <w:tcPr>
            <w:tcW w:type="dxa" w:w="187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25.27–31.86</w:t>
            </w:r>
          </w:p>
        </w:tc>
        <w:tc>
          <w:tcPr>
            <w:tcW w:type="dxa" w:w="14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20.83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Reference</w:t>
            </w:r>
          </w:p>
        </w:tc>
        <w:tc>
          <w:tcPr>
            <w:tcW w:type="dxa" w:w="230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Majority class / chance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20.30 / 12.50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–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–</w:t>
            </w:r>
          </w:p>
        </w:tc>
      </w:tr>
    </w:tbl>
    <w:p>
      <w:pPr>
        <w:spacing w:before="0" w:after="80" w:line="276" w:lineRule="auto"/>
        <w:jc w:val="both"/>
      </w:pP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4.6 Comparison of the Three Architectures</w:t>
      </w:r>
    </w:p>
    <w:p>
      <w:pPr>
        <w:keepNext/>
        <w:spacing w:before="160" w:after="8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Table 8: Summary comparison of the three deep learning architectures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880"/>
            <w:shd w:val="clear" w:color="auto" w:fill="D9E7DC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Criterion</w:t>
            </w:r>
          </w:p>
        </w:tc>
        <w:tc>
          <w:tcPr>
            <w:tcW w:type="dxa" w:w="2088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ResNet-50</w:t>
            </w:r>
          </w:p>
        </w:tc>
        <w:tc>
          <w:tcPr>
            <w:tcW w:type="dxa" w:w="2088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EfficientNet-B0</w:t>
            </w:r>
          </w:p>
        </w:tc>
        <w:tc>
          <w:tcPr>
            <w:tcW w:type="dxa" w:w="2088"/>
            <w:shd w:val="clear" w:color="auto" w:fill="D9E7DC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ViT-S/16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Parameters</w:t>
            </w:r>
          </w:p>
        </w:tc>
        <w:tc>
          <w:tcPr>
            <w:tcW w:type="dxa" w:w="208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25.6M</w:t>
            </w:r>
          </w:p>
        </w:tc>
        <w:tc>
          <w:tcPr>
            <w:tcW w:type="dxa" w:w="208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5.3M (smallest)</w:t>
            </w:r>
          </w:p>
        </w:tc>
        <w:tc>
          <w:tcPr>
            <w:tcW w:type="dxa" w:w="208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22M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Lab accuracy, baseline / BG-Suppress</w:t>
            </w:r>
          </w:p>
        </w:tc>
        <w:tc>
          <w:tcPr>
            <w:tcW w:type="dxa" w:w="208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99.23 / 99.19%</w:t>
            </w:r>
          </w:p>
        </w:tc>
        <w:tc>
          <w:tcPr>
            <w:tcW w:type="dxa" w:w="208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99.82 / 99.60%</w:t>
            </w:r>
          </w:p>
        </w:tc>
        <w:tc>
          <w:tcPr>
            <w:tcW w:type="dxa" w:w="208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99.85 / 99.49%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LFS, baseline → BG-Suppress</w:t>
            </w:r>
          </w:p>
        </w:tc>
        <w:tc>
          <w:tcPr>
            <w:tcW w:type="dxa" w:w="208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0.905 → 0.994</w:t>
            </w:r>
          </w:p>
        </w:tc>
        <w:tc>
          <w:tcPr>
            <w:tcW w:type="dxa" w:w="208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0.839 → 0.985</w:t>
            </w:r>
          </w:p>
        </w:tc>
        <w:tc>
          <w:tcPr>
            <w:tcW w:type="dxa" w:w="208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0.602 → 0.981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Shortcut gap, baseline → BG-Suppress</w:t>
            </w:r>
          </w:p>
        </w:tc>
        <w:tc>
          <w:tcPr>
            <w:tcW w:type="dxa" w:w="208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3.27 → 0.07 pts</w:t>
            </w:r>
          </w:p>
        </w:tc>
        <w:tc>
          <w:tcPr>
            <w:tcW w:type="dxa" w:w="208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12.30 → 0.29 pts</w:t>
            </w:r>
          </w:p>
        </w:tc>
        <w:tc>
          <w:tcPr>
            <w:tcW w:type="dxa" w:w="208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13.80 → 0.29 pts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Field accuracy, baseline → BG-Suppress</w:t>
            </w:r>
          </w:p>
        </w:tc>
        <w:tc>
          <w:tcPr>
            <w:tcW w:type="dxa" w:w="208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28.6 → 28.6%</w:t>
            </w:r>
          </w:p>
        </w:tc>
        <w:tc>
          <w:tcPr>
            <w:tcW w:type="dxa" w:w="208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25.3 → 25.8%</w:t>
            </w:r>
          </w:p>
        </w:tc>
        <w:tc>
          <w:tcPr>
            <w:tcW w:type="dxa" w:w="208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26.5 → 28.5%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Training stability</w:t>
            </w:r>
          </w:p>
        </w:tc>
        <w:tc>
          <w:tcPr>
            <w:tcW w:type="dxa" w:w="208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Baseline diverged at epoch 14</w:t>
            </w:r>
          </w:p>
        </w:tc>
        <w:tc>
          <w:tcPr>
            <w:tcW w:type="dxa" w:w="208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Stable</w:t>
            </w:r>
          </w:p>
        </w:tc>
        <w:tc>
          <w:tcPr>
            <w:tcW w:type="dxa" w:w="208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Stable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Observation</w:t>
            </w:r>
          </w:p>
        </w:tc>
        <w:tc>
          <w:tcPr>
            <w:tcW w:type="dxa" w:w="208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Least background-reliant baseline; best field accuracy</w:t>
            </w:r>
          </w:p>
        </w:tc>
        <w:tc>
          <w:tcPr>
            <w:tcW w:type="dxa" w:w="208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Best accuracy per parameter; lowest field accuracy</w:t>
            </w:r>
          </w:p>
        </w:tc>
        <w:tc>
          <w:tcPr>
            <w:tcW w:type="dxa" w:w="208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Most background-reliant baseline; largest gain from BG-Suppress</w:t>
            </w:r>
          </w:p>
        </w:tc>
      </w:tr>
    </w:tbl>
    <w:p>
      <w:pPr>
        <w:spacing w:before="0" w:after="80" w:line="276" w:lineRule="auto"/>
        <w:jc w:val="both"/>
      </w:pP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 the laboratory the three architectures are practically indistinguishable, so accuracy alone would not separate them; the audit does. ViT-S/16, the most accurate baseline, was also the most background-reliant, so global self-attention did not protect against the shortcut. ResNet-50 was the least background-reliant baseline, and EfficientNet-B0 matched the larger models with about one fifth of ResNet-50's parameters.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4.7 Comparison with Existing Work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The laboratory accuracies (99.2–99.9%) agree with earlier PlantVillage studies [2]–[4], and the field accuracies (25–29%) agree with the collapse reported by Ho-Lam and Nguyen [6] (28.57% for MobileNetV2). Where earlier work showed background attention only qualitatively [6], [12], this project measures it with LFS, proves it with counterfactual tests in the style of Xiao et al. [10], and removes it with BG-Suppress.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4.8 Limitations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</w:t>
        <w:tab/>
        <w:t>Each configuration was trained with a single seed (42), so small differences, including the field changes, should be confirmed with repeated runs.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</w:t>
        <w:tab/>
        <w:t>LFS measures attention on the whole leaf, not on the lesion itself, because PlantVillage provides leaf masks but not lesion masks.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</w:t>
        <w:tab/>
        <w:t>The ablation separating background randomisation from the alignment loss was not completed.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</w:t>
        <w:tab/>
        <w:t>The field test uses 744 internet images, which approximate but do not fully represent systematic field acquisition.</w:t>
      </w:r>
    </w:p>
    <w:p>
      <w:pPr>
        <w:keepNext/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Conclusion and Future Work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This project audited three deep learning architectures for tomato leaf disease classification. Models with 99.2–99.9% laboratory accuracy were shown, with an attention metric and two counterfactual tests, to rely measurably on image backgrounds, with the vision transformer the most affected. The proposed BG-Suppress strategy, which combines background randomisation with a detached Grad-CAM alignment loss, raised the Lesion Focus Score to 0.98–0.99 and reduced the background-swap accuracy loss to 0.3 points or less for all three models, while laboratory accuracy changed by at most 0.37 points. Field accuracy on PlantDoc stayed between 25% and 29%, so background suppression is necessary but not sufficient for field-ready models.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Future work: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</w:t>
        <w:tab/>
        <w:t>Repeat all experiments with three or more seeds and complete the ablation study.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</w:t>
        <w:tab/>
        <w:t>Localise attention to lesions instead of whole leaves using lesion-level annotations.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</w:t>
        <w:tab/>
        <w:t>Combine BG-Suppress with field-image fine-tuning, real soil and foliage backgrounds, and stronger field-style augmentation.</w:t>
      </w:r>
    </w:p>
    <w:p>
      <w:pPr>
        <w:tabs>
          <w:tab w:pos="504" w:val="left"/>
        </w:tabs>
        <w:spacing w:before="0" w:after="60" w:line="276" w:lineRule="auto"/>
        <w:ind w:left="504" w:hanging="3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</w:t>
        <w:tab/>
        <w:t>Apply domain adaptation using unlabelled field images, and test stronger pretrained backbones.</w:t>
      </w:r>
    </w:p>
    <w:p>
      <w:pPr>
        <w:keepNext/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References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[1]</w:t>
        <w:tab/>
        <w:t>D. P. Hughes and M. Salathé, "An open access repository of images on plant health to enable the development of mobile disease diagnostics," arXiv:1511.08060, 2015.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[2]</w:t>
        <w:tab/>
        <w:t>S. P. Mohanty, D. P. Hughes, and M. Salathé, "Using deep learning for image-based plant disease detection," Front. Plant Sci., vol. 7, p. 1419, 2016.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[3]</w:t>
        <w:tab/>
        <w:t>K. P. Ferentinos, "Deep learning models for plant disease detection and diagnosis," Comput. Electron. Agric., vol. 145, pp. 311–318, 2018.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[4]</w:t>
        <w:tab/>
        <w:t>E. C. Too, L. Yujian, S. Njuki, and L. Yingchun, "A comparative study of fine-tuning deep learning models for plant disease identification," Comput. Electron. Agric., vol. 161, pp. 272–279, 2019.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[5]</w:t>
        <w:tab/>
        <w:t>D. Singh, N. Jain, P. Jain, P. Kayal, S. Kumawat, and N. Batra, "PlantDoc: A dataset for visual plant disease detection," in Proc. CoDS-COMAD, 2020, pp. 249–253.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[6]</w:t>
        <w:tab/>
        <w:t>N.-B. Ho-Lam and T.-A. Nguyen, "TinyCNN: A 193K-parameter network for on-device plant disease detection, with a cross-dataset robustness diagnosis," arXiv:2609.20290, 2026.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[7]</w:t>
        <w:tab/>
        <w:t>R. Geirhos et al., "Shortcut learning in deep neural networks," Nature Mach. Intell., vol. 2, no. 11, pp. 665–673, 2020.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[8]</w:t>
        <w:tab/>
        <w:t>M. A. Noyan, "Uncovering bias in the PlantVillage dataset," arXiv:2206.04374, 2022.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[9]</w:t>
        <w:tab/>
        <w:t>R. R. Selvaraju, M. Cogswell, A. Das, R. Vedantam, D. Parikh, and D. Batra, "Grad-CAM: Visual explanations from deep networks via gradient-based localization," in Proc. IEEE ICCV, 2017, pp. 618–626.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[10]</w:t>
        <w:tab/>
        <w:t>K. Xiao, L. Engstrom, A. Ilyas, and A. Madry, "Noise or signal: The role of image backgrounds in object recognition," in Proc. ICLR, 2021.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[11]</w:t>
        <w:tab/>
        <w:t>A. Ahmad, A. El Gamal, and D. Saraswat, "Toward generalization of deep learning-based plant disease identification under controlled and field conditions," IEEE Access, vol. 11, 2023.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[12]</w:t>
        <w:tab/>
        <w:t>A. Gökten, E. Tekeli, and H. B. Dönmez, "Explainable deep learning for plant leaf diseases: A comparative study of Grad CAM," J. Agric. Sci. (Tarım Bilimleri Dergisi), 2026.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[13]</w:t>
        <w:tab/>
        <w:t>J. Amara, B. König-Ries, and S. Samuel, "Concept explainability for plant diseases classification," in Proc. VISAPP, 2023.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[14]</w:t>
        <w:tab/>
        <w:t>J. Amara, B. König-Ries, and S. Samuel, "Explainability of deep learning-based plant disease classifiers through automated concept identification," arXiv:2412.07408, 2024.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[15]</w:t>
        <w:tab/>
        <w:t>H. Wang et al., "Score-CAM: Score-weighted visual explanations for convolutional neural networks," in Proc. IEEE/CVF CVPR Workshops, 2020.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[16]</w:t>
        <w:tab/>
        <w:t>S. H. Lee, H. Goëau, P. Bonnet, and A. Joly, "Attention-based recurrent neural network for plant disease classification," Front. Plant Sci., vol. 11, 601250, 2020.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[17]</w:t>
        <w:tab/>
        <w:t>A. S. Ross, M. C. Hughes, and F. Doshi-Velez, "Right for the right reasons: Training differentiable models by constraining their explanations," in Proc. IJCAI, 2017, pp. 2662–2670.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[18]</w:t>
        <w:tab/>
        <w:t>K. Li, Z. Wu, K.-C. Peng, J. Ernst, and Y. Fu, "Tell me where to look: Guided attention inference network," in Proc. IEEE CVPR, 2018, pp. 9215–9223.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[19]</w:t>
        <w:tab/>
        <w:t>J. Heo, V. Piratla, M. Wicker, and A. Weller, "Use perturbations when learning from explanations," arXiv:2303.06419, 2023.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[20]</w:t>
        <w:tab/>
        <w:t>Y. Ferdi, "Data augmentation through background removal for apple leaf disease classification using the MobileNetV2 model," arXiv:2412.01854, 2024.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[21]</w:t>
        <w:tab/>
        <w:t>K. He, X. Zhang, S. Ren, and J. Sun, "Deep residual learning for image recognition," in Proc. IEEE CVPR, 2016, pp. 770–778.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[22]</w:t>
        <w:tab/>
        <w:t>M. Tan and Q. Le, "EfficientNet: Rethinking model scaling for convolutional neural networks," in Proc. ICML, 2019, pp. 6105–6114.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[23]</w:t>
        <w:tab/>
        <w:t>A. Dosovitskiy et al., "An image is worth 16x16 words: Transformers for image recognition at scale," in Proc. ICLR, 2021.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[24]</w:t>
        <w:tab/>
        <w:t>A. Paszke et al., "PyTorch: An imperative style, high-performance deep learning library," in Adv. Neural Inf. Process. Syst., vol. 32, 2019.</w:t>
      </w:r>
    </w:p>
    <w:p>
      <w:pPr>
        <w:tabs>
          <w:tab w:pos="648" w:val="left"/>
        </w:tabs>
        <w:spacing w:before="0" w:after="60" w:line="240" w:lineRule="auto"/>
        <w:ind w:left="648" w:hanging="64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[25]</w:t>
        <w:tab/>
        <w:t>I. Loshchilov and F. Hutter, "Decoupled weight decay regularization," in Proc. ICLR, 2019.</w:t>
      </w:r>
    </w:p>
    <w:sectPr w:rsidR="001F1EFD" w:rsidRPr="001F1EFD" w:rsidSect="0022789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EB1F2A"/>
    <w:multiLevelType w:val="hybridMultilevel"/>
    <w:tmpl w:val="75D4B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189"/>
    <w:rsid w:val="001F1EFD"/>
    <w:rsid w:val="0022789D"/>
    <w:rsid w:val="005857F8"/>
    <w:rsid w:val="008B3084"/>
    <w:rsid w:val="00D711A1"/>
    <w:rsid w:val="00DE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9CDCBC-5F73-461D-AF74-FAD4811B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1"/>
    <w:qFormat/>
    <w:rsid w:val="005857F8"/>
    <w:pPr>
      <w:widowControl w:val="0"/>
      <w:autoSpaceDE w:val="0"/>
      <w:autoSpaceDN w:val="0"/>
      <w:spacing w:after="0" w:line="240" w:lineRule="auto"/>
      <w:ind w:left="488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  <w:lang w:bidi="ar-SA"/>
    </w:rPr>
  </w:style>
  <w:style w:type="paragraph" w:styleId="Heading2">
    <w:name w:val="heading 2"/>
    <w:basedOn w:val="Normal"/>
    <w:link w:val="Heading2Char"/>
    <w:uiPriority w:val="1"/>
    <w:qFormat/>
    <w:rsid w:val="005857F8"/>
    <w:pPr>
      <w:widowControl w:val="0"/>
      <w:autoSpaceDE w:val="0"/>
      <w:autoSpaceDN w:val="0"/>
      <w:spacing w:after="0" w:line="240" w:lineRule="auto"/>
      <w:ind w:left="488" w:right="224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EF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5857F8"/>
    <w:rPr>
      <w:rFonts w:ascii="Times New Roman" w:eastAsia="Times New Roman" w:hAnsi="Times New Roman" w:cs="Times New Roman"/>
      <w:b/>
      <w:bCs/>
      <w:sz w:val="32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1"/>
    <w:rsid w:val="005857F8"/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paragraph" w:styleId="BodyText">
    <w:name w:val="Body Text"/>
    <w:basedOn w:val="Normal"/>
    <w:link w:val="BodyTextChar"/>
    <w:uiPriority w:val="1"/>
    <w:qFormat/>
    <w:rsid w:val="005857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5857F8"/>
    <w:rPr>
      <w:rFonts w:ascii="Times New Roman" w:eastAsia="Times New Roman" w:hAnsi="Times New Roman" w:cs="Times New Roman"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2025-10-09T07:16:00Z</dcterms:created>
  <dcterms:modified xsi:type="dcterms:W3CDTF">2025-10-09T07:32:00Z</dcterms:modified>
</cp:coreProperties>
</file>