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t xml:space="preserve"/>
      </w:r>
    </w:p>
    <w:p>
      <w:pPr>
        <w:spacing w:after="200"/>
      </w:pPr>
      <w:r>
        <w:t xml:space="preserve"/>
      </w:r>
    </w:p>
    <w:p>
      <w:pPr>
        <w:spacing w:after="200"/>
        <w:jc w:val="center"/>
      </w:pPr>
      <w:r>
        <w:rPr>
          <w:rFonts w:ascii="Arial" w:cs="Arial" w:eastAsia="Arial" w:hAnsi="Arial"/>
          <w:b/>
          <w:bCs/>
          <w:color w:val="0B2A4A"/>
          <w:sz w:val="32"/>
          <w:szCs w:val="32"/>
        </w:rPr>
        <w:t xml:space="preserve">STANDAR OPERASIONAL PROSEDUR</w:t>
      </w:r>
    </w:p>
    <w:p>
      <w:pPr>
        <w:spacing w:after="600"/>
        <w:jc w:val="center"/>
      </w:pPr>
      <w:r>
        <w:rPr>
          <w:rFonts w:ascii="Arial" w:cs="Arial" w:eastAsia="Arial" w:hAnsi="Arial"/>
          <w:b/>
          <w:bCs/>
          <w:color w:val="0B2A4A"/>
          <w:sz w:val="28"/>
          <w:szCs w:val="28"/>
        </w:rPr>
        <w:t xml:space="preserve">(SOP)</w:t>
      </w:r>
    </w:p>
    <w:p>
      <w:pPr>
        <w:spacing w:after="120"/>
        <w:jc w:val="center"/>
      </w:pPr>
      <w:r>
        <w:rPr>
          <w:rFonts w:ascii="Arial" w:cs="Arial" w:eastAsia="Arial" w:hAnsi="Arial"/>
          <w:b/>
          <w:bCs/>
          <w:color w:val="0B2A4A"/>
          <w:sz w:val="40"/>
          <w:szCs w:val="40"/>
        </w:rPr>
        <w:t xml:space="preserve">PERMOHONAN PENGALIHAN DOMAIN JURNAL</w:t>
      </w:r>
    </w:p>
    <w:p>
      <w:pPr>
        <w:spacing w:after="200"/>
        <w:jc w:val="center"/>
      </w:pPr>
      <w:r>
        <w:rPr>
          <w:rFonts w:ascii="Arial" w:cs="Arial" w:eastAsia="Arial" w:hAnsi="Arial"/>
          <w:b/>
          <w:bCs/>
          <w:color w:val="0B2A4A"/>
          <w:sz w:val="36"/>
          <w:szCs w:val="36"/>
        </w:rPr>
        <w:t xml:space="preserve">KE DOMAIN UNSOED.AC.ID</w:t>
      </w:r>
    </w:p>
    <w:p>
      <w:pPr>
        <w:spacing w:after="800"/>
        <w:jc w:val="center"/>
      </w:pPr>
      <w:r>
        <w:rPr>
          <w:rFonts w:ascii="Arial" w:cs="Arial" w:eastAsia="Arial" w:hAnsi="Arial"/>
          <w:b/>
          <w:bCs/>
          <w:color w:val="B8860B"/>
          <w:sz w:val="24"/>
          <w:szCs w:val="24"/>
        </w:rPr>
        <w:t xml:space="preserve">DI LINGKUNGAN UNIVERSITAS JENDERAL SOEDIRMAN</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BFBFBF" w:sz="4"/>
              <w:left w:val="single" w:color="BFBFBF" w:sz="4"/>
              <w:bottom w:val="single" w:color="BFBFBF" w:sz="4"/>
              <w:right w:val="single" w:color="BFBFBF" w:sz="4"/>
            </w:tcBorders>
            <w:shd w:fill="0B2A4A" w:val="clear"/>
            <w:tcMar>
              <w:top w:type="dxa" w:w="100"/>
              <w:left w:type="dxa" w:w="140"/>
              <w:bottom w:type="dxa" w:w="100"/>
              <w:right w:type="dxa" w:w="140"/>
            </w:tcMar>
            <w:vAlign w:val="center"/>
          </w:tcPr>
          <w:p>
            <w:pPr>
              <w:spacing w:after="0" w:line="264"/>
              <w:jc w:val="center"/>
            </w:pPr>
            <w:r>
              <w:rPr>
                <w:rFonts w:ascii="Arial" w:cs="Arial" w:eastAsia="Arial" w:hAnsi="Arial"/>
                <w:b/>
                <w:bCs/>
                <w:color w:val="FFFFFF"/>
                <w:sz w:val="22"/>
                <w:szCs w:val="22"/>
              </w:rPr>
              <w:t xml:space="preserve">Nomor Dokumen</w:t>
            </w:r>
          </w:p>
        </w:tc>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64"/>
              <w:jc w:val="center"/>
            </w:pPr>
            <w:r>
              <w:rPr>
                <w:rFonts w:ascii="Arial" w:cs="Arial" w:eastAsia="Arial" w:hAnsi="Arial"/>
                <w:b/>
                <w:bCs/>
                <w:sz w:val="22"/>
                <w:szCs w:val="22"/>
              </w:rPr>
              <w:t xml:space="preserve">SOP/PPJ-LPPM/02/2026</w:t>
            </w:r>
          </w:p>
        </w:tc>
      </w:tr>
      <w:tr>
        <w:tc>
          <w:tcPr>
            <w:tcW w:type="dxa" w:w="2400"/>
            <w:tcBorders>
              <w:top w:val="single" w:color="BFBFBF" w:sz="4"/>
              <w:left w:val="single" w:color="BFBFBF" w:sz="4"/>
              <w:bottom w:val="single" w:color="BFBFBF" w:sz="4"/>
              <w:right w:val="single" w:color="BFBFBF" w:sz="4"/>
            </w:tcBorders>
            <w:shd w:fill="0B2A4A" w:val="clear"/>
            <w:tcMar>
              <w:top w:type="dxa" w:w="100"/>
              <w:left w:type="dxa" w:w="140"/>
              <w:bottom w:type="dxa" w:w="100"/>
              <w:right w:type="dxa" w:w="140"/>
            </w:tcMar>
            <w:vAlign w:val="center"/>
          </w:tcPr>
          <w:p>
            <w:pPr>
              <w:spacing w:after="0" w:line="264"/>
              <w:jc w:val="center"/>
            </w:pPr>
            <w:r>
              <w:rPr>
                <w:rFonts w:ascii="Arial" w:cs="Arial" w:eastAsia="Arial" w:hAnsi="Arial"/>
                <w:b/>
                <w:bCs/>
                <w:color w:val="FFFFFF"/>
                <w:sz w:val="22"/>
                <w:szCs w:val="22"/>
              </w:rPr>
              <w:t xml:space="preserve">Revisi</w:t>
            </w:r>
          </w:p>
        </w:tc>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64"/>
              <w:jc w:val="center"/>
            </w:pPr>
            <w:r>
              <w:rPr>
                <w:rFonts w:ascii="Arial" w:cs="Arial" w:eastAsia="Arial" w:hAnsi="Arial"/>
                <w:sz w:val="22"/>
                <w:szCs w:val="22"/>
              </w:rPr>
              <w:t xml:space="preserve">00</w:t>
            </w:r>
          </w:p>
        </w:tc>
      </w:tr>
      <w:tr>
        <w:tc>
          <w:tcPr>
            <w:tcW w:type="dxa" w:w="2400"/>
            <w:tcBorders>
              <w:top w:val="single" w:color="BFBFBF" w:sz="4"/>
              <w:left w:val="single" w:color="BFBFBF" w:sz="4"/>
              <w:bottom w:val="single" w:color="BFBFBF" w:sz="4"/>
              <w:right w:val="single" w:color="BFBFBF" w:sz="4"/>
            </w:tcBorders>
            <w:shd w:fill="0B2A4A" w:val="clear"/>
            <w:tcMar>
              <w:top w:type="dxa" w:w="100"/>
              <w:left w:type="dxa" w:w="140"/>
              <w:bottom w:type="dxa" w:w="100"/>
              <w:right w:type="dxa" w:w="140"/>
            </w:tcMar>
            <w:vAlign w:val="center"/>
          </w:tcPr>
          <w:p>
            <w:pPr>
              <w:spacing w:after="0" w:line="264"/>
              <w:jc w:val="center"/>
            </w:pPr>
            <w:r>
              <w:rPr>
                <w:rFonts w:ascii="Arial" w:cs="Arial" w:eastAsia="Arial" w:hAnsi="Arial"/>
                <w:b/>
                <w:bCs/>
                <w:color w:val="FFFFFF"/>
                <w:sz w:val="22"/>
                <w:szCs w:val="22"/>
              </w:rPr>
              <w:t xml:space="preserve">Tanggal Terbit</w:t>
            </w:r>
          </w:p>
        </w:tc>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64"/>
              <w:jc w:val="center"/>
            </w:pPr>
            <w:r>
              <w:rPr>
                <w:rFonts w:ascii="Arial" w:cs="Arial" w:eastAsia="Arial" w:hAnsi="Arial"/>
                <w:sz w:val="22"/>
                <w:szCs w:val="22"/>
              </w:rPr>
              <w:t xml:space="preserve">Juni 2026</w:t>
            </w:r>
          </w:p>
        </w:tc>
      </w:tr>
    </w:tbl>
    <w:p>
      <w:pPr>
        <w:spacing w:after="400"/>
      </w:pPr>
      <w:r>
        <w:t xml:space="preserve"/>
      </w:r>
    </w:p>
    <w:p>
      <w:pPr>
        <w:spacing w:after="400"/>
      </w:pPr>
      <w:r>
        <w:t xml:space="preserve"/>
      </w:r>
    </w:p>
    <w:p>
      <w:pPr>
        <w:spacing w:after="400"/>
      </w:pPr>
      <w:r>
        <w:t xml:space="preserve"/>
      </w:r>
    </w:p>
    <w:p>
      <w:pPr>
        <w:spacing w:after="120"/>
        <w:jc w:val="center"/>
      </w:pPr>
      <w:r>
        <w:rPr>
          <w:rFonts w:ascii="Arial" w:cs="Arial" w:eastAsia="Arial" w:hAnsi="Arial"/>
          <w:b/>
          <w:bCs/>
          <w:color w:val="0B2A4A"/>
          <w:sz w:val="28"/>
          <w:szCs w:val="28"/>
        </w:rPr>
        <w:t xml:space="preserve">PUSAT PENGELOLAAN JURNAL</w:t>
      </w:r>
    </w:p>
    <w:p>
      <w:pPr>
        <w:spacing w:after="120"/>
        <w:jc w:val="center"/>
      </w:pPr>
      <w:r>
        <w:rPr>
          <w:rFonts w:ascii="Arial" w:cs="Arial" w:eastAsia="Arial" w:hAnsi="Arial"/>
          <w:b/>
          <w:bCs/>
          <w:color w:val="0B2A4A"/>
          <w:sz w:val="22"/>
          <w:szCs w:val="22"/>
        </w:rPr>
        <w:t xml:space="preserve">LEMBAGA PENELITIAN DAN PENGABDIAN KEPADA MASYARAKAT</w:t>
      </w:r>
    </w:p>
    <w:p>
      <w:pPr>
        <w:spacing w:after="120"/>
        <w:jc w:val="center"/>
      </w:pPr>
      <w:r>
        <w:rPr>
          <w:rFonts w:ascii="Arial" w:cs="Arial" w:eastAsia="Arial" w:hAnsi="Arial"/>
          <w:b/>
          <w:bCs/>
          <w:color w:val="0B2A4A"/>
          <w:sz w:val="24"/>
          <w:szCs w:val="24"/>
        </w:rPr>
        <w:t xml:space="preserve">UNIVERSITAS JENDERAL SOEDIRMAN</w:t>
      </w:r>
    </w:p>
    <w:p>
      <w:pPr>
        <w:spacing w:after="0"/>
        <w:jc w:val="center"/>
      </w:pPr>
      <w:r>
        <w:rPr>
          <w:rFonts w:ascii="Arial" w:cs="Arial" w:eastAsia="Arial" w:hAnsi="Arial"/>
          <w:b/>
          <w:bCs/>
          <w:color w:val="0B2A4A"/>
          <w:sz w:val="22"/>
          <w:szCs w:val="22"/>
        </w:rPr>
        <w:t xml:space="preserve">2026</w:t>
      </w:r>
    </w:p>
    <w:p>
      <w:pPr>
        <w:pageBreakBefore/>
        <w:spacing w:after="400"/>
        <w:jc w:val="center"/>
      </w:pPr>
      <w:r>
        <w:rPr>
          <w:rFonts w:ascii="Arial" w:cs="Arial" w:eastAsia="Arial" w:hAnsi="Arial"/>
          <w:b/>
          <w:bCs/>
          <w:color w:val="0B2A4A"/>
          <w:sz w:val="32"/>
          <w:szCs w:val="32"/>
        </w:rPr>
        <w:t xml:space="preserve">IDENTITAS DOKUMEN</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2800"/>
        <w:gridCol w:w="5137"/>
      </w:tblGrid>
      <w:tr>
        <w:tc>
          <w:tcPr>
            <w:tcW w:type="dxa" w:w="2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64"/>
              <w:jc w:val="left"/>
            </w:pPr>
            <w:r>
              <w:rPr>
                <w:rFonts w:ascii="Arial" w:cs="Arial" w:eastAsia="Arial" w:hAnsi="Arial"/>
                <w:b/>
                <w:bCs/>
                <w:sz w:val="22"/>
                <w:szCs w:val="22"/>
              </w:rPr>
              <w:t xml:space="preserve">Judul Dokumen</w:t>
            </w:r>
          </w:p>
        </w:tc>
        <w:tc>
          <w:tcPr>
            <w:tcW w:type="dxa" w:w="5137"/>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64"/>
              <w:jc w:val="left"/>
            </w:pPr>
            <w:r>
              <w:rPr>
                <w:rFonts w:ascii="Arial" w:cs="Arial" w:eastAsia="Arial" w:hAnsi="Arial"/>
                <w:sz w:val="22"/>
                <w:szCs w:val="22"/>
              </w:rPr>
              <w:t xml:space="preserve">Standar Operasional Prosedur Permohonan Pengalihan Domain Jurnal ke Domain Unsoed.ac.id di Lingkungan Universitas Jenderal Soedirman</w:t>
            </w:r>
          </w:p>
        </w:tc>
      </w:tr>
      <w:tr>
        <w:tc>
          <w:tcPr>
            <w:tcW w:type="dxa" w:w="2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64"/>
              <w:jc w:val="left"/>
            </w:pPr>
            <w:r>
              <w:rPr>
                <w:rFonts w:ascii="Arial" w:cs="Arial" w:eastAsia="Arial" w:hAnsi="Arial"/>
                <w:b/>
                <w:bCs/>
                <w:sz w:val="22"/>
                <w:szCs w:val="22"/>
              </w:rPr>
              <w:t xml:space="preserve">Nomor Dokumen</w:t>
            </w:r>
          </w:p>
        </w:tc>
        <w:tc>
          <w:tcPr>
            <w:tcW w:type="dxa" w:w="5137"/>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64"/>
              <w:jc w:val="left"/>
            </w:pPr>
            <w:r>
              <w:rPr>
                <w:rFonts w:ascii="Arial" w:cs="Arial" w:eastAsia="Arial" w:hAnsi="Arial"/>
                <w:sz w:val="22"/>
                <w:szCs w:val="22"/>
              </w:rPr>
              <w:t xml:space="preserve">SOP/PPJ-LPPM/02/2026</w:t>
            </w:r>
          </w:p>
        </w:tc>
      </w:tr>
      <w:tr>
        <w:tc>
          <w:tcPr>
            <w:tcW w:type="dxa" w:w="2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64"/>
              <w:jc w:val="left"/>
            </w:pPr>
            <w:r>
              <w:rPr>
                <w:rFonts w:ascii="Arial" w:cs="Arial" w:eastAsia="Arial" w:hAnsi="Arial"/>
                <w:b/>
                <w:bCs/>
                <w:sz w:val="22"/>
                <w:szCs w:val="22"/>
              </w:rPr>
              <w:t xml:space="preserve">Tanggal Terbit</w:t>
            </w:r>
          </w:p>
        </w:tc>
        <w:tc>
          <w:tcPr>
            <w:tcW w:type="dxa" w:w="5137"/>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64"/>
              <w:jc w:val="left"/>
            </w:pPr>
            <w:r>
              <w:rPr>
                <w:rFonts w:ascii="Arial" w:cs="Arial" w:eastAsia="Arial" w:hAnsi="Arial"/>
                <w:sz w:val="22"/>
                <w:szCs w:val="22"/>
              </w:rPr>
              <w:t xml:space="preserve">Juni 2026</w:t>
            </w:r>
          </w:p>
        </w:tc>
      </w:tr>
      <w:tr>
        <w:tc>
          <w:tcPr>
            <w:tcW w:type="dxa" w:w="2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64"/>
              <w:jc w:val="left"/>
            </w:pPr>
            <w:r>
              <w:rPr>
                <w:rFonts w:ascii="Arial" w:cs="Arial" w:eastAsia="Arial" w:hAnsi="Arial"/>
                <w:b/>
                <w:bCs/>
                <w:sz w:val="22"/>
                <w:szCs w:val="22"/>
              </w:rPr>
              <w:t xml:space="preserve">Revisi</w:t>
            </w:r>
          </w:p>
        </w:tc>
        <w:tc>
          <w:tcPr>
            <w:tcW w:type="dxa" w:w="5137"/>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64"/>
              <w:jc w:val="left"/>
            </w:pPr>
            <w:r>
              <w:rPr>
                <w:rFonts w:ascii="Arial" w:cs="Arial" w:eastAsia="Arial" w:hAnsi="Arial"/>
                <w:sz w:val="22"/>
                <w:szCs w:val="22"/>
              </w:rPr>
              <w:t xml:space="preserve">00</w:t>
            </w:r>
          </w:p>
        </w:tc>
      </w:tr>
      <w:tr>
        <w:tc>
          <w:tcPr>
            <w:tcW w:type="dxa" w:w="2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64"/>
              <w:jc w:val="left"/>
            </w:pPr>
            <w:r>
              <w:rPr>
                <w:rFonts w:ascii="Arial" w:cs="Arial" w:eastAsia="Arial" w:hAnsi="Arial"/>
                <w:b/>
                <w:bCs/>
                <w:sz w:val="22"/>
                <w:szCs w:val="22"/>
              </w:rPr>
              <w:t xml:space="preserve">Jumlah Halaman</w:t>
            </w:r>
          </w:p>
        </w:tc>
        <w:tc>
          <w:tcPr>
            <w:tcW w:type="dxa" w:w="5137"/>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64"/>
              <w:jc w:val="left"/>
            </w:pPr>
            <w:r>
              <w:rPr>
                <w:rFonts w:ascii="Arial" w:cs="Arial" w:eastAsia="Arial" w:hAnsi="Arial"/>
                <w:sz w:val="22"/>
                <w:szCs w:val="22"/>
              </w:rPr>
              <w:t xml:space="preserve">—</w:t>
            </w:r>
          </w:p>
        </w:tc>
      </w:tr>
      <w:tr>
        <w:tc>
          <w:tcPr>
            <w:tcW w:type="dxa" w:w="2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64"/>
              <w:jc w:val="left"/>
            </w:pPr>
            <w:r>
              <w:rPr>
                <w:rFonts w:ascii="Arial" w:cs="Arial" w:eastAsia="Arial" w:hAnsi="Arial"/>
                <w:b/>
                <w:bCs/>
                <w:sz w:val="22"/>
                <w:szCs w:val="22"/>
              </w:rPr>
              <w:t xml:space="preserve">Disusun Oleh</w:t>
            </w:r>
          </w:p>
        </w:tc>
        <w:tc>
          <w:tcPr>
            <w:tcW w:type="dxa" w:w="5137"/>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64"/>
              <w:jc w:val="left"/>
            </w:pPr>
            <w:r>
              <w:rPr>
                <w:rFonts w:ascii="Arial" w:cs="Arial" w:eastAsia="Arial" w:hAnsi="Arial"/>
                <w:sz w:val="22"/>
                <w:szCs w:val="22"/>
              </w:rPr>
              <w:t xml:space="preserve">Tim Penyusun, Pusat Pengelolaan Jurnal LPPM Unsoed</w:t>
            </w:r>
          </w:p>
        </w:tc>
      </w:tr>
      <w:tr>
        <w:tc>
          <w:tcPr>
            <w:tcW w:type="dxa" w:w="2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64"/>
              <w:jc w:val="left"/>
            </w:pPr>
            <w:r>
              <w:rPr>
                <w:rFonts w:ascii="Arial" w:cs="Arial" w:eastAsia="Arial" w:hAnsi="Arial"/>
                <w:b/>
                <w:bCs/>
                <w:sz w:val="22"/>
                <w:szCs w:val="22"/>
              </w:rPr>
              <w:t xml:space="preserve">Diperiksa Oleh</w:t>
            </w:r>
          </w:p>
        </w:tc>
        <w:tc>
          <w:tcPr>
            <w:tcW w:type="dxa" w:w="5137"/>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64"/>
              <w:jc w:val="left"/>
            </w:pPr>
            <w:r>
              <w:rPr>
                <w:rFonts w:ascii="Arial" w:cs="Arial" w:eastAsia="Arial" w:hAnsi="Arial"/>
                <w:sz w:val="22"/>
                <w:szCs w:val="22"/>
              </w:rPr>
              <w:t xml:space="preserve">Sekretaris LPPM Universitas Jenderal Soedirman</w:t>
            </w:r>
          </w:p>
        </w:tc>
      </w:tr>
      <w:tr>
        <w:tc>
          <w:tcPr>
            <w:tcW w:type="dxa" w:w="2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64"/>
              <w:jc w:val="left"/>
            </w:pPr>
            <w:r>
              <w:rPr>
                <w:rFonts w:ascii="Arial" w:cs="Arial" w:eastAsia="Arial" w:hAnsi="Arial"/>
                <w:b/>
                <w:bCs/>
                <w:sz w:val="22"/>
                <w:szCs w:val="22"/>
              </w:rPr>
              <w:t xml:space="preserve">Disahkan Oleh</w:t>
            </w:r>
          </w:p>
        </w:tc>
        <w:tc>
          <w:tcPr>
            <w:tcW w:type="dxa" w:w="5137"/>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64"/>
              <w:jc w:val="left"/>
            </w:pPr>
            <w:r>
              <w:rPr>
                <w:rFonts w:ascii="Arial" w:cs="Arial" w:eastAsia="Arial" w:hAnsi="Arial"/>
                <w:sz w:val="22"/>
                <w:szCs w:val="22"/>
              </w:rPr>
              <w:t xml:space="preserve">Ketua LPPM Universitas Jenderal Soedirman</w:t>
            </w:r>
          </w:p>
        </w:tc>
      </w:tr>
      <w:tr>
        <w:tc>
          <w:tcPr>
            <w:tcW w:type="dxa" w:w="2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64"/>
              <w:jc w:val="left"/>
            </w:pPr>
            <w:r>
              <w:rPr>
                <w:rFonts w:ascii="Arial" w:cs="Arial" w:eastAsia="Arial" w:hAnsi="Arial"/>
                <w:b/>
                <w:bCs/>
                <w:sz w:val="22"/>
                <w:szCs w:val="22"/>
              </w:rPr>
              <w:t xml:space="preserve">Unit Pengguna</w:t>
            </w:r>
          </w:p>
        </w:tc>
        <w:tc>
          <w:tcPr>
            <w:tcW w:type="dxa" w:w="5137"/>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64"/>
              <w:jc w:val="left"/>
            </w:pPr>
            <w:r>
              <w:rPr>
                <w:rFonts w:ascii="Arial" w:cs="Arial" w:eastAsia="Arial" w:hAnsi="Arial"/>
                <w:sz w:val="22"/>
                <w:szCs w:val="22"/>
              </w:rPr>
              <w:t xml:space="preserve">Pengelola jurnal di lingkungan Universitas Jenderal Soedirman yang domainnya belum menggunakan unsoed.ac.id</w:t>
            </w:r>
          </w:p>
        </w:tc>
      </w:tr>
      <w:tr>
        <w:tc>
          <w:tcPr>
            <w:tcW w:type="dxa" w:w="2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64"/>
              <w:jc w:val="left"/>
            </w:pPr>
            <w:r>
              <w:rPr>
                <w:rFonts w:ascii="Arial" w:cs="Arial" w:eastAsia="Arial" w:hAnsi="Arial"/>
                <w:b/>
                <w:bCs/>
                <w:sz w:val="22"/>
                <w:szCs w:val="22"/>
              </w:rPr>
              <w:t xml:space="preserve">Unit Pengelola</w:t>
            </w:r>
          </w:p>
        </w:tc>
        <w:tc>
          <w:tcPr>
            <w:tcW w:type="dxa" w:w="5137"/>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64"/>
              <w:jc w:val="left"/>
            </w:pPr>
            <w:r>
              <w:rPr>
                <w:rFonts w:ascii="Arial" w:cs="Arial" w:eastAsia="Arial" w:hAnsi="Arial"/>
                <w:sz w:val="22"/>
                <w:szCs w:val="22"/>
              </w:rPr>
              <w:t xml:space="preserve">Pusat Pengelolaan Jurnal, LPPM Universitas Jenderal Soedirman</w:t>
            </w:r>
          </w:p>
        </w:tc>
      </w:tr>
      <w:tr>
        <w:tc>
          <w:tcPr>
            <w:tcW w:type="dxa" w:w="2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64"/>
              <w:jc w:val="left"/>
            </w:pPr>
            <w:r>
              <w:rPr>
                <w:rFonts w:ascii="Arial" w:cs="Arial" w:eastAsia="Arial" w:hAnsi="Arial"/>
                <w:b/>
                <w:bCs/>
                <w:sz w:val="22"/>
                <w:szCs w:val="22"/>
              </w:rPr>
              <w:t xml:space="preserve">Sistem Pendukung</w:t>
            </w:r>
          </w:p>
        </w:tc>
        <w:tc>
          <w:tcPr>
            <w:tcW w:type="dxa" w:w="5137"/>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64"/>
              <w:jc w:val="left"/>
            </w:pPr>
            <w:r>
              <w:rPr>
                <w:rFonts w:ascii="Arial" w:cs="Arial" w:eastAsia="Arial" w:hAnsi="Arial"/>
                <w:sz w:val="22"/>
                <w:szCs w:val="22"/>
              </w:rPr>
              <w:t xml:space="preserve">SIMONJU — Sistem Informasi Monitoring Jurnal (ppj.jurnalsinta.id)</w:t>
            </w:r>
          </w:p>
        </w:tc>
      </w:tr>
    </w:tbl>
    <w:p>
      <w:pPr>
        <w:spacing w:after="400"/>
      </w:pPr>
      <w:r>
        <w:t xml:space="preserve"/>
      </w:r>
    </w:p>
    <w:p>
      <w:pPr>
        <w:spacing w:after="200"/>
      </w:pPr>
      <w:r>
        <w:rPr>
          <w:rFonts w:ascii="Arial" w:cs="Arial" w:eastAsia="Arial" w:hAnsi="Arial"/>
          <w:b/>
          <w:bCs/>
          <w:color w:val="0B2A4A"/>
          <w:sz w:val="24"/>
          <w:szCs w:val="24"/>
        </w:rPr>
        <w:t xml:space="preserve">Tabel Riwayat Revisi</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3137"/>
        <w:gridCol w:w="2500"/>
      </w:tblGrid>
      <w:tr>
        <w:trPr>
          <w:tblHeader/>
        </w:trPr>
        <w:tc>
          <w:tcPr>
            <w:tcW w:type="dxa" w:w="900"/>
            <w:tcBorders>
              <w:top w:val="single" w:color="BFBFBF" w:sz="4"/>
              <w:left w:val="single" w:color="BFBFBF" w:sz="4"/>
              <w:bottom w:val="single" w:color="BFBFBF" w:sz="4"/>
              <w:right w:val="single" w:color="BFBFBF" w:sz="4"/>
            </w:tcBorders>
            <w:shd w:fill="0B2A4A" w:val="clear"/>
            <w:tcMar>
              <w:top w:type="dxa" w:w="100"/>
              <w:left w:type="dxa" w:w="140"/>
              <w:bottom w:type="dxa" w:w="100"/>
              <w:right w:type="dxa" w:w="140"/>
            </w:tcMar>
            <w:vAlign w:val="center"/>
          </w:tcPr>
          <w:p>
            <w:pPr>
              <w:spacing w:after="0" w:line="264"/>
              <w:jc w:val="center"/>
            </w:pPr>
            <w:r>
              <w:rPr>
                <w:rFonts w:ascii="Arial" w:cs="Arial" w:eastAsia="Arial" w:hAnsi="Arial"/>
                <w:b/>
                <w:bCs/>
                <w:color w:val="FFFFFF"/>
                <w:sz w:val="22"/>
                <w:szCs w:val="22"/>
              </w:rPr>
              <w:t xml:space="preserve">No.</w:t>
            </w:r>
          </w:p>
        </w:tc>
        <w:tc>
          <w:tcPr>
            <w:tcW w:type="dxa" w:w="1400"/>
            <w:tcBorders>
              <w:top w:val="single" w:color="BFBFBF" w:sz="4"/>
              <w:left w:val="single" w:color="BFBFBF" w:sz="4"/>
              <w:bottom w:val="single" w:color="BFBFBF" w:sz="4"/>
              <w:right w:val="single" w:color="BFBFBF" w:sz="4"/>
            </w:tcBorders>
            <w:shd w:fill="0B2A4A" w:val="clear"/>
            <w:tcMar>
              <w:top w:type="dxa" w:w="100"/>
              <w:left w:type="dxa" w:w="140"/>
              <w:bottom w:type="dxa" w:w="100"/>
              <w:right w:type="dxa" w:w="140"/>
            </w:tcMar>
            <w:vAlign w:val="center"/>
          </w:tcPr>
          <w:p>
            <w:pPr>
              <w:spacing w:after="0" w:line="264"/>
              <w:jc w:val="center"/>
            </w:pPr>
            <w:r>
              <w:rPr>
                <w:rFonts w:ascii="Arial" w:cs="Arial" w:eastAsia="Arial" w:hAnsi="Arial"/>
                <w:b/>
                <w:bCs/>
                <w:color w:val="FFFFFF"/>
                <w:sz w:val="22"/>
                <w:szCs w:val="22"/>
              </w:rPr>
              <w:t xml:space="preserve">Revisi</w:t>
            </w:r>
          </w:p>
        </w:tc>
        <w:tc>
          <w:tcPr>
            <w:tcW w:type="dxa" w:w="3137"/>
            <w:tcBorders>
              <w:top w:val="single" w:color="BFBFBF" w:sz="4"/>
              <w:left w:val="single" w:color="BFBFBF" w:sz="4"/>
              <w:bottom w:val="single" w:color="BFBFBF" w:sz="4"/>
              <w:right w:val="single" w:color="BFBFBF" w:sz="4"/>
            </w:tcBorders>
            <w:shd w:fill="0B2A4A" w:val="clear"/>
            <w:tcMar>
              <w:top w:type="dxa" w:w="100"/>
              <w:left w:type="dxa" w:w="140"/>
              <w:bottom w:type="dxa" w:w="100"/>
              <w:right w:type="dxa" w:w="140"/>
            </w:tcMar>
            <w:vAlign w:val="center"/>
          </w:tcPr>
          <w:p>
            <w:pPr>
              <w:spacing w:after="0" w:line="264"/>
              <w:jc w:val="center"/>
            </w:pPr>
            <w:r>
              <w:rPr>
                <w:rFonts w:ascii="Arial" w:cs="Arial" w:eastAsia="Arial" w:hAnsi="Arial"/>
                <w:b/>
                <w:bCs/>
                <w:color w:val="FFFFFF"/>
                <w:sz w:val="22"/>
                <w:szCs w:val="22"/>
              </w:rPr>
              <w:t xml:space="preserve">Uraian Perubahan</w:t>
            </w:r>
          </w:p>
        </w:tc>
        <w:tc>
          <w:tcPr>
            <w:tcW w:type="dxa" w:w="2500"/>
            <w:tcBorders>
              <w:top w:val="single" w:color="BFBFBF" w:sz="4"/>
              <w:left w:val="single" w:color="BFBFBF" w:sz="4"/>
              <w:bottom w:val="single" w:color="BFBFBF" w:sz="4"/>
              <w:right w:val="single" w:color="BFBFBF" w:sz="4"/>
            </w:tcBorders>
            <w:shd w:fill="0B2A4A" w:val="clear"/>
            <w:tcMar>
              <w:top w:type="dxa" w:w="100"/>
              <w:left w:type="dxa" w:w="140"/>
              <w:bottom w:type="dxa" w:w="100"/>
              <w:right w:type="dxa" w:w="140"/>
            </w:tcMar>
            <w:vAlign w:val="center"/>
          </w:tcPr>
          <w:p>
            <w:pPr>
              <w:spacing w:after="0" w:line="264"/>
              <w:jc w:val="center"/>
            </w:pPr>
            <w:r>
              <w:rPr>
                <w:rFonts w:ascii="Arial" w:cs="Arial" w:eastAsia="Arial" w:hAnsi="Arial"/>
                <w:b/>
                <w:bCs/>
                <w:color w:val="FFFFFF"/>
                <w:sz w:val="22"/>
                <w:szCs w:val="22"/>
              </w:rPr>
              <w:t xml:space="preserve">Tanggal</w:t>
            </w:r>
          </w:p>
        </w:tc>
      </w:tr>
      <w:tr>
        <w:tc>
          <w:tcPr>
            <w:tcW w:type="dxa" w:w="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64"/>
              <w:jc w:val="center"/>
            </w:pPr>
            <w:r>
              <w:rPr>
                <w:rFonts w:ascii="Arial" w:cs="Arial" w:eastAsia="Arial" w:hAnsi="Arial"/>
                <w:sz w:val="22"/>
                <w:szCs w:val="22"/>
              </w:rPr>
              <w:t xml:space="preserve">1</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64"/>
              <w:jc w:val="center"/>
            </w:pPr>
            <w:r>
              <w:rPr>
                <w:rFonts w:ascii="Arial" w:cs="Arial" w:eastAsia="Arial" w:hAnsi="Arial"/>
                <w:sz w:val="22"/>
                <w:szCs w:val="22"/>
              </w:rPr>
              <w:t xml:space="preserve">00</w:t>
            </w:r>
          </w:p>
        </w:tc>
        <w:tc>
          <w:tcPr>
            <w:tcW w:type="dxa" w:w="3137"/>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64"/>
              <w:jc w:val="left"/>
            </w:pPr>
            <w:r>
              <w:rPr>
                <w:rFonts w:ascii="Arial" w:cs="Arial" w:eastAsia="Arial" w:hAnsi="Arial"/>
                <w:sz w:val="22"/>
                <w:szCs w:val="22"/>
              </w:rPr>
              <w:t xml:space="preserve">Penerbitan dokumen perdana SOP Permohonan Pengalihan Domain Jurnal.</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64"/>
              <w:jc w:val="center"/>
            </w:pPr>
            <w:r>
              <w:rPr>
                <w:rFonts w:ascii="Arial" w:cs="Arial" w:eastAsia="Arial" w:hAnsi="Arial"/>
                <w:sz w:val="22"/>
                <w:szCs w:val="22"/>
              </w:rPr>
              <w:t xml:space="preserve">Juni 2026</w:t>
            </w:r>
          </w:p>
        </w:tc>
      </w:tr>
      <w:tr>
        <w:tc>
          <w:tcPr>
            <w:tcW w:type="dxa" w:w="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64"/>
              <w:jc w:val="center"/>
            </w:pPr>
            <w:r>
              <w:rPr>
                <w:rFonts w:ascii="Arial" w:cs="Arial" w:eastAsia="Arial" w:hAnsi="Arial"/>
                <w:sz w:val="22"/>
                <w:szCs w:val="22"/>
              </w:rPr>
              <w:t xml:space="preserve">2</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64"/>
              <w:jc w:val="left"/>
            </w:pPr>
            <w:r>
              <w:rPr>
                <w:rFonts w:ascii="Arial" w:cs="Arial" w:eastAsia="Arial" w:hAnsi="Arial"/>
                <w:sz w:val="22"/>
                <w:szCs w:val="22"/>
              </w:rPr>
              <w:t xml:space="preserve"> </w:t>
            </w:r>
          </w:p>
        </w:tc>
        <w:tc>
          <w:tcPr>
            <w:tcW w:type="dxa" w:w="3137"/>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64"/>
              <w:jc w:val="left"/>
            </w:pPr>
            <w:r>
              <w:rPr>
                <w:rFonts w:ascii="Arial" w:cs="Arial" w:eastAsia="Arial" w:hAnsi="Arial"/>
                <w:sz w:val="22"/>
                <w:szCs w:val="22"/>
              </w:rPr>
              <w:t xml:space="preserve"> </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64"/>
              <w:jc w:val="left"/>
            </w:pPr>
            <w:r>
              <w:rPr>
                <w:rFonts w:ascii="Arial" w:cs="Arial" w:eastAsia="Arial" w:hAnsi="Arial"/>
                <w:sz w:val="22"/>
                <w:szCs w:val="22"/>
              </w:rPr>
              <w:t xml:space="preserve"> </w:t>
            </w:r>
          </w:p>
        </w:tc>
      </w:tr>
      <w:tr>
        <w:tc>
          <w:tcPr>
            <w:tcW w:type="dxa" w:w="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64"/>
              <w:jc w:val="center"/>
            </w:pPr>
            <w:r>
              <w:rPr>
                <w:rFonts w:ascii="Arial" w:cs="Arial" w:eastAsia="Arial" w:hAnsi="Arial"/>
                <w:sz w:val="22"/>
                <w:szCs w:val="22"/>
              </w:rPr>
              <w:t xml:space="preserve">3</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64"/>
              <w:jc w:val="left"/>
            </w:pPr>
            <w:r>
              <w:rPr>
                <w:rFonts w:ascii="Arial" w:cs="Arial" w:eastAsia="Arial" w:hAnsi="Arial"/>
                <w:sz w:val="22"/>
                <w:szCs w:val="22"/>
              </w:rPr>
              <w:t xml:space="preserve"> </w:t>
            </w:r>
          </w:p>
        </w:tc>
        <w:tc>
          <w:tcPr>
            <w:tcW w:type="dxa" w:w="3137"/>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64"/>
              <w:jc w:val="left"/>
            </w:pPr>
            <w:r>
              <w:rPr>
                <w:rFonts w:ascii="Arial" w:cs="Arial" w:eastAsia="Arial" w:hAnsi="Arial"/>
                <w:sz w:val="22"/>
                <w:szCs w:val="22"/>
              </w:rPr>
              <w:t xml:space="preserve"> </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64"/>
              <w:jc w:val="left"/>
            </w:pPr>
            <w:r>
              <w:rPr>
                <w:rFonts w:ascii="Arial" w:cs="Arial" w:eastAsia="Arial" w:hAnsi="Arial"/>
                <w:sz w:val="22"/>
                <w:szCs w:val="22"/>
              </w:rPr>
              <w:t xml:space="preserve"> </w:t>
            </w:r>
          </w:p>
        </w:tc>
      </w:tr>
      <w:tr>
        <w:tc>
          <w:tcPr>
            <w:tcW w:type="dxa" w:w="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64"/>
              <w:jc w:val="center"/>
            </w:pPr>
            <w:r>
              <w:rPr>
                <w:rFonts w:ascii="Arial" w:cs="Arial" w:eastAsia="Arial" w:hAnsi="Arial"/>
                <w:sz w:val="22"/>
                <w:szCs w:val="22"/>
              </w:rPr>
              <w:t xml:space="preserve">4</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64"/>
              <w:jc w:val="left"/>
            </w:pPr>
            <w:r>
              <w:rPr>
                <w:rFonts w:ascii="Arial" w:cs="Arial" w:eastAsia="Arial" w:hAnsi="Arial"/>
                <w:sz w:val="22"/>
                <w:szCs w:val="22"/>
              </w:rPr>
              <w:t xml:space="preserve"> </w:t>
            </w:r>
          </w:p>
        </w:tc>
        <w:tc>
          <w:tcPr>
            <w:tcW w:type="dxa" w:w="3137"/>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64"/>
              <w:jc w:val="left"/>
            </w:pPr>
            <w:r>
              <w:rPr>
                <w:rFonts w:ascii="Arial" w:cs="Arial" w:eastAsia="Arial" w:hAnsi="Arial"/>
                <w:sz w:val="22"/>
                <w:szCs w:val="22"/>
              </w:rPr>
              <w:t xml:space="preserve"> </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64"/>
              <w:jc w:val="left"/>
            </w:pPr>
            <w:r>
              <w:rPr>
                <w:rFonts w:ascii="Arial" w:cs="Arial" w:eastAsia="Arial" w:hAnsi="Arial"/>
                <w:sz w:val="22"/>
                <w:szCs w:val="22"/>
              </w:rPr>
              <w:t xml:space="preserve"> </w:t>
            </w:r>
          </w:p>
        </w:tc>
      </w:tr>
    </w:tbl>
    <w:p>
      <w:pPr>
        <w:pageBreakBefore/>
        <w:spacing w:after="400"/>
        <w:jc w:val="center"/>
      </w:pPr>
      <w:r>
        <w:rPr>
          <w:rFonts w:ascii="Arial" w:cs="Arial" w:eastAsia="Arial" w:hAnsi="Arial"/>
          <w:b/>
          <w:bCs/>
          <w:color w:val="0B2A4A"/>
          <w:sz w:val="32"/>
          <w:szCs w:val="32"/>
        </w:rPr>
        <w:t xml:space="preserve">HALAMAN PENGESAHAN</w:t>
      </w:r>
    </w:p>
    <w:p>
      <w:pPr>
        <w:spacing w:after="200" w:line="276"/>
        <w:jc w:val="both"/>
      </w:pPr>
      <w:r>
        <w:rPr>
          <w:rFonts w:ascii="Arial" w:cs="Arial" w:eastAsia="Arial" w:hAnsi="Arial"/>
          <w:sz w:val="22"/>
          <w:szCs w:val="22"/>
        </w:rPr>
        <w:t xml:space="preserve">Dokumen Standar Operasional Prosedur (SOP) Permohonan Pengalihan Domain Jurnal ke Domain Unsoed.ac.id di Lingkungan Universitas Jenderal Soedirman ini merupakan acuan resmi bagi seluruh pengelola jurnal di lingkungan Universitas Jenderal Soedirman yang domainnya belum berada di bawah unsoed.ac.id. SOP ini disusun oleh Pusat Pengelolaan Jurnal (PPJ) dan disahkan untuk diberlakukan sebagai pedoman operasional bagi pengelola jurnal, PPJ, dan UPA TIK.</w:t>
      </w:r>
    </w:p>
    <w:p>
      <w:pPr>
        <w:spacing w:after="400" w:line="276"/>
        <w:jc w:val="both"/>
      </w:pPr>
      <w:r>
        <w:rPr>
          <w:rFonts w:ascii="Arial" w:cs="Arial" w:eastAsia="Arial" w:hAnsi="Arial"/>
          <w:sz w:val="22"/>
          <w:szCs w:val="22"/>
        </w:rPr>
        <w:t xml:space="preserve">Dengan ditetapkannya dokumen ini, seluruh permohonan pengalihan domain jurnal di lingkungan Universitas Jenderal Soedirman wajib mengikuti tahapan, persyaratan, dan ketentuan sebagaimana diatur di dalamnya.</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7937"/>
      </w:tblGrid>
      <w:tr>
        <w:tc>
          <w:tcPr>
            <w:tcW w:type="dxa" w:w="7937"/>
            <w:tcBorders>
              <w:top w:val="none" w:color="FFFFFF" w:sz="0"/>
              <w:left w:val="none" w:color="FFFFFF" w:sz="0"/>
              <w:bottom w:val="none" w:color="FFFFFF" w:sz="0"/>
              <w:right w:val="none" w:color="FFFFFF" w:sz="0"/>
            </w:tcBorders>
          </w:tcPr>
          <w:p>
            <w:pPr>
              <w:spacing w:after="120"/>
              <w:jc w:val="center"/>
            </w:pPr>
            <w:r>
              <w:rPr>
                <w:rFonts w:ascii="Arial" w:cs="Arial" w:eastAsia="Arial" w:hAnsi="Arial"/>
                <w:sz w:val="22"/>
                <w:szCs w:val="22"/>
              </w:rPr>
              <w:t xml:space="preserve">Disahkan di Purwokerto</w:t>
            </w:r>
          </w:p>
          <w:p>
            <w:pPr>
              <w:spacing w:after="120"/>
              <w:jc w:val="center"/>
            </w:pPr>
            <w:r>
              <w:rPr>
                <w:rFonts w:ascii="Arial" w:cs="Arial" w:eastAsia="Arial" w:hAnsi="Arial"/>
                <w:sz w:val="22"/>
                <w:szCs w:val="22"/>
              </w:rPr>
              <w:t xml:space="preserve">Pada tanggal …………………… 2026</w:t>
            </w:r>
          </w:p>
          <w:p>
            <w:pPr>
              <w:spacing w:after="80"/>
            </w:pPr>
            <w:r>
              <w:t xml:space="preserve"/>
            </w:r>
          </w:p>
          <w:p>
            <w:pPr>
              <w:spacing w:after="120"/>
              <w:jc w:val="center"/>
            </w:pPr>
            <w:r>
              <w:rPr>
                <w:rFonts w:ascii="Arial" w:cs="Arial" w:eastAsia="Arial" w:hAnsi="Arial"/>
                <w:b/>
                <w:bCs/>
                <w:sz w:val="22"/>
                <w:szCs w:val="22"/>
              </w:rPr>
              <w:t xml:space="preserve">Ketua Lembaga Penelitian dan Pengabdian kepada Masyarakat</w:t>
            </w:r>
          </w:p>
          <w:p>
            <w:pPr>
              <w:spacing w:after="120"/>
              <w:jc w:val="center"/>
            </w:pPr>
            <w:r>
              <w:rPr>
                <w:rFonts w:ascii="Arial" w:cs="Arial" w:eastAsia="Arial" w:hAnsi="Arial"/>
                <w:b/>
                <w:bCs/>
                <w:sz w:val="22"/>
                <w:szCs w:val="22"/>
              </w:rPr>
              <w:t xml:space="preserve">Universitas Jenderal Soedirman,</w:t>
            </w:r>
          </w:p>
          <w:p>
            <w:pPr>
              <w:spacing w:after="80"/>
            </w:pPr>
            <w:r>
              <w:t xml:space="preserve"/>
            </w:r>
          </w:p>
          <w:p>
            <w:pPr>
              <w:spacing w:after="80"/>
            </w:pPr>
            <w:r>
              <w:t xml:space="preserve"/>
            </w:r>
          </w:p>
          <w:p>
            <w:pPr>
              <w:spacing w:after="80"/>
            </w:pPr>
            <w:r>
              <w:t xml:space="preserve"/>
            </w:r>
          </w:p>
          <w:p>
            <w:pPr>
              <w:spacing w:after="80"/>
            </w:pPr>
            <w:r>
              <w:t xml:space="preserve"/>
            </w:r>
          </w:p>
          <w:p>
            <w:pPr>
              <w:spacing w:after="80"/>
            </w:pPr>
            <w:r>
              <w:t xml:space="preserve"/>
            </w:r>
          </w:p>
          <w:p>
            <w:pPr>
              <w:pBdr>
                <w:bottom w:val="single" w:color="000000" w:sz="6" w:space="1"/>
              </w:pBdr>
              <w:spacing w:after="60"/>
              <w:jc w:val="center"/>
            </w:pPr>
            <w:r>
              <w:rPr>
                <w:rFonts w:ascii="Arial" w:cs="Arial" w:eastAsia="Arial" w:hAnsi="Arial"/>
                <w:b/>
                <w:bCs/>
                <w:sz w:val="22"/>
                <w:szCs w:val="22"/>
              </w:rPr>
              <w:t xml:space="preserve">Prof. Dr. Ir. Elly Tugiyanti, M.P., IPU., ASEAN Eng.</w:t>
            </w:r>
          </w:p>
          <w:p>
            <w:pPr>
              <w:spacing w:after="0"/>
              <w:jc w:val="center"/>
            </w:pPr>
            <w:r>
              <w:rPr>
                <w:rFonts w:ascii="Arial" w:cs="Arial" w:eastAsia="Arial" w:hAnsi="Arial"/>
                <w:sz w:val="22"/>
                <w:szCs w:val="22"/>
              </w:rPr>
              <w:t xml:space="preserve">NIP. ………………………………………</w:t>
            </w:r>
          </w:p>
        </w:tc>
      </w:tr>
    </w:tbl>
    <w:p>
      <w:pPr>
        <w:pageBreakBefore/>
        <w:spacing w:after="400"/>
        <w:jc w:val="center"/>
      </w:pPr>
      <w:r>
        <w:rPr>
          <w:rFonts w:ascii="Arial" w:cs="Arial" w:eastAsia="Arial" w:hAnsi="Arial"/>
          <w:b/>
          <w:bCs/>
          <w:color w:val="0B2A4A"/>
          <w:sz w:val="32"/>
          <w:szCs w:val="32"/>
        </w:rPr>
        <w:t xml:space="preserve">KATA PENGANTAR</w:t>
      </w:r>
    </w:p>
    <w:p>
      <w:pPr>
        <w:spacing w:after="120" w:line="276"/>
        <w:jc w:val="both"/>
      </w:pPr>
      <w:r>
        <w:rPr>
          <w:rFonts w:ascii="Arial" w:cs="Arial" w:eastAsia="Arial" w:hAnsi="Arial"/>
          <w:sz w:val="22"/>
          <w:szCs w:val="22"/>
        </w:rPr>
        <w:t xml:space="preserve">Puji syukur kami panjatkan ke hadirat Tuhan Yang Maha Esa atas selesainya penyusunan dokumen Standar Operasional Prosedur (SOP) Permohonan Pengalihan Domain Jurnal ke Domain Unsoed.ac.id di Lingkungan Universitas Jenderal Soedirman. Dokumen ini disusun sebagai bagian dari upaya berkelanjutan Pusat Pengelolaan Jurnal (PPJ) — LPPM Universitas Jenderal Soedirman dalam menata tata kelola jurnal-jurnal di lingkungan institusi agar memiliki identitas digital yang selaras dengan ekosistem domain universitas.</w:t>
      </w:r>
    </w:p>
    <w:p>
      <w:pPr>
        <w:spacing w:after="120" w:line="276"/>
        <w:jc w:val="both"/>
      </w:pPr>
      <w:r>
        <w:rPr>
          <w:rFonts w:ascii="Arial" w:cs="Arial" w:eastAsia="Arial" w:hAnsi="Arial"/>
          <w:sz w:val="22"/>
          <w:szCs w:val="22"/>
        </w:rPr>
        <w:t xml:space="preserve">Kebijakan Universitas Jenderal Soedirman mewajibkan seluruh jurnal ilmiah yang berada di bawah naungan institusi untuk menggunakan domain resmi universitas, yaitu unsoed.ac.id. Kebijakan ini bertujuan memperkuat identitas kelembagaan, menjaga keberlangsungan akses jurnal ketika terjadi pergantian pengelola, serta memudahkan pemantauan kinerja jurnal melalui SIMONJU. Dalam praktiknya, masih terdapat sejumlah jurnal di lingkungan Unsoed yang menggunakan domain di luar unsoed.ac.id. Untuk mengakomodasi kondisi tersebut, SOP ini hadir sebagai pedoman tunggal yang mengatur tahapan, persyaratan, dan tanggung jawab para pihak dalam proses pengalihan domain jurnal.</w:t>
      </w:r>
    </w:p>
    <w:p>
      <w:pPr>
        <w:spacing w:after="120" w:line="276"/>
        <w:jc w:val="both"/>
      </w:pPr>
      <w:r>
        <w:rPr>
          <w:rFonts w:ascii="Arial" w:cs="Arial" w:eastAsia="Arial" w:hAnsi="Arial"/>
          <w:sz w:val="22"/>
          <w:szCs w:val="22"/>
        </w:rPr>
        <w:t xml:space="preserve">SOP ini disusun dengan memperhatikan ketentuan teknis pengelolaan domain yang ditetapkan oleh UPA TIK Universitas Jenderal Soedirman serta kebijakan tata kelola aset digital institusi. Hosting jurnal tetap dapat berada di server mana pun sesuai kebutuhan pengelola, sepanjang domain yang digunakan merujuk ke unsoed.ac.id.</w:t>
      </w:r>
    </w:p>
    <w:p>
      <w:pPr>
        <w:spacing w:after="120" w:line="276"/>
        <w:jc w:val="both"/>
      </w:pPr>
      <w:r>
        <w:rPr>
          <w:rFonts w:ascii="Arial" w:cs="Arial" w:eastAsia="Arial" w:hAnsi="Arial"/>
          <w:sz w:val="22"/>
          <w:szCs w:val="22"/>
        </w:rPr>
        <w:t xml:space="preserve">Kami menyampaikan terima kasih kepada Ketua LPPM Universitas Jenderal Soedirman, UPA TIK Unsoed, para pengelola jurnal, dan seluruh pihak yang telah memberikan masukan dalam proses penyusunan dokumen ini. Kami menyadari dokumen ini masih membuka ruang untuk penyempurnaan. Oleh karena itu, kritik dan saran konstruktif dari seluruh pemangku kepentingan sangat kami harapkan.</w:t>
      </w:r>
    </w:p>
    <w:p>
      <w:pPr>
        <w:spacing w:after="400" w:line="276"/>
        <w:jc w:val="both"/>
      </w:pPr>
      <w:r>
        <w:rPr>
          <w:rFonts w:ascii="Arial" w:cs="Arial" w:eastAsia="Arial" w:hAnsi="Arial"/>
          <w:sz w:val="22"/>
          <w:szCs w:val="22"/>
        </w:rPr>
        <w:t xml:space="preserve">Semoga SOP ini dapat menjadi rujukan operasional yang bermanfaat bagi seluruh pengelola jurnal di lingkungan Universitas Jenderal Soedirman dalam membangun identitas digital jurnal yang lebih kuat dan terintegrasi dengan ekosistem institusi.</w:t>
      </w:r>
    </w:p>
    <w:p>
      <w:pPr>
        <w:spacing w:after="80"/>
        <w:jc w:val="right"/>
      </w:pPr>
      <w:r>
        <w:rPr>
          <w:rFonts w:ascii="Arial" w:cs="Arial" w:eastAsia="Arial" w:hAnsi="Arial"/>
          <w:sz w:val="22"/>
          <w:szCs w:val="22"/>
        </w:rPr>
        <w:t xml:space="preserve">Purwokerto, Juni 2026</w:t>
      </w:r>
    </w:p>
    <w:p>
      <w:pPr>
        <w:spacing w:after="120"/>
        <w:jc w:val="right"/>
      </w:pPr>
      <w:r>
        <w:rPr>
          <w:rFonts w:ascii="Arial" w:cs="Arial" w:eastAsia="Arial" w:hAnsi="Arial"/>
          <w:b/>
          <w:bCs/>
          <w:sz w:val="22"/>
          <w:szCs w:val="22"/>
        </w:rPr>
        <w:t xml:space="preserve">Ketua Pusat Pengelolaan Jurnal</w:t>
      </w:r>
    </w:p>
    <w:p>
      <w:pPr>
        <w:spacing w:after="120"/>
        <w:jc w:val="right"/>
      </w:pPr>
      <w:r>
        <w:rPr>
          <w:rFonts w:ascii="Arial" w:cs="Arial" w:eastAsia="Arial" w:hAnsi="Arial"/>
          <w:b/>
          <w:bCs/>
          <w:sz w:val="22"/>
          <w:szCs w:val="22"/>
        </w:rPr>
        <w:t xml:space="preserve">LPPM Universitas Jenderal Soedirman</w:t>
      </w:r>
    </w:p>
    <w:p>
      <w:pPr>
        <w:spacing w:after="80"/>
      </w:pPr>
      <w:r>
        <w:t xml:space="preserve"/>
      </w:r>
    </w:p>
    <w:p>
      <w:pPr>
        <w:spacing w:after="80"/>
      </w:pPr>
      <w:r>
        <w:t xml:space="preserve"/>
      </w:r>
    </w:p>
    <w:p>
      <w:pPr>
        <w:spacing w:after="80"/>
      </w:pPr>
      <w:r>
        <w:t xml:space="preserve"/>
      </w:r>
    </w:p>
    <w:p>
      <w:pPr>
        <w:spacing w:after="80"/>
      </w:pPr>
      <w:r>
        <w:t xml:space="preserve"/>
      </w:r>
    </w:p>
    <w:p>
      <w:pPr>
        <w:spacing w:after="60"/>
        <w:jc w:val="right"/>
      </w:pPr>
      <w:r>
        <w:rPr>
          <w:rFonts w:ascii="Arial" w:cs="Arial" w:eastAsia="Arial" w:hAnsi="Arial"/>
          <w:b/>
          <w:bCs/>
          <w:sz w:val="22"/>
          <w:szCs w:val="22"/>
        </w:rPr>
        <w:t xml:space="preserve">Dr. Ir. Mulki Indana Zulfa, S.T., M.T., IPM.</w:t>
      </w:r>
    </w:p>
    <w:p>
      <w:pPr>
        <w:spacing w:after="0"/>
        <w:jc w:val="right"/>
      </w:pPr>
      <w:r>
        <w:rPr>
          <w:rFonts w:ascii="Arial" w:cs="Arial" w:eastAsia="Arial" w:hAnsi="Arial"/>
          <w:sz w:val="22"/>
          <w:szCs w:val="22"/>
        </w:rPr>
        <w:t xml:space="preserve">NIP. ………………………………………</w:t>
      </w:r>
    </w:p>
    <w:p>
      <w:pPr>
        <w:pageBreakBefore/>
        <w:spacing w:after="400"/>
        <w:jc w:val="center"/>
      </w:pPr>
      <w:r>
        <w:rPr>
          <w:rFonts w:ascii="Arial" w:cs="Arial" w:eastAsia="Arial" w:hAnsi="Arial"/>
          <w:b/>
          <w:bCs/>
          <w:color w:val="0B2A4A"/>
          <w:sz w:val="32"/>
          <w:szCs w:val="32"/>
        </w:rPr>
        <w:t xml:space="preserve">TIM PENYUSUN</w:t>
      </w:r>
    </w:p>
    <w:p>
      <w:pPr>
        <w:spacing w:after="240" w:line="276"/>
        <w:jc w:val="both"/>
      </w:pPr>
      <w:r>
        <w:rPr>
          <w:rFonts w:ascii="Arial" w:cs="Arial" w:eastAsia="Arial" w:hAnsi="Arial"/>
          <w:sz w:val="22"/>
          <w:szCs w:val="22"/>
        </w:rPr>
        <w:t xml:space="preserve">Dokumen Standar Operasional Prosedur Permohonan Pengalihan Domain Jurnal ke Domain Unsoed.ac.id di Lingkungan Universitas Jenderal Soedirman ini disusun oleh tim yang dibentuk oleh Pusat Pengelolaan Jurnal LPPM Universitas Jenderal Soedirman dengan susunan keanggotaan sebagai berikut:</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700"/>
        <w:gridCol w:w="3437"/>
        <w:gridCol w:w="3800"/>
      </w:tblGrid>
      <w:tr>
        <w:trPr>
          <w:tblHeader/>
        </w:trPr>
        <w:tc>
          <w:tcPr>
            <w:tcW w:type="dxa" w:w="700"/>
            <w:tcBorders>
              <w:top w:val="single" w:color="BFBFBF" w:sz="4"/>
              <w:left w:val="single" w:color="BFBFBF" w:sz="4"/>
              <w:bottom w:val="single" w:color="BFBFBF" w:sz="4"/>
              <w:right w:val="single" w:color="BFBFBF" w:sz="4"/>
            </w:tcBorders>
            <w:shd w:fill="0B2A4A" w:val="clear"/>
            <w:tcMar>
              <w:top w:type="dxa" w:w="100"/>
              <w:left w:type="dxa" w:w="140"/>
              <w:bottom w:type="dxa" w:w="100"/>
              <w:right w:type="dxa" w:w="140"/>
            </w:tcMar>
            <w:vAlign w:val="center"/>
          </w:tcPr>
          <w:p>
            <w:pPr>
              <w:spacing w:after="0" w:line="264"/>
              <w:jc w:val="center"/>
            </w:pPr>
            <w:r>
              <w:rPr>
                <w:rFonts w:ascii="Arial" w:cs="Arial" w:eastAsia="Arial" w:hAnsi="Arial"/>
                <w:b/>
                <w:bCs/>
                <w:color w:val="FFFFFF"/>
                <w:sz w:val="22"/>
                <w:szCs w:val="22"/>
              </w:rPr>
              <w:t xml:space="preserve">No.</w:t>
            </w:r>
          </w:p>
        </w:tc>
        <w:tc>
          <w:tcPr>
            <w:tcW w:type="dxa" w:w="3437"/>
            <w:tcBorders>
              <w:top w:val="single" w:color="BFBFBF" w:sz="4"/>
              <w:left w:val="single" w:color="BFBFBF" w:sz="4"/>
              <w:bottom w:val="single" w:color="BFBFBF" w:sz="4"/>
              <w:right w:val="single" w:color="BFBFBF" w:sz="4"/>
            </w:tcBorders>
            <w:shd w:fill="0B2A4A" w:val="clear"/>
            <w:tcMar>
              <w:top w:type="dxa" w:w="100"/>
              <w:left w:type="dxa" w:w="140"/>
              <w:bottom w:type="dxa" w:w="100"/>
              <w:right w:type="dxa" w:w="140"/>
            </w:tcMar>
            <w:vAlign w:val="center"/>
          </w:tcPr>
          <w:p>
            <w:pPr>
              <w:spacing w:after="0" w:line="264"/>
              <w:jc w:val="center"/>
            </w:pPr>
            <w:r>
              <w:rPr>
                <w:rFonts w:ascii="Arial" w:cs="Arial" w:eastAsia="Arial" w:hAnsi="Arial"/>
                <w:b/>
                <w:bCs/>
                <w:color w:val="FFFFFF"/>
                <w:sz w:val="22"/>
                <w:szCs w:val="22"/>
              </w:rPr>
              <w:t xml:space="preserve">Nama</w:t>
            </w:r>
          </w:p>
        </w:tc>
        <w:tc>
          <w:tcPr>
            <w:tcW w:type="dxa" w:w="3800"/>
            <w:tcBorders>
              <w:top w:val="single" w:color="BFBFBF" w:sz="4"/>
              <w:left w:val="single" w:color="BFBFBF" w:sz="4"/>
              <w:bottom w:val="single" w:color="BFBFBF" w:sz="4"/>
              <w:right w:val="single" w:color="BFBFBF" w:sz="4"/>
            </w:tcBorders>
            <w:shd w:fill="0B2A4A" w:val="clear"/>
            <w:tcMar>
              <w:top w:type="dxa" w:w="100"/>
              <w:left w:type="dxa" w:w="140"/>
              <w:bottom w:type="dxa" w:w="100"/>
              <w:right w:type="dxa" w:w="140"/>
            </w:tcMar>
            <w:vAlign w:val="center"/>
          </w:tcPr>
          <w:p>
            <w:pPr>
              <w:spacing w:after="0" w:line="264"/>
              <w:jc w:val="center"/>
            </w:pPr>
            <w:r>
              <w:rPr>
                <w:rFonts w:ascii="Arial" w:cs="Arial" w:eastAsia="Arial" w:hAnsi="Arial"/>
                <w:b/>
                <w:bCs/>
                <w:color w:val="FFFFFF"/>
                <w:sz w:val="22"/>
                <w:szCs w:val="22"/>
              </w:rPr>
              <w:t xml:space="preserve">Kedudukan</w:t>
            </w:r>
          </w:p>
        </w:tc>
      </w:tr>
      <w:tr>
        <w:tc>
          <w:tcPr>
            <w:tcW w:type="dxa" w:w="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64"/>
              <w:jc w:val="center"/>
            </w:pPr>
            <w:r>
              <w:rPr>
                <w:rFonts w:ascii="Arial" w:cs="Arial" w:eastAsia="Arial" w:hAnsi="Arial"/>
                <w:sz w:val="22"/>
                <w:szCs w:val="22"/>
              </w:rPr>
              <w:t xml:space="preserve">1</w:t>
            </w:r>
          </w:p>
        </w:tc>
        <w:tc>
          <w:tcPr>
            <w:tcW w:type="dxa" w:w="3437"/>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64"/>
              <w:jc w:val="left"/>
            </w:pPr>
            <w:r>
              <w:rPr>
                <w:rFonts w:ascii="Arial" w:cs="Arial" w:eastAsia="Arial" w:hAnsi="Arial"/>
                <w:sz w:val="22"/>
                <w:szCs w:val="22"/>
              </w:rPr>
              <w:t xml:space="preserve">Dr. Ir. Mulki Indana Zulfa, S.T., M.T., IPM.</w:t>
            </w:r>
          </w:p>
        </w:tc>
        <w:tc>
          <w:tcPr>
            <w:tcW w:type="dxa" w:w="3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64"/>
              <w:jc w:val="left"/>
            </w:pPr>
            <w:r>
              <w:rPr>
                <w:rFonts w:ascii="Arial" w:cs="Arial" w:eastAsia="Arial" w:hAnsi="Arial"/>
                <w:sz w:val="22"/>
                <w:szCs w:val="22"/>
              </w:rPr>
              <w:t xml:space="preserve">Ketua Tim Penyusun</w:t>
            </w:r>
          </w:p>
        </w:tc>
      </w:tr>
      <w:tr>
        <w:tc>
          <w:tcPr>
            <w:tcW w:type="dxa" w:w="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64"/>
              <w:jc w:val="center"/>
            </w:pPr>
            <w:r>
              <w:rPr>
                <w:rFonts w:ascii="Arial" w:cs="Arial" w:eastAsia="Arial" w:hAnsi="Arial"/>
                <w:sz w:val="22"/>
                <w:szCs w:val="22"/>
              </w:rPr>
              <w:t xml:space="preserve">2</w:t>
            </w:r>
          </w:p>
        </w:tc>
        <w:tc>
          <w:tcPr>
            <w:tcW w:type="dxa" w:w="3437"/>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64"/>
              <w:jc w:val="left"/>
            </w:pPr>
            <w:r>
              <w:rPr>
                <w:rFonts w:ascii="Arial" w:cs="Arial" w:eastAsia="Arial" w:hAnsi="Arial"/>
                <w:sz w:val="22"/>
                <w:szCs w:val="22"/>
              </w:rPr>
              <w:t xml:space="preserve">Dr. Ir. Ari Fadli, S.T., M.Eng.</w:t>
            </w:r>
          </w:p>
        </w:tc>
        <w:tc>
          <w:tcPr>
            <w:tcW w:type="dxa" w:w="3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64"/>
              <w:jc w:val="left"/>
            </w:pPr>
            <w:r>
              <w:rPr>
                <w:rFonts w:ascii="Arial" w:cs="Arial" w:eastAsia="Arial" w:hAnsi="Arial"/>
                <w:sz w:val="22"/>
                <w:szCs w:val="22"/>
              </w:rPr>
              <w:t xml:space="preserve">Anggota</w:t>
            </w:r>
          </w:p>
        </w:tc>
      </w:tr>
      <w:tr>
        <w:tc>
          <w:tcPr>
            <w:tcW w:type="dxa" w:w="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64"/>
              <w:jc w:val="center"/>
            </w:pPr>
            <w:r>
              <w:rPr>
                <w:rFonts w:ascii="Arial" w:cs="Arial" w:eastAsia="Arial" w:hAnsi="Arial"/>
                <w:sz w:val="22"/>
                <w:szCs w:val="22"/>
              </w:rPr>
              <w:t xml:space="preserve">3</w:t>
            </w:r>
          </w:p>
        </w:tc>
        <w:tc>
          <w:tcPr>
            <w:tcW w:type="dxa" w:w="3437"/>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64"/>
              <w:jc w:val="left"/>
            </w:pPr>
            <w:r>
              <w:rPr>
                <w:rFonts w:ascii="Arial" w:cs="Arial" w:eastAsia="Arial" w:hAnsi="Arial"/>
                <w:sz w:val="22"/>
                <w:szCs w:val="22"/>
              </w:rPr>
              <w:t xml:space="preserve">………………………………………………………………</w:t>
            </w:r>
          </w:p>
        </w:tc>
        <w:tc>
          <w:tcPr>
            <w:tcW w:type="dxa" w:w="3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64"/>
              <w:jc w:val="left"/>
            </w:pPr>
            <w:r>
              <w:rPr>
                <w:rFonts w:ascii="Arial" w:cs="Arial" w:eastAsia="Arial" w:hAnsi="Arial"/>
                <w:sz w:val="22"/>
                <w:szCs w:val="22"/>
              </w:rPr>
              <w:t xml:space="preserve">Anggota</w:t>
            </w:r>
          </w:p>
        </w:tc>
      </w:tr>
      <w:tr>
        <w:tc>
          <w:tcPr>
            <w:tcW w:type="dxa" w:w="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64"/>
              <w:jc w:val="center"/>
            </w:pPr>
            <w:r>
              <w:rPr>
                <w:rFonts w:ascii="Arial" w:cs="Arial" w:eastAsia="Arial" w:hAnsi="Arial"/>
                <w:sz w:val="22"/>
                <w:szCs w:val="22"/>
              </w:rPr>
              <w:t xml:space="preserve">4</w:t>
            </w:r>
          </w:p>
        </w:tc>
        <w:tc>
          <w:tcPr>
            <w:tcW w:type="dxa" w:w="3437"/>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64"/>
              <w:jc w:val="left"/>
            </w:pPr>
            <w:r>
              <w:rPr>
                <w:rFonts w:ascii="Arial" w:cs="Arial" w:eastAsia="Arial" w:hAnsi="Arial"/>
                <w:sz w:val="22"/>
                <w:szCs w:val="22"/>
              </w:rPr>
              <w:t xml:space="preserve">………………………………………………………………</w:t>
            </w:r>
          </w:p>
        </w:tc>
        <w:tc>
          <w:tcPr>
            <w:tcW w:type="dxa" w:w="3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64"/>
              <w:jc w:val="left"/>
            </w:pPr>
            <w:r>
              <w:rPr>
                <w:rFonts w:ascii="Arial" w:cs="Arial" w:eastAsia="Arial" w:hAnsi="Arial"/>
                <w:sz w:val="22"/>
                <w:szCs w:val="22"/>
              </w:rPr>
              <w:t xml:space="preserve">Anggota</w:t>
            </w:r>
          </w:p>
        </w:tc>
      </w:tr>
      <w:tr>
        <w:tc>
          <w:tcPr>
            <w:tcW w:type="dxa" w:w="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64"/>
              <w:jc w:val="center"/>
            </w:pPr>
            <w:r>
              <w:rPr>
                <w:rFonts w:ascii="Arial" w:cs="Arial" w:eastAsia="Arial" w:hAnsi="Arial"/>
                <w:sz w:val="22"/>
                <w:szCs w:val="22"/>
              </w:rPr>
              <w:t xml:space="preserve">5</w:t>
            </w:r>
          </w:p>
        </w:tc>
        <w:tc>
          <w:tcPr>
            <w:tcW w:type="dxa" w:w="3437"/>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64"/>
              <w:jc w:val="left"/>
            </w:pPr>
            <w:r>
              <w:rPr>
                <w:rFonts w:ascii="Arial" w:cs="Arial" w:eastAsia="Arial" w:hAnsi="Arial"/>
                <w:sz w:val="22"/>
                <w:szCs w:val="22"/>
              </w:rPr>
              <w:t xml:space="preserve">………………………………………………………………</w:t>
            </w:r>
          </w:p>
        </w:tc>
        <w:tc>
          <w:tcPr>
            <w:tcW w:type="dxa" w:w="3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64"/>
              <w:jc w:val="left"/>
            </w:pPr>
            <w:r>
              <w:rPr>
                <w:rFonts w:ascii="Arial" w:cs="Arial" w:eastAsia="Arial" w:hAnsi="Arial"/>
                <w:sz w:val="22"/>
                <w:szCs w:val="22"/>
              </w:rPr>
              <w:t xml:space="preserve">Anggota</w:t>
            </w:r>
          </w:p>
        </w:tc>
      </w:tr>
      <w:tr>
        <w:tc>
          <w:tcPr>
            <w:tcW w:type="dxa" w:w="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64"/>
              <w:jc w:val="center"/>
            </w:pPr>
            <w:r>
              <w:rPr>
                <w:rFonts w:ascii="Arial" w:cs="Arial" w:eastAsia="Arial" w:hAnsi="Arial"/>
                <w:sz w:val="22"/>
                <w:szCs w:val="22"/>
              </w:rPr>
              <w:t xml:space="preserve">6</w:t>
            </w:r>
          </w:p>
        </w:tc>
        <w:tc>
          <w:tcPr>
            <w:tcW w:type="dxa" w:w="3437"/>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64"/>
              <w:jc w:val="left"/>
            </w:pPr>
            <w:r>
              <w:rPr>
                <w:rFonts w:ascii="Arial" w:cs="Arial" w:eastAsia="Arial" w:hAnsi="Arial"/>
                <w:sz w:val="22"/>
                <w:szCs w:val="22"/>
              </w:rPr>
              <w:t xml:space="preserve">………………………………………………………………</w:t>
            </w:r>
          </w:p>
        </w:tc>
        <w:tc>
          <w:tcPr>
            <w:tcW w:type="dxa" w:w="3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64"/>
              <w:jc w:val="left"/>
            </w:pPr>
            <w:r>
              <w:rPr>
                <w:rFonts w:ascii="Arial" w:cs="Arial" w:eastAsia="Arial" w:hAnsi="Arial"/>
                <w:sz w:val="22"/>
                <w:szCs w:val="22"/>
              </w:rPr>
              <w:t xml:space="preserve">Anggota</w:t>
            </w:r>
          </w:p>
        </w:tc>
      </w:tr>
    </w:tbl>
    <w:p>
      <w:pPr>
        <w:spacing w:after="200"/>
      </w:pPr>
      <w:r>
        <w:t xml:space="preserve"/>
      </w:r>
    </w:p>
    <w:p>
      <w:pPr>
        <w:spacing w:after="120" w:line="276"/>
        <w:jc w:val="both"/>
      </w:pPr>
      <w:r>
        <w:rPr>
          <w:rFonts w:ascii="Arial" w:cs="Arial" w:eastAsia="Arial" w:hAnsi="Arial"/>
          <w:i/>
          <w:iCs/>
          <w:sz w:val="22"/>
          <w:szCs w:val="22"/>
        </w:rPr>
        <w:t xml:space="preserve">Tim Penyusun bertanggung jawab atas isi teknis dokumen ini sampai dengan tanggal pengesahan. Pembaruan atau revisi dokumen pada periode berikutnya dapat dilakukan oleh tim yang ditugaskan kemudian sebagaimana dicatat dalam Tabel Riwayat Revisi pada halaman Identitas Dokumen.</w:t>
      </w:r>
    </w:p>
    <w:p>
      <w:pPr>
        <w:pageBreakBefore/>
        <w:spacing w:after="400"/>
        <w:jc w:val="center"/>
      </w:pPr>
      <w:r>
        <w:rPr>
          <w:rFonts w:ascii="Arial" w:cs="Arial" w:eastAsia="Arial" w:hAnsi="Arial"/>
          <w:b/>
          <w:bCs/>
          <w:color w:val="0B2A4A"/>
          <w:sz w:val="32"/>
          <w:szCs w:val="32"/>
        </w:rPr>
        <w:t xml:space="preserve">DAFTAR ISI</w:t>
      </w:r>
    </w:p>
    <w:p>
      <w:pPr>
        <w:spacing w:after="200"/>
      </w:pPr>
      <w:r>
        <w:rPr>
          <w:rFonts w:ascii="Arial" w:cs="Arial" w:eastAsia="Arial" w:hAnsi="Arial"/>
          <w:i/>
          <w:iCs/>
          <w:sz w:val="20"/>
          <w:szCs w:val="20"/>
        </w:rPr>
        <w:t xml:space="preserve">Catatan: setelah dokumen dibuka di Microsoft Word, klik kanan pada daftar isi di bawah ini lalu pilih </w:t>
      </w:r>
      <w:r>
        <w:rPr>
          <w:rFonts w:ascii="Arial" w:cs="Arial" w:eastAsia="Arial" w:hAnsi="Arial"/>
          <w:b/>
          <w:bCs/>
          <w:i/>
          <w:iCs/>
          <w:sz w:val="20"/>
          <w:szCs w:val="20"/>
        </w:rPr>
        <w:t xml:space="preserve">Update Field</w:t>
      </w:r>
      <w:r>
        <w:rPr>
          <w:rFonts w:ascii="Arial" w:cs="Arial" w:eastAsia="Arial" w:hAnsi="Arial"/>
          <w:i/>
          <w:iCs/>
          <w:sz w:val="20"/>
          <w:szCs w:val="20"/>
        </w:rPr>
        <w:t xml:space="preserve"> untuk memperbarui nomor halaman.</w:t>
      </w:r>
    </w:p>
    <w:sdt>
      <w:sdtPr>
        <w:alias w:val="Daftar Isi"/>
      </w:sdtPr>
      <w:sdtContent>
        <w:p>
          <w:r>
            <w:fldChar w:fldCharType="begin" w:dirty="true"/>
            <w:instrText xml:space="preserve">TOC \h \o "1-3"</w:instrText>
            <w:fldChar w:fldCharType="separate"/>
          </w:r>
        </w:p>
        <w:p>
          <w:r>
            <w:fldChar w:fldCharType="end"/>
          </w:r>
        </w:p>
      </w:sdtContent>
    </w:sdt>
    <w:p>
      <w:pPr>
        <w:pageBreakBefore/>
        <w:spacing w:after="200"/>
        <w:jc w:val="center"/>
      </w:pPr>
      <w:r>
        <w:rPr>
          <w:rFonts w:ascii="Arial" w:cs="Arial" w:eastAsia="Arial" w:hAnsi="Arial"/>
          <w:b/>
          <w:bCs/>
          <w:color w:val="0B2A4A"/>
          <w:sz w:val="32"/>
          <w:szCs w:val="32"/>
        </w:rPr>
        <w:t xml:space="preserve">BAB I</w:t>
      </w:r>
    </w:p>
    <w:p>
      <w:pPr>
        <w:pStyle w:val="Heading1"/>
        <w:spacing w:after="400"/>
        <w:jc w:val="center"/>
      </w:pPr>
      <w:r>
        <w:rPr>
          <w:rFonts w:ascii="Arial" w:cs="Arial" w:eastAsia="Arial" w:hAnsi="Arial"/>
          <w:b/>
          <w:bCs/>
          <w:color w:val="0B2A4A"/>
          <w:sz w:val="32"/>
          <w:szCs w:val="32"/>
        </w:rPr>
        <w:t xml:space="preserve">PENDAHULUAN</w:t>
      </w:r>
    </w:p>
    <w:p>
      <w:pPr>
        <w:pStyle w:val="Heading2"/>
        <w:spacing w:after="120" w:before="240"/>
      </w:pPr>
      <w:r>
        <w:rPr>
          <w:rFonts w:ascii="Arial" w:cs="Arial" w:eastAsia="Arial" w:hAnsi="Arial"/>
          <w:b/>
          <w:bCs/>
          <w:color w:val="0B2A4A"/>
          <w:sz w:val="24"/>
          <w:szCs w:val="24"/>
        </w:rPr>
        <w:t xml:space="preserve">1.1 Latar Belakang</w:t>
      </w:r>
    </w:p>
    <w:p>
      <w:pPr>
        <w:spacing w:after="120" w:line="276"/>
        <w:jc w:val="both"/>
      </w:pPr>
      <w:r>
        <w:rPr>
          <w:rFonts w:ascii="Arial" w:cs="Arial" w:eastAsia="Arial" w:hAnsi="Arial"/>
          <w:sz w:val="22"/>
          <w:szCs w:val="22"/>
        </w:rPr>
        <w:t xml:space="preserve">Universitas Jenderal Soedirman (Unsoed) memiliki kebijakan bahwa seluruh jurnal ilmiah yang berada di bawah naungan institusi wajib menggunakan domain resmi universitas, yakni unsoed.ac.id. Kebijakan ini bertujuan untuk memperkuat identitas kelembagaan, menjamin keberlangsungan akses jurnal ketika terjadi pergantian pengelola, serta memudahkan pemantauan kinerja jurnal secara terpusat melalui SIMONJU.</w:t>
      </w:r>
    </w:p>
    <w:p>
      <w:pPr>
        <w:spacing w:after="120" w:line="276"/>
        <w:jc w:val="both"/>
      </w:pPr>
      <w:r>
        <w:rPr>
          <w:rFonts w:ascii="Arial" w:cs="Arial" w:eastAsia="Arial" w:hAnsi="Arial"/>
          <w:sz w:val="22"/>
          <w:szCs w:val="22"/>
        </w:rPr>
        <w:t xml:space="preserve">Dalam kenyataannya, terdapat sejumlah jurnal di lingkungan Unsoed yang masih menggunakan domain di luar unsoed.ac.id — baik karena didaftarkan sebelum kebijakan ini berlaku maupun karena pengelola jurnal mendaftarkan secara mandiri ke registrar domain komersial. Kondisi ini menyebabkan identitas jurnal terlepas dari ekosistem institusi dan menyulitkan pengawasan serta pengembangan bersama.</w:t>
      </w:r>
    </w:p>
    <w:p>
      <w:pPr>
        <w:spacing w:after="120" w:line="276"/>
        <w:jc w:val="both"/>
      </w:pPr>
      <w:r>
        <w:rPr>
          <w:rFonts w:ascii="Arial" w:cs="Arial" w:eastAsia="Arial" w:hAnsi="Arial"/>
          <w:sz w:val="22"/>
          <w:szCs w:val="22"/>
        </w:rPr>
        <w:t xml:space="preserve">Oleh karena itu, PPJ menyusun SOP ini sebagai pedoman proses pengalihan domain bagi jurnal yang domainnya belum berada di bawah unsoed.ac.id. Hosting jurnal dapat tetap berada di server mana pun, namun domain yang digunakan harus merujuk ke unsoed.ac.id.</w:t>
      </w:r>
    </w:p>
    <w:p>
      <w:pPr>
        <w:pStyle w:val="Heading2"/>
        <w:spacing w:after="120" w:before="240"/>
      </w:pPr>
      <w:r>
        <w:rPr>
          <w:rFonts w:ascii="Arial" w:cs="Arial" w:eastAsia="Arial" w:hAnsi="Arial"/>
          <w:b/>
          <w:bCs/>
          <w:color w:val="0B2A4A"/>
          <w:sz w:val="24"/>
          <w:szCs w:val="24"/>
        </w:rPr>
        <w:t xml:space="preserve">1.2 Tujuan</w:t>
      </w:r>
    </w:p>
    <w:p>
      <w:pPr>
        <w:spacing w:after="120" w:line="276"/>
        <w:jc w:val="both"/>
      </w:pPr>
      <w:r>
        <w:rPr>
          <w:rFonts w:ascii="Arial" w:cs="Arial" w:eastAsia="Arial" w:hAnsi="Arial"/>
          <w:sz w:val="22"/>
          <w:szCs w:val="22"/>
        </w:rPr>
        <w:t xml:space="preserve">SOP ini bertujuan untuk:</w:t>
      </w:r>
    </w:p>
    <w:p>
      <w:pPr>
        <w:pStyle w:val="ListParagraph"/>
        <w:numPr>
          <w:ilvl w:val="0"/>
          <w:numId w:val="2"/>
        </w:numPr>
        <w:spacing w:after="80" w:line="276"/>
        <w:jc w:val="both"/>
      </w:pPr>
      <w:r>
        <w:rPr>
          <w:rFonts w:ascii="Arial" w:cs="Arial" w:eastAsia="Arial" w:hAnsi="Arial"/>
          <w:sz w:val="22"/>
          <w:szCs w:val="22"/>
        </w:rPr>
        <w:t xml:space="preserve">Memberikan pedoman yang jelas bagi pengelola jurnal dalam mengajukan permohonan pengalihan domain ke PPJ.</w:t>
      </w:r>
    </w:p>
    <w:p>
      <w:pPr>
        <w:pStyle w:val="ListParagraph"/>
        <w:numPr>
          <w:ilvl w:val="0"/>
          <w:numId w:val="2"/>
        </w:numPr>
        <w:spacing w:after="80" w:line="276"/>
        <w:jc w:val="both"/>
      </w:pPr>
      <w:r>
        <w:rPr>
          <w:rFonts w:ascii="Arial" w:cs="Arial" w:eastAsia="Arial" w:hAnsi="Arial"/>
          <w:sz w:val="22"/>
          <w:szCs w:val="22"/>
        </w:rPr>
        <w:t xml:space="preserve">Mengatur mekanisme koordinasi antara PPJ, pengelola jurnal, dan UPA TIK dalam proses pengalihan domain.</w:t>
      </w:r>
    </w:p>
    <w:p>
      <w:pPr>
        <w:pStyle w:val="ListParagraph"/>
        <w:numPr>
          <w:ilvl w:val="0"/>
          <w:numId w:val="2"/>
        </w:numPr>
        <w:spacing w:after="80" w:line="276"/>
        <w:jc w:val="both"/>
      </w:pPr>
      <w:r>
        <w:rPr>
          <w:rFonts w:ascii="Arial" w:cs="Arial" w:eastAsia="Arial" w:hAnsi="Arial"/>
          <w:sz w:val="22"/>
          <w:szCs w:val="22"/>
        </w:rPr>
        <w:t xml:space="preserve">Memastikan migrasi domain berlangsung tanpa menyebabkan gangguan layanan yang berkepanjangan bagi jurnal yang bersangkutan.</w:t>
      </w:r>
    </w:p>
    <w:p>
      <w:pPr>
        <w:pStyle w:val="ListParagraph"/>
        <w:numPr>
          <w:ilvl w:val="0"/>
          <w:numId w:val="2"/>
        </w:numPr>
        <w:spacing w:after="80" w:line="276"/>
        <w:jc w:val="both"/>
      </w:pPr>
      <w:r>
        <w:rPr>
          <w:rFonts w:ascii="Arial" w:cs="Arial" w:eastAsia="Arial" w:hAnsi="Arial"/>
          <w:sz w:val="22"/>
          <w:szCs w:val="22"/>
        </w:rPr>
        <w:t xml:space="preserve">Mendokumentasikan seluruh proses sehingga dapat diaudit dan dievaluasi secara berkala.</w:t>
      </w:r>
    </w:p>
    <w:p>
      <w:pPr>
        <w:pStyle w:val="Heading2"/>
        <w:spacing w:after="120" w:before="240"/>
      </w:pPr>
      <w:r>
        <w:rPr>
          <w:rFonts w:ascii="Arial" w:cs="Arial" w:eastAsia="Arial" w:hAnsi="Arial"/>
          <w:b/>
          <w:bCs/>
          <w:color w:val="0B2A4A"/>
          <w:sz w:val="24"/>
          <w:szCs w:val="24"/>
        </w:rPr>
        <w:t xml:space="preserve">1.3 Ruang Lingkup</w:t>
      </w:r>
    </w:p>
    <w:p>
      <w:pPr>
        <w:spacing w:after="120" w:line="276"/>
        <w:jc w:val="both"/>
      </w:pPr>
      <w:r>
        <w:rPr>
          <w:rFonts w:ascii="Arial" w:cs="Arial" w:eastAsia="Arial" w:hAnsi="Arial"/>
          <w:sz w:val="22"/>
          <w:szCs w:val="22"/>
        </w:rPr>
        <w:t xml:space="preserve">SOP ini berlaku bagi seluruh jurnal ilmiah di lingkungan Universitas Jenderal Soedirman yang:</w:t>
      </w:r>
    </w:p>
    <w:p>
      <w:pPr>
        <w:pStyle w:val="ListParagraph"/>
        <w:numPr>
          <w:ilvl w:val="0"/>
          <w:numId w:val="3"/>
        </w:numPr>
        <w:spacing w:after="80" w:line="276"/>
        <w:jc w:val="both"/>
      </w:pPr>
      <w:r>
        <w:rPr>
          <w:rFonts w:ascii="Arial" w:cs="Arial" w:eastAsia="Arial" w:hAnsi="Arial"/>
          <w:sz w:val="22"/>
          <w:szCs w:val="22"/>
        </w:rPr>
        <w:t xml:space="preserve">Saat ini menggunakan domain di luar unsoed.ac.id (contoh: jurnalnamaunit.id, jurnalnamaunit.com, dan sejenisnya);</w:t>
      </w:r>
    </w:p>
    <w:p>
      <w:pPr>
        <w:pStyle w:val="ListParagraph"/>
        <w:numPr>
          <w:ilvl w:val="0"/>
          <w:numId w:val="3"/>
        </w:numPr>
        <w:spacing w:after="80" w:line="276"/>
        <w:jc w:val="both"/>
      </w:pPr>
      <w:r>
        <w:rPr>
          <w:rFonts w:ascii="Arial" w:cs="Arial" w:eastAsia="Arial" w:hAnsi="Arial"/>
          <w:sz w:val="22"/>
          <w:szCs w:val="22"/>
        </w:rPr>
        <w:t xml:space="preserve">Telah terdaftar atau akan didaftarkan ke dalam SIMONJU; dan</w:t>
      </w:r>
    </w:p>
    <w:p>
      <w:pPr>
        <w:pStyle w:val="ListParagraph"/>
        <w:numPr>
          <w:ilvl w:val="0"/>
          <w:numId w:val="3"/>
        </w:numPr>
        <w:spacing w:after="80" w:line="276"/>
        <w:jc w:val="both"/>
      </w:pPr>
      <w:r>
        <w:rPr>
          <w:rFonts w:ascii="Arial" w:cs="Arial" w:eastAsia="Arial" w:hAnsi="Arial"/>
          <w:sz w:val="22"/>
          <w:szCs w:val="22"/>
        </w:rPr>
        <w:t xml:space="preserve">Dikelola oleh unit akademik atau unit kerja yang berada di bawah naungan Universitas Jenderal Soedirman.</w:t>
      </w:r>
    </w:p>
    <w:p>
      <w:pPr>
        <w:spacing w:after="120" w:line="276"/>
        <w:jc w:val="both"/>
      </w:pPr>
      <w:r>
        <w:rPr>
          <w:rFonts w:ascii="Arial" w:cs="Arial" w:eastAsia="Arial" w:hAnsi="Arial"/>
          <w:sz w:val="22"/>
          <w:szCs w:val="22"/>
        </w:rPr>
        <w:t xml:space="preserve">SOP ini tidak mengatur pengalihan kepemilikan hosting, perpanjangan domain lama, atau prosedur akreditasi jurnal. Kebijakan teknis subdomain ditetapkan oleh UPA TIK Unsoed.</w:t>
      </w:r>
    </w:p>
    <w:p>
      <w:pPr>
        <w:pStyle w:val="Heading2"/>
        <w:spacing w:after="120" w:before="240"/>
      </w:pPr>
      <w:r>
        <w:rPr>
          <w:rFonts w:ascii="Arial" w:cs="Arial" w:eastAsia="Arial" w:hAnsi="Arial"/>
          <w:b/>
          <w:bCs/>
          <w:color w:val="0B2A4A"/>
          <w:sz w:val="24"/>
          <w:szCs w:val="24"/>
        </w:rPr>
        <w:t xml:space="preserve">1.4 Dasar Hukum</w:t>
      </w:r>
    </w:p>
    <w:p>
      <w:pPr>
        <w:spacing w:after="120" w:line="276"/>
        <w:jc w:val="both"/>
      </w:pPr>
      <w:r>
        <w:rPr>
          <w:rFonts w:ascii="Arial" w:cs="Arial" w:eastAsia="Arial" w:hAnsi="Arial"/>
          <w:sz w:val="22"/>
          <w:szCs w:val="22"/>
        </w:rPr>
        <w:t xml:space="preserve">Penyusunan SOP ini mengacu pada peraturan perundang-undangan dan ketentuan sebagai berikut:</w:t>
      </w:r>
    </w:p>
    <w:p>
      <w:pPr>
        <w:pStyle w:val="ListParagraph"/>
        <w:numPr>
          <w:ilvl w:val="0"/>
          <w:numId w:val="4"/>
        </w:numPr>
        <w:spacing w:after="80" w:line="276"/>
        <w:jc w:val="both"/>
      </w:pPr>
      <w:r>
        <w:rPr>
          <w:rFonts w:ascii="Arial" w:cs="Arial" w:eastAsia="Arial" w:hAnsi="Arial"/>
          <w:sz w:val="22"/>
          <w:szCs w:val="22"/>
        </w:rPr>
        <w:t xml:space="preserve">Peraturan Menteri Riset, Teknologi, dan Pendidikan Tinggi Nomor 9 Tahun 2018 tentang Akreditasi Jurnal Ilmiah.</w:t>
      </w:r>
    </w:p>
    <w:p>
      <w:pPr>
        <w:pStyle w:val="ListParagraph"/>
        <w:numPr>
          <w:ilvl w:val="0"/>
          <w:numId w:val="4"/>
        </w:numPr>
        <w:spacing w:after="80" w:line="276"/>
        <w:jc w:val="both"/>
      </w:pPr>
      <w:r>
        <w:rPr>
          <w:rFonts w:ascii="Arial" w:cs="Arial" w:eastAsia="Arial" w:hAnsi="Arial"/>
          <w:sz w:val="22"/>
          <w:szCs w:val="22"/>
        </w:rPr>
        <w:t xml:space="preserve">Keputusan Direktur Jenderal Pendidikan Tinggi, Riset, dan Teknologi Nomor 134/E/KPT/2021 tentang Pedoman Akreditasi Jurnal Ilmiah.</w:t>
      </w:r>
    </w:p>
    <w:p>
      <w:pPr>
        <w:pStyle w:val="ListParagraph"/>
        <w:numPr>
          <w:ilvl w:val="0"/>
          <w:numId w:val="4"/>
        </w:numPr>
        <w:spacing w:after="80" w:line="276"/>
        <w:jc w:val="both"/>
      </w:pPr>
      <w:r>
        <w:rPr>
          <w:rFonts w:ascii="Arial" w:cs="Arial" w:eastAsia="Arial" w:hAnsi="Arial"/>
          <w:sz w:val="22"/>
          <w:szCs w:val="22"/>
        </w:rPr>
        <w:t xml:space="preserve">Kebijakan Rektor Universitas Jenderal Soedirman tentang tata kelola aset digital dan domain institusi.</w:t>
      </w:r>
    </w:p>
    <w:p>
      <w:pPr>
        <w:pStyle w:val="ListParagraph"/>
        <w:numPr>
          <w:ilvl w:val="0"/>
          <w:numId w:val="4"/>
        </w:numPr>
        <w:spacing w:after="80" w:line="276"/>
        <w:jc w:val="both"/>
      </w:pPr>
      <w:r>
        <w:rPr>
          <w:rFonts w:ascii="Arial" w:cs="Arial" w:eastAsia="Arial" w:hAnsi="Arial"/>
          <w:sz w:val="22"/>
          <w:szCs w:val="22"/>
        </w:rPr>
        <w:t xml:space="preserve">Ketentuan teknis pengelolaan domain yang ditetapkan oleh UPA TIK Universitas Jenderal Soedirman.</w:t>
      </w:r>
    </w:p>
    <w:p>
      <w:pPr>
        <w:pStyle w:val="Heading2"/>
        <w:spacing w:after="120" w:before="240"/>
      </w:pPr>
      <w:r>
        <w:rPr>
          <w:rFonts w:ascii="Arial" w:cs="Arial" w:eastAsia="Arial" w:hAnsi="Arial"/>
          <w:b/>
          <w:bCs/>
          <w:color w:val="0B2A4A"/>
          <w:sz w:val="24"/>
          <w:szCs w:val="24"/>
        </w:rPr>
        <w:t xml:space="preserve">1.5 Definisi dan Istilah</w:t>
      </w:r>
    </w:p>
    <w:p>
      <w:pPr>
        <w:pStyle w:val="ListParagraph"/>
        <w:numPr>
          <w:ilvl w:val="0"/>
          <w:numId w:val="5"/>
        </w:numPr>
        <w:spacing w:after="80" w:line="276"/>
        <w:jc w:val="both"/>
      </w:pPr>
      <w:r>
        <w:rPr>
          <w:rFonts w:ascii="Arial" w:cs="Arial" w:eastAsia="Arial" w:hAnsi="Arial"/>
          <w:sz w:val="22"/>
          <w:szCs w:val="22"/>
        </w:rPr>
        <w:t xml:space="preserve">Domain Jurnal adalah alamat URL yang digunakan oleh sistem manajemen jurnal (OJS atau sejenisnya) sebagai titik akses publik ke jurnal tersebut.</w:t>
      </w:r>
    </w:p>
    <w:p>
      <w:pPr>
        <w:pStyle w:val="ListParagraph"/>
        <w:numPr>
          <w:ilvl w:val="0"/>
          <w:numId w:val="5"/>
        </w:numPr>
        <w:spacing w:after="80" w:line="276"/>
        <w:jc w:val="both"/>
      </w:pPr>
      <w:r>
        <w:rPr>
          <w:rFonts w:ascii="Arial" w:cs="Arial" w:eastAsia="Arial" w:hAnsi="Arial"/>
          <w:sz w:val="22"/>
          <w:szCs w:val="22"/>
        </w:rPr>
        <w:t xml:space="preserve">Domain Unsoed (unsoed.ac.id) adalah domain resmi Universitas Jenderal Soedirman. Seluruh subdomain di bawahnya (*.unsoed.ac.id) dikelola oleh UPA TIK Unsoed.</w:t>
      </w:r>
    </w:p>
    <w:p>
      <w:pPr>
        <w:pStyle w:val="ListParagraph"/>
        <w:numPr>
          <w:ilvl w:val="0"/>
          <w:numId w:val="5"/>
        </w:numPr>
        <w:spacing w:after="80" w:line="276"/>
        <w:jc w:val="both"/>
      </w:pPr>
      <w:r>
        <w:rPr>
          <w:rFonts w:ascii="Arial" w:cs="Arial" w:eastAsia="Arial" w:hAnsi="Arial"/>
          <w:sz w:val="22"/>
          <w:szCs w:val="22"/>
        </w:rPr>
        <w:t xml:space="preserve">Pengalihan Domain adalah proses mengganti domain jurnal dari domain non-Unsoed ke subdomain di bawah unsoed.ac.id, tanpa memindahkan hosting secara wajib.</w:t>
      </w:r>
    </w:p>
    <w:p>
      <w:pPr>
        <w:pStyle w:val="ListParagraph"/>
        <w:numPr>
          <w:ilvl w:val="0"/>
          <w:numId w:val="5"/>
        </w:numPr>
        <w:spacing w:after="80" w:line="276"/>
        <w:jc w:val="both"/>
      </w:pPr>
      <w:r>
        <w:rPr>
          <w:rFonts w:ascii="Arial" w:cs="Arial" w:eastAsia="Arial" w:hAnsi="Arial"/>
          <w:sz w:val="22"/>
          <w:szCs w:val="22"/>
        </w:rPr>
        <w:t xml:space="preserve">PPJ (Pusat Pengelolaan Jurnal) adalah unit di bawah LPPM Universitas Jenderal Soedirman yang bertanggung jawab atas pembinaan dan koordinasi jurnal-jurnal di lingkungan Unsoed.</w:t>
      </w:r>
    </w:p>
    <w:p>
      <w:pPr>
        <w:pStyle w:val="ListParagraph"/>
        <w:numPr>
          <w:ilvl w:val="0"/>
          <w:numId w:val="5"/>
        </w:numPr>
        <w:spacing w:after="80" w:line="276"/>
        <w:jc w:val="both"/>
      </w:pPr>
      <w:r>
        <w:rPr>
          <w:rFonts w:ascii="Arial" w:cs="Arial" w:eastAsia="Arial" w:hAnsi="Arial"/>
          <w:sz w:val="22"/>
          <w:szCs w:val="22"/>
        </w:rPr>
        <w:t xml:space="preserve">UPA TIK adalah Unit Pelaksana Akademik Teknologi Informasi dan Komunikasi Universitas Jenderal Soedirman.</w:t>
      </w:r>
    </w:p>
    <w:p>
      <w:pPr>
        <w:pStyle w:val="ListParagraph"/>
        <w:numPr>
          <w:ilvl w:val="0"/>
          <w:numId w:val="5"/>
        </w:numPr>
        <w:spacing w:after="80" w:line="276"/>
        <w:jc w:val="both"/>
      </w:pPr>
      <w:r>
        <w:rPr>
          <w:rFonts w:ascii="Arial" w:cs="Arial" w:eastAsia="Arial" w:hAnsi="Arial"/>
          <w:sz w:val="22"/>
          <w:szCs w:val="22"/>
        </w:rPr>
        <w:t xml:space="preserve">SIMONJU (Sistem Informasi Monitoring Jurnal) adalah sistem informasi berbasis web yang menjadi basis data terpusat seluruh jurnal Universitas Jenderal Soedirman.</w:t>
      </w:r>
    </w:p>
    <w:p>
      <w:pPr>
        <w:pageBreakBefore/>
        <w:spacing w:after="200"/>
        <w:jc w:val="center"/>
      </w:pPr>
      <w:r>
        <w:rPr>
          <w:rFonts w:ascii="Arial" w:cs="Arial" w:eastAsia="Arial" w:hAnsi="Arial"/>
          <w:b/>
          <w:bCs/>
          <w:color w:val="0B2A4A"/>
          <w:sz w:val="32"/>
          <w:szCs w:val="32"/>
        </w:rPr>
        <w:t xml:space="preserve">BAB II</w:t>
      </w:r>
    </w:p>
    <w:p>
      <w:pPr>
        <w:pStyle w:val="Heading1"/>
        <w:spacing w:after="400"/>
        <w:jc w:val="center"/>
      </w:pPr>
      <w:r>
        <w:rPr>
          <w:rFonts w:ascii="Arial" w:cs="Arial" w:eastAsia="Arial" w:hAnsi="Arial"/>
          <w:b/>
          <w:bCs/>
          <w:color w:val="0B2A4A"/>
          <w:sz w:val="32"/>
          <w:szCs w:val="32"/>
        </w:rPr>
        <w:t xml:space="preserve">PIHAK TERKAIT DAN TANGGUNG JAWAB</w:t>
      </w:r>
    </w:p>
    <w:p>
      <w:pPr>
        <w:spacing w:after="120" w:line="276"/>
        <w:jc w:val="both"/>
      </w:pPr>
      <w:r>
        <w:rPr>
          <w:rFonts w:ascii="Arial" w:cs="Arial" w:eastAsia="Arial" w:hAnsi="Arial"/>
          <w:sz w:val="22"/>
          <w:szCs w:val="22"/>
        </w:rPr>
        <w:t xml:space="preserve">Pihak-pihak yang terlibat dalam prosedur pengalihan domain jurnal beserta tugas dan tanggung jawab masing-masing diuraikan dalam tabel berikut:</w:t>
      </w:r>
    </w:p>
    <w:p>
      <w:pPr>
        <w:spacing w:after="120"/>
      </w:pPr>
      <w:r>
        <w:t xml:space="preserve"/>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2400"/>
        <w:gridCol w:w="5537"/>
      </w:tblGrid>
      <w:tr>
        <w:trPr>
          <w:tblHeader/>
        </w:trPr>
        <w:tc>
          <w:tcPr>
            <w:tcW w:type="dxa" w:w="2400"/>
            <w:tcBorders>
              <w:top w:val="single" w:color="BFBFBF" w:sz="4"/>
              <w:left w:val="single" w:color="BFBFBF" w:sz="4"/>
              <w:bottom w:val="single" w:color="BFBFBF" w:sz="4"/>
              <w:right w:val="single" w:color="BFBFBF" w:sz="4"/>
            </w:tcBorders>
            <w:shd w:fill="0B2A4A" w:val="clear"/>
            <w:tcMar>
              <w:top w:type="dxa" w:w="100"/>
              <w:left w:type="dxa" w:w="140"/>
              <w:bottom w:type="dxa" w:w="100"/>
              <w:right w:type="dxa" w:w="140"/>
            </w:tcMar>
            <w:vAlign w:val="center"/>
          </w:tcPr>
          <w:p>
            <w:pPr>
              <w:spacing w:after="0" w:line="264"/>
              <w:jc w:val="center"/>
            </w:pPr>
            <w:r>
              <w:rPr>
                <w:rFonts w:ascii="Arial" w:cs="Arial" w:eastAsia="Arial" w:hAnsi="Arial"/>
                <w:b/>
                <w:bCs/>
                <w:color w:val="FFFFFF"/>
                <w:sz w:val="22"/>
                <w:szCs w:val="22"/>
              </w:rPr>
              <w:t xml:space="preserve">Pihak</w:t>
            </w:r>
          </w:p>
        </w:tc>
        <w:tc>
          <w:tcPr>
            <w:tcW w:type="dxa" w:w="5537"/>
            <w:tcBorders>
              <w:top w:val="single" w:color="BFBFBF" w:sz="4"/>
              <w:left w:val="single" w:color="BFBFBF" w:sz="4"/>
              <w:bottom w:val="single" w:color="BFBFBF" w:sz="4"/>
              <w:right w:val="single" w:color="BFBFBF" w:sz="4"/>
            </w:tcBorders>
            <w:shd w:fill="0B2A4A" w:val="clear"/>
            <w:tcMar>
              <w:top w:type="dxa" w:w="100"/>
              <w:left w:type="dxa" w:w="140"/>
              <w:bottom w:type="dxa" w:w="100"/>
              <w:right w:type="dxa" w:w="140"/>
            </w:tcMar>
            <w:vAlign w:val="center"/>
          </w:tcPr>
          <w:p>
            <w:pPr>
              <w:spacing w:after="0" w:line="264"/>
              <w:jc w:val="center"/>
            </w:pPr>
            <w:r>
              <w:rPr>
                <w:rFonts w:ascii="Arial" w:cs="Arial" w:eastAsia="Arial" w:hAnsi="Arial"/>
                <w:b/>
                <w:bCs/>
                <w:color w:val="FFFFFF"/>
                <w:sz w:val="22"/>
                <w:szCs w:val="22"/>
              </w:rPr>
              <w:t xml:space="preserve">Tugas dan Tanggung Jawab</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64"/>
              <w:jc w:val="left"/>
            </w:pPr>
            <w:r>
              <w:rPr>
                <w:rFonts w:ascii="Arial" w:cs="Arial" w:eastAsia="Arial" w:hAnsi="Arial"/>
                <w:b/>
                <w:bCs/>
                <w:sz w:val="22"/>
                <w:szCs w:val="22"/>
              </w:rPr>
              <w:t xml:space="preserve">Pengelola Jurnal (Ketua Editor)</w:t>
            </w:r>
          </w:p>
        </w:tc>
        <w:tc>
          <w:tcPr>
            <w:tcW w:type="dxa" w:w="5537"/>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64"/>
              <w:jc w:val="both"/>
            </w:pPr>
            <w:r>
              <w:rPr>
                <w:rFonts w:ascii="Arial" w:cs="Arial" w:eastAsia="Arial" w:hAnsi="Arial"/>
                <w:sz w:val="22"/>
                <w:szCs w:val="22"/>
              </w:rPr>
              <w:t xml:space="preserve">Mengajukan permohonan pengalihan domain secara resmi kepada PPJ melalui surat permohonan beserta lampiran formulir yang telah diisi lengkap; bertanggung jawab atas kelengkapan dan kebenaran data yang disampaikan; melaksanakan pembaruan konfigurasi OJS/sistem jurnal setelah subdomain diterbitkan oleh UPA TIK.</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64"/>
              <w:jc w:val="left"/>
            </w:pPr>
            <w:r>
              <w:rPr>
                <w:rFonts w:ascii="Arial" w:cs="Arial" w:eastAsia="Arial" w:hAnsi="Arial"/>
                <w:b/>
                <w:bCs/>
                <w:sz w:val="22"/>
                <w:szCs w:val="22"/>
              </w:rPr>
              <w:t xml:space="preserve">Pimpinan Unit (Dekan/Direktur/Ketua Lembaga/Kepala Pusat)</w:t>
            </w:r>
          </w:p>
        </w:tc>
        <w:tc>
          <w:tcPr>
            <w:tcW w:type="dxa" w:w="5537"/>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64"/>
              <w:jc w:val="both"/>
            </w:pPr>
            <w:r>
              <w:rPr>
                <w:rFonts w:ascii="Arial" w:cs="Arial" w:eastAsia="Arial" w:hAnsi="Arial"/>
                <w:sz w:val="22"/>
                <w:szCs w:val="22"/>
              </w:rPr>
              <w:t xml:space="preserve">Menandatangani surat permohonan sebagai persetujuan institusional dari unit tempat jurnal bernaung; menjamin ketersediaan sumber daya teknis untuk pelaksanaan pengalihan domain.</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64"/>
              <w:jc w:val="left"/>
            </w:pPr>
            <w:r>
              <w:rPr>
                <w:rFonts w:ascii="Arial" w:cs="Arial" w:eastAsia="Arial" w:hAnsi="Arial"/>
                <w:b/>
                <w:bCs/>
                <w:sz w:val="22"/>
                <w:szCs w:val="22"/>
              </w:rPr>
              <w:t xml:space="preserve">Pusat Pengelolaan Jurnal (PPJ)</w:t>
            </w:r>
          </w:p>
        </w:tc>
        <w:tc>
          <w:tcPr>
            <w:tcW w:type="dxa" w:w="5537"/>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64"/>
              <w:jc w:val="both"/>
            </w:pPr>
            <w:r>
              <w:rPr>
                <w:rFonts w:ascii="Arial" w:cs="Arial" w:eastAsia="Arial" w:hAnsi="Arial"/>
                <w:sz w:val="22"/>
                <w:szCs w:val="22"/>
              </w:rPr>
              <w:t xml:space="preserve">Menerima dan memverifikasi kelengkapan berkas permohonan; meneruskan permohonan ke UPA TIK setelah dinyatakan lengkap dan valid; memantau progres proses teknis; memperbarui data domain jurnal di SIMONJU setelah pengalihan selesai.</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64"/>
              <w:jc w:val="left"/>
            </w:pPr>
            <w:r>
              <w:rPr>
                <w:rFonts w:ascii="Arial" w:cs="Arial" w:eastAsia="Arial" w:hAnsi="Arial"/>
                <w:b/>
                <w:bCs/>
                <w:sz w:val="22"/>
                <w:szCs w:val="22"/>
              </w:rPr>
              <w:t xml:space="preserve">UPA TIK Universitas Jenderal Soedirman</w:t>
            </w:r>
          </w:p>
        </w:tc>
        <w:tc>
          <w:tcPr>
            <w:tcW w:type="dxa" w:w="5537"/>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64"/>
              <w:jc w:val="both"/>
            </w:pPr>
            <w:r>
              <w:rPr>
                <w:rFonts w:ascii="Arial" w:cs="Arial" w:eastAsia="Arial" w:hAnsi="Arial"/>
                <w:sz w:val="22"/>
                <w:szCs w:val="22"/>
              </w:rPr>
              <w:t xml:space="preserve">Memproses permintaan penerbitan subdomain baru atas rekomendasi PPJ; berkoordinasi dengan pengelola jurnal terkait konfigurasi DNS atau reverse proxy; menerbitkan subdomain dalam rentang waktu yang ditetapkan.</w:t>
            </w:r>
          </w:p>
        </w:tc>
      </w:tr>
    </w:tbl>
    <w:p>
      <w:pPr>
        <w:pageBreakBefore/>
        <w:spacing w:after="200"/>
        <w:jc w:val="center"/>
      </w:pPr>
      <w:r>
        <w:rPr>
          <w:rFonts w:ascii="Arial" w:cs="Arial" w:eastAsia="Arial" w:hAnsi="Arial"/>
          <w:b/>
          <w:bCs/>
          <w:color w:val="0B2A4A"/>
          <w:sz w:val="32"/>
          <w:szCs w:val="32"/>
        </w:rPr>
        <w:t xml:space="preserve">BAB III</w:t>
      </w:r>
    </w:p>
    <w:p>
      <w:pPr>
        <w:pStyle w:val="Heading1"/>
        <w:spacing w:after="400"/>
        <w:jc w:val="center"/>
      </w:pPr>
      <w:r>
        <w:rPr>
          <w:rFonts w:ascii="Arial" w:cs="Arial" w:eastAsia="Arial" w:hAnsi="Arial"/>
          <w:b/>
          <w:bCs/>
          <w:color w:val="0B2A4A"/>
          <w:sz w:val="32"/>
          <w:szCs w:val="32"/>
        </w:rPr>
        <w:t xml:space="preserve">PERSYARATAN PENGAJUAN</w:t>
      </w:r>
    </w:p>
    <w:p>
      <w:pPr>
        <w:spacing w:after="120" w:line="276"/>
        <w:jc w:val="both"/>
      </w:pPr>
      <w:r>
        <w:rPr>
          <w:rFonts w:ascii="Arial" w:cs="Arial" w:eastAsia="Arial" w:hAnsi="Arial"/>
          <w:sz w:val="22"/>
          <w:szCs w:val="22"/>
        </w:rPr>
        <w:t xml:space="preserve">Permohonan pengalihan domain dinyatakan lengkap apabila memenuhi persyaratan administratif sebagai berikut:</w:t>
      </w:r>
    </w:p>
    <w:p>
      <w:pPr>
        <w:pStyle w:val="ListParagraph"/>
        <w:numPr>
          <w:ilvl w:val="0"/>
          <w:numId w:val="6"/>
        </w:numPr>
        <w:spacing w:after="80" w:line="276"/>
        <w:jc w:val="both"/>
      </w:pPr>
      <w:r>
        <w:rPr>
          <w:rFonts w:ascii="Arial" w:cs="Arial" w:eastAsia="Arial" w:hAnsi="Arial"/>
          <w:sz w:val="22"/>
          <w:szCs w:val="22"/>
        </w:rPr>
        <w:t xml:space="preserve">Surat Permohonan Pengalihan Domain Jurnal yang ditandatangani oleh pimpinan unit pengusul (Dekan/Direktur/Ketua Lembaga/Kepala Pusat), ditujukan kepada Ketua LPPM Unsoed c.q. Kepala Pusat Pengelolaan Jurnal.</w:t>
      </w:r>
    </w:p>
    <w:p>
      <w:pPr>
        <w:pStyle w:val="ListParagraph"/>
        <w:numPr>
          <w:ilvl w:val="0"/>
          <w:numId w:val="6"/>
        </w:numPr>
        <w:spacing w:after="80" w:line="276"/>
        <w:jc w:val="both"/>
      </w:pPr>
      <w:r>
        <w:rPr>
          <w:rFonts w:ascii="Arial" w:cs="Arial" w:eastAsia="Arial" w:hAnsi="Arial"/>
          <w:sz w:val="22"/>
          <w:szCs w:val="22"/>
        </w:rPr>
        <w:t xml:space="preserve">Formulir Permohonan Pengalihan Domain Jurnal (Lampiran 2 SOP ini) yang telah diisi lengkap dan benar.</w:t>
      </w:r>
    </w:p>
    <w:p>
      <w:pPr>
        <w:pStyle w:val="ListParagraph"/>
        <w:numPr>
          <w:ilvl w:val="0"/>
          <w:numId w:val="6"/>
        </w:numPr>
        <w:spacing w:after="80" w:line="276"/>
        <w:jc w:val="both"/>
      </w:pPr>
      <w:r>
        <w:rPr>
          <w:rFonts w:ascii="Arial" w:cs="Arial" w:eastAsia="Arial" w:hAnsi="Arial"/>
          <w:sz w:val="22"/>
          <w:szCs w:val="22"/>
        </w:rPr>
        <w:t xml:space="preserve">Bukti kepemilikan atau akses admin OJS jurnal (screenshot halaman admin atau surat pernyataan dari pengelola).</w:t>
      </w:r>
    </w:p>
    <w:p>
      <w:pPr>
        <w:pStyle w:val="ListParagraph"/>
        <w:numPr>
          <w:ilvl w:val="0"/>
          <w:numId w:val="6"/>
        </w:numPr>
        <w:spacing w:after="80" w:line="276"/>
        <w:jc w:val="both"/>
      </w:pPr>
      <w:r>
        <w:rPr>
          <w:rFonts w:ascii="Arial" w:cs="Arial" w:eastAsia="Arial" w:hAnsi="Arial"/>
          <w:sz w:val="22"/>
          <w:szCs w:val="22"/>
        </w:rPr>
        <w:t xml:space="preserve">Seluruh berkas disampaikan dalam bentuk soft copy (format PDF) melalui email resmi PPJ atau portal SIMONJU.</w:t>
      </w:r>
    </w:p>
    <w:p>
      <w:pPr>
        <w:pageBreakBefore/>
        <w:spacing w:after="200"/>
        <w:jc w:val="center"/>
      </w:pPr>
      <w:r>
        <w:rPr>
          <w:rFonts w:ascii="Arial" w:cs="Arial" w:eastAsia="Arial" w:hAnsi="Arial"/>
          <w:b/>
          <w:bCs/>
          <w:color w:val="0B2A4A"/>
          <w:sz w:val="32"/>
          <w:szCs w:val="32"/>
        </w:rPr>
        <w:t xml:space="preserve">BAB IV</w:t>
      </w:r>
    </w:p>
    <w:p>
      <w:pPr>
        <w:pStyle w:val="Heading1"/>
        <w:spacing w:after="400"/>
        <w:jc w:val="center"/>
      </w:pPr>
      <w:r>
        <w:rPr>
          <w:rFonts w:ascii="Arial" w:cs="Arial" w:eastAsia="Arial" w:hAnsi="Arial"/>
          <w:b/>
          <w:bCs/>
          <w:color w:val="0B2A4A"/>
          <w:sz w:val="32"/>
          <w:szCs w:val="32"/>
        </w:rPr>
        <w:t xml:space="preserve">PROSEDUR PENGALIHAN DOMAIN</w:t>
      </w:r>
    </w:p>
    <w:p>
      <w:pPr>
        <w:pStyle w:val="Heading2"/>
        <w:spacing w:after="120" w:before="240"/>
      </w:pPr>
      <w:r>
        <w:rPr>
          <w:rFonts w:ascii="Arial" w:cs="Arial" w:eastAsia="Arial" w:hAnsi="Arial"/>
          <w:b/>
          <w:bCs/>
          <w:color w:val="0B2A4A"/>
          <w:sz w:val="24"/>
          <w:szCs w:val="24"/>
        </w:rPr>
        <w:t xml:space="preserve">4.1 Diagram Alur Prosedur</w:t>
      </w:r>
    </w:p>
    <w:p>
      <w:pPr>
        <w:spacing w:after="120" w:line="276"/>
        <w:jc w:val="both"/>
      </w:pPr>
      <w:r>
        <w:rPr>
          <w:rFonts w:ascii="Arial" w:cs="Arial" w:eastAsia="Arial" w:hAnsi="Arial"/>
          <w:sz w:val="22"/>
          <w:szCs w:val="22"/>
        </w:rPr>
        <w:t xml:space="preserve">Secara ringkas, alur permohonan pengalihan domain jurnal dapat digambarkan sebagai berikut:</w:t>
      </w:r>
    </w:p>
    <w:p>
      <w:pPr>
        <w:spacing w:after="80"/>
      </w:pPr>
      <w:r>
        <w:t xml:space="preserve"/>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0"/>
              <w:jc w:val="center"/>
            </w:pPr>
            <w:r>
              <w:rPr>
                <w:rFonts w:ascii="Arial" w:cs="Arial" w:eastAsia="Arial" w:hAnsi="Arial"/>
                <w:b/>
                <w:bCs/>
                <w:color w:val="000000"/>
                <w:sz w:val="22"/>
                <w:szCs w:val="22"/>
              </w:rPr>
              <w:t xml:space="preserve">1. Pengelola Jurnal menyiapkan dokumen permohonan</w:t>
            </w:r>
          </w:p>
        </w:tc>
      </w:tr>
      <w:tr>
        <w:tc>
          <w:tcPr>
            <w:tcW w:type="dxa" w:w="60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jc w:val="center"/>
            </w:pPr>
            <w:r>
              <w:rPr>
                <w:rFonts w:ascii="Arial" w:cs="Arial" w:eastAsia="Arial" w:hAnsi="Arial"/>
                <w:b w:val="false"/>
                <w:bCs w:val="false"/>
                <w:color w:val="0B2A4A"/>
                <w:sz w:val="24"/>
                <w:szCs w:val="24"/>
              </w:rPr>
              <w:t xml:space="preserve">▼</w:t>
            </w:r>
          </w:p>
        </w:tc>
      </w:tr>
      <w:tr>
        <w:tc>
          <w:tcPr>
            <w:tcW w:type="dxa" w:w="6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jc w:val="center"/>
            </w:pPr>
            <w:r>
              <w:rPr>
                <w:rFonts w:ascii="Arial" w:cs="Arial" w:eastAsia="Arial" w:hAnsi="Arial"/>
                <w:b/>
                <w:bCs/>
                <w:color w:val="000000"/>
                <w:sz w:val="22"/>
                <w:szCs w:val="22"/>
              </w:rPr>
              <w:t xml:space="preserve">2. Berkas dikirim ke PPJ via email/SIMONJU</w:t>
            </w:r>
          </w:p>
        </w:tc>
      </w:tr>
      <w:tr>
        <w:tc>
          <w:tcPr>
            <w:tcW w:type="dxa" w:w="60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jc w:val="center"/>
            </w:pPr>
            <w:r>
              <w:rPr>
                <w:rFonts w:ascii="Arial" w:cs="Arial" w:eastAsia="Arial" w:hAnsi="Arial"/>
                <w:b w:val="false"/>
                <w:bCs w:val="false"/>
                <w:color w:val="0B2A4A"/>
                <w:sz w:val="24"/>
                <w:szCs w:val="24"/>
              </w:rPr>
              <w:t xml:space="preserve">▼</w:t>
            </w:r>
          </w:p>
        </w:tc>
      </w:tr>
      <w:tr>
        <w:tc>
          <w:tcPr>
            <w:tcW w:type="dxa" w:w="6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jc w:val="center"/>
            </w:pPr>
            <w:r>
              <w:rPr>
                <w:rFonts w:ascii="Arial" w:cs="Arial" w:eastAsia="Arial" w:hAnsi="Arial"/>
                <w:b/>
                <w:bCs/>
                <w:color w:val="000000"/>
                <w:sz w:val="22"/>
                <w:szCs w:val="22"/>
              </w:rPr>
              <w:t xml:space="preserve">3. PPJ memverifikasi kelengkapan berkas</w:t>
            </w:r>
          </w:p>
        </w:tc>
      </w:tr>
      <w:tr>
        <w:tc>
          <w:tcPr>
            <w:tcW w:type="dxa" w:w="60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jc w:val="center"/>
            </w:pPr>
            <w:r>
              <w:rPr>
                <w:rFonts w:ascii="Arial" w:cs="Arial" w:eastAsia="Arial" w:hAnsi="Arial"/>
                <w:b w:val="false"/>
                <w:bCs w:val="false"/>
                <w:color w:val="0B2A4A"/>
                <w:sz w:val="24"/>
                <w:szCs w:val="24"/>
              </w:rPr>
              <w:t xml:space="preserve">▼</w:t>
            </w:r>
          </w:p>
        </w:tc>
      </w:tr>
      <w:tr>
        <w:tc>
          <w:tcPr>
            <w:tcW w:type="dxa" w:w="6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jc w:val="center"/>
            </w:pPr>
            <w:r>
              <w:rPr>
                <w:rFonts w:ascii="Arial" w:cs="Arial" w:eastAsia="Arial" w:hAnsi="Arial"/>
                <w:b/>
                <w:bCs/>
                <w:color w:val="000000"/>
                <w:sz w:val="22"/>
                <w:szCs w:val="22"/>
              </w:rPr>
              <w:t xml:space="preserve">4. PPJ meneruskan ke UPA TIK + rekomendasi nama subdomain</w:t>
            </w:r>
          </w:p>
        </w:tc>
      </w:tr>
      <w:tr>
        <w:tc>
          <w:tcPr>
            <w:tcW w:type="dxa" w:w="60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jc w:val="center"/>
            </w:pPr>
            <w:r>
              <w:rPr>
                <w:rFonts w:ascii="Arial" w:cs="Arial" w:eastAsia="Arial" w:hAnsi="Arial"/>
                <w:b w:val="false"/>
                <w:bCs w:val="false"/>
                <w:color w:val="0B2A4A"/>
                <w:sz w:val="24"/>
                <w:szCs w:val="24"/>
              </w:rPr>
              <w:t xml:space="preserve">▼</w:t>
            </w:r>
          </w:p>
        </w:tc>
      </w:tr>
      <w:tr>
        <w:tc>
          <w:tcPr>
            <w:tcW w:type="dxa" w:w="6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jc w:val="center"/>
            </w:pPr>
            <w:r>
              <w:rPr>
                <w:rFonts w:ascii="Arial" w:cs="Arial" w:eastAsia="Arial" w:hAnsi="Arial"/>
                <w:b/>
                <w:bCs/>
                <w:color w:val="000000"/>
                <w:sz w:val="22"/>
                <w:szCs w:val="22"/>
              </w:rPr>
              <w:t xml:space="preserve">5. UPA TIK menerbitkan subdomain &amp; konfigurasi DNS</w:t>
            </w:r>
          </w:p>
        </w:tc>
      </w:tr>
      <w:tr>
        <w:tc>
          <w:tcPr>
            <w:tcW w:type="dxa" w:w="60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jc w:val="center"/>
            </w:pPr>
            <w:r>
              <w:rPr>
                <w:rFonts w:ascii="Arial" w:cs="Arial" w:eastAsia="Arial" w:hAnsi="Arial"/>
                <w:b w:val="false"/>
                <w:bCs w:val="false"/>
                <w:color w:val="0B2A4A"/>
                <w:sz w:val="24"/>
                <w:szCs w:val="24"/>
              </w:rPr>
              <w:t xml:space="preserve">▼</w:t>
            </w:r>
          </w:p>
        </w:tc>
      </w:tr>
      <w:tr>
        <w:tc>
          <w:tcPr>
            <w:tcW w:type="dxa" w:w="6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jc w:val="center"/>
            </w:pPr>
            <w:r>
              <w:rPr>
                <w:rFonts w:ascii="Arial" w:cs="Arial" w:eastAsia="Arial" w:hAnsi="Arial"/>
                <w:b/>
                <w:bCs/>
                <w:color w:val="000000"/>
                <w:sz w:val="22"/>
                <w:szCs w:val="22"/>
              </w:rPr>
              <w:t xml:space="preserve">6. UPA TIK mengonfirmasi subdomain aktif</w:t>
            </w:r>
          </w:p>
        </w:tc>
      </w:tr>
      <w:tr>
        <w:tc>
          <w:tcPr>
            <w:tcW w:type="dxa" w:w="60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jc w:val="center"/>
            </w:pPr>
            <w:r>
              <w:rPr>
                <w:rFonts w:ascii="Arial" w:cs="Arial" w:eastAsia="Arial" w:hAnsi="Arial"/>
                <w:b w:val="false"/>
                <w:bCs w:val="false"/>
                <w:color w:val="0B2A4A"/>
                <w:sz w:val="24"/>
                <w:szCs w:val="24"/>
              </w:rPr>
              <w:t xml:space="preserve">▼</w:t>
            </w:r>
          </w:p>
        </w:tc>
      </w:tr>
      <w:tr>
        <w:tc>
          <w:tcPr>
            <w:tcW w:type="dxa" w:w="6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jc w:val="center"/>
            </w:pPr>
            <w:r>
              <w:rPr>
                <w:rFonts w:ascii="Arial" w:cs="Arial" w:eastAsia="Arial" w:hAnsi="Arial"/>
                <w:b/>
                <w:bCs/>
                <w:color w:val="000000"/>
                <w:sz w:val="22"/>
                <w:szCs w:val="22"/>
              </w:rPr>
              <w:t xml:space="preserve">7. Pengelola memperbarui konfigurasi URL pada OJS</w:t>
            </w:r>
          </w:p>
        </w:tc>
      </w:tr>
      <w:tr>
        <w:tc>
          <w:tcPr>
            <w:tcW w:type="dxa" w:w="60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jc w:val="center"/>
            </w:pPr>
            <w:r>
              <w:rPr>
                <w:rFonts w:ascii="Arial" w:cs="Arial" w:eastAsia="Arial" w:hAnsi="Arial"/>
                <w:b w:val="false"/>
                <w:bCs w:val="false"/>
                <w:color w:val="0B2A4A"/>
                <w:sz w:val="24"/>
                <w:szCs w:val="24"/>
              </w:rPr>
              <w:t xml:space="preserve">▼</w:t>
            </w:r>
          </w:p>
        </w:tc>
      </w:tr>
      <w:tr>
        <w:tc>
          <w:tcPr>
            <w:tcW w:type="dxa" w:w="6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jc w:val="center"/>
            </w:pPr>
            <w:r>
              <w:rPr>
                <w:rFonts w:ascii="Arial" w:cs="Arial" w:eastAsia="Arial" w:hAnsi="Arial"/>
                <w:b/>
                <w:bCs/>
                <w:color w:val="000000"/>
                <w:sz w:val="22"/>
                <w:szCs w:val="22"/>
              </w:rPr>
              <w:t xml:space="preserve">8. PPJ memperbarui data domain di SIMONJU</w:t>
            </w:r>
          </w:p>
        </w:tc>
      </w:tr>
      <w:tr>
        <w:tc>
          <w:tcPr>
            <w:tcW w:type="dxa" w:w="60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jc w:val="center"/>
            </w:pPr>
            <w:r>
              <w:rPr>
                <w:rFonts w:ascii="Arial" w:cs="Arial" w:eastAsia="Arial" w:hAnsi="Arial"/>
                <w:b w:val="false"/>
                <w:bCs w:val="false"/>
                <w:color w:val="0B2A4A"/>
                <w:sz w:val="24"/>
                <w:szCs w:val="24"/>
              </w:rPr>
              <w:t xml:space="preserve">▼</w:t>
            </w:r>
          </w:p>
        </w:tc>
      </w:tr>
      <w:tr>
        <w:tc>
          <w:tcPr>
            <w:tcW w:type="dxa" w:w="60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0"/>
              <w:jc w:val="center"/>
            </w:pPr>
            <w:r>
              <w:rPr>
                <w:rFonts w:ascii="Arial" w:cs="Arial" w:eastAsia="Arial" w:hAnsi="Arial"/>
                <w:b/>
                <w:bCs/>
                <w:color w:val="000000"/>
                <w:sz w:val="22"/>
                <w:szCs w:val="22"/>
              </w:rPr>
              <w:t xml:space="preserve">9. PPJ menyampaikan notifikasi penyelesaian</w:t>
            </w:r>
          </w:p>
        </w:tc>
      </w:tr>
    </w:tbl>
    <w:p>
      <w:pPr>
        <w:pStyle w:val="Heading2"/>
        <w:spacing w:after="120" w:before="240"/>
      </w:pPr>
      <w:r>
        <w:rPr>
          <w:rFonts w:ascii="Arial" w:cs="Arial" w:eastAsia="Arial" w:hAnsi="Arial"/>
          <w:b/>
          <w:bCs/>
          <w:color w:val="0B2A4A"/>
          <w:sz w:val="24"/>
          <w:szCs w:val="24"/>
        </w:rPr>
        <w:t xml:space="preserve">4.2 Uraian Prosedur Tahap demi Tahap</w:t>
      </w:r>
    </w:p>
    <w:p>
      <w:pPr>
        <w:spacing w:after="120" w:line="276"/>
        <w:jc w:val="both"/>
      </w:pPr>
      <w:r>
        <w:rPr>
          <w:rFonts w:ascii="Arial" w:cs="Arial" w:eastAsia="Arial" w:hAnsi="Arial"/>
          <w:sz w:val="22"/>
          <w:szCs w:val="22"/>
        </w:rPr>
        <w:t xml:space="preserve">Setiap tahap dalam diagram di atas diuraikan secara rinci dalam tabel berikut, termasuk pelaksana (PIC) dan durasi estimasi hari kerja.</w:t>
      </w:r>
    </w:p>
    <w:p>
      <w:pPr>
        <w:spacing w:after="120"/>
      </w:pPr>
      <w:r>
        <w:t xml:space="preserve"/>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500"/>
        <w:gridCol w:w="4137"/>
        <w:gridCol w:w="1900"/>
        <w:gridCol w:w="1400"/>
      </w:tblGrid>
      <w:tr>
        <w:trPr>
          <w:tblHeader/>
        </w:trPr>
        <w:tc>
          <w:tcPr>
            <w:tcW w:type="dxa" w:w="500"/>
            <w:tcBorders>
              <w:top w:val="single" w:color="BFBFBF" w:sz="4"/>
              <w:left w:val="single" w:color="BFBFBF" w:sz="4"/>
              <w:bottom w:val="single" w:color="BFBFBF" w:sz="4"/>
              <w:right w:val="single" w:color="BFBFBF" w:sz="4"/>
            </w:tcBorders>
            <w:shd w:fill="0B2A4A" w:val="clear"/>
            <w:tcMar>
              <w:top w:type="dxa" w:w="100"/>
              <w:left w:type="dxa" w:w="140"/>
              <w:bottom w:type="dxa" w:w="100"/>
              <w:right w:type="dxa" w:w="140"/>
            </w:tcMar>
            <w:vAlign w:val="center"/>
          </w:tcPr>
          <w:p>
            <w:pPr>
              <w:spacing w:after="0" w:line="264"/>
              <w:jc w:val="center"/>
            </w:pPr>
            <w:r>
              <w:rPr>
                <w:rFonts w:ascii="Arial" w:cs="Arial" w:eastAsia="Arial" w:hAnsi="Arial"/>
                <w:b/>
                <w:bCs/>
                <w:color w:val="FFFFFF"/>
                <w:sz w:val="22"/>
                <w:szCs w:val="22"/>
              </w:rPr>
              <w:t xml:space="preserve">No.</w:t>
            </w:r>
          </w:p>
        </w:tc>
        <w:tc>
          <w:tcPr>
            <w:tcW w:type="dxa" w:w="4137"/>
            <w:tcBorders>
              <w:top w:val="single" w:color="BFBFBF" w:sz="4"/>
              <w:left w:val="single" w:color="BFBFBF" w:sz="4"/>
              <w:bottom w:val="single" w:color="BFBFBF" w:sz="4"/>
              <w:right w:val="single" w:color="BFBFBF" w:sz="4"/>
            </w:tcBorders>
            <w:shd w:fill="0B2A4A" w:val="clear"/>
            <w:tcMar>
              <w:top w:type="dxa" w:w="100"/>
              <w:left w:type="dxa" w:w="140"/>
              <w:bottom w:type="dxa" w:w="100"/>
              <w:right w:type="dxa" w:w="140"/>
            </w:tcMar>
            <w:vAlign w:val="center"/>
          </w:tcPr>
          <w:p>
            <w:pPr>
              <w:spacing w:after="0" w:line="264"/>
              <w:jc w:val="center"/>
            </w:pPr>
            <w:r>
              <w:rPr>
                <w:rFonts w:ascii="Arial" w:cs="Arial" w:eastAsia="Arial" w:hAnsi="Arial"/>
                <w:b/>
                <w:bCs/>
                <w:color w:val="FFFFFF"/>
                <w:sz w:val="22"/>
                <w:szCs w:val="22"/>
              </w:rPr>
              <w:t xml:space="preserve">Kegiatan</w:t>
            </w:r>
          </w:p>
        </w:tc>
        <w:tc>
          <w:tcPr>
            <w:tcW w:type="dxa" w:w="1900"/>
            <w:tcBorders>
              <w:top w:val="single" w:color="BFBFBF" w:sz="4"/>
              <w:left w:val="single" w:color="BFBFBF" w:sz="4"/>
              <w:bottom w:val="single" w:color="BFBFBF" w:sz="4"/>
              <w:right w:val="single" w:color="BFBFBF" w:sz="4"/>
            </w:tcBorders>
            <w:shd w:fill="0B2A4A" w:val="clear"/>
            <w:tcMar>
              <w:top w:type="dxa" w:w="100"/>
              <w:left w:type="dxa" w:w="140"/>
              <w:bottom w:type="dxa" w:w="100"/>
              <w:right w:type="dxa" w:w="140"/>
            </w:tcMar>
            <w:vAlign w:val="center"/>
          </w:tcPr>
          <w:p>
            <w:pPr>
              <w:spacing w:after="0" w:line="264"/>
              <w:jc w:val="center"/>
            </w:pPr>
            <w:r>
              <w:rPr>
                <w:rFonts w:ascii="Arial" w:cs="Arial" w:eastAsia="Arial" w:hAnsi="Arial"/>
                <w:b/>
                <w:bCs/>
                <w:color w:val="FFFFFF"/>
                <w:sz w:val="22"/>
                <w:szCs w:val="22"/>
              </w:rPr>
              <w:t xml:space="preserve">Pelaksana</w:t>
            </w:r>
          </w:p>
        </w:tc>
        <w:tc>
          <w:tcPr>
            <w:tcW w:type="dxa" w:w="1400"/>
            <w:tcBorders>
              <w:top w:val="single" w:color="BFBFBF" w:sz="4"/>
              <w:left w:val="single" w:color="BFBFBF" w:sz="4"/>
              <w:bottom w:val="single" w:color="BFBFBF" w:sz="4"/>
              <w:right w:val="single" w:color="BFBFBF" w:sz="4"/>
            </w:tcBorders>
            <w:shd w:fill="0B2A4A" w:val="clear"/>
            <w:tcMar>
              <w:top w:type="dxa" w:w="100"/>
              <w:left w:type="dxa" w:w="140"/>
              <w:bottom w:type="dxa" w:w="100"/>
              <w:right w:type="dxa" w:w="140"/>
            </w:tcMar>
            <w:vAlign w:val="center"/>
          </w:tcPr>
          <w:p>
            <w:pPr>
              <w:spacing w:after="0" w:line="264"/>
              <w:jc w:val="center"/>
            </w:pPr>
            <w:r>
              <w:rPr>
                <w:rFonts w:ascii="Arial" w:cs="Arial" w:eastAsia="Arial" w:hAnsi="Arial"/>
                <w:b/>
                <w:bCs/>
                <w:color w:val="FFFFFF"/>
                <w:sz w:val="22"/>
                <w:szCs w:val="22"/>
              </w:rPr>
              <w:t xml:space="preserve">Durasi</w:t>
            </w:r>
          </w:p>
        </w:tc>
      </w:tr>
      <w:tr>
        <w:tc>
          <w:tcPr>
            <w:tcW w:type="dxa" w:w="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line="264"/>
              <w:jc w:val="center"/>
            </w:pPr>
            <w:r>
              <w:rPr>
                <w:rFonts w:ascii="Arial" w:cs="Arial" w:eastAsia="Arial" w:hAnsi="Arial"/>
                <w:sz w:val="22"/>
                <w:szCs w:val="22"/>
              </w:rPr>
              <w:t xml:space="preserve">1</w:t>
            </w:r>
          </w:p>
        </w:tc>
        <w:tc>
          <w:tcPr>
            <w:tcW w:type="dxa" w:w="4137"/>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line="264"/>
              <w:jc w:val="both"/>
            </w:pPr>
            <w:r>
              <w:rPr>
                <w:rFonts w:ascii="Arial" w:cs="Arial" w:eastAsia="Arial" w:hAnsi="Arial"/>
                <w:sz w:val="22"/>
                <w:szCs w:val="22"/>
              </w:rPr>
              <w:t xml:space="preserve">Pengelola jurnal menyiapkan dokumen permohonan: Surat Permohonan (ditandatangani pimpinan unit) dan Formulir Lampiran yang telah diisi lengkap.</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line="264"/>
              <w:jc w:val="left"/>
            </w:pPr>
            <w:r>
              <w:rPr>
                <w:rFonts w:ascii="Arial" w:cs="Arial" w:eastAsia="Arial" w:hAnsi="Arial"/>
                <w:sz w:val="22"/>
                <w:szCs w:val="22"/>
              </w:rPr>
              <w:t xml:space="preserve">Pengelola Jurnal</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line="264"/>
              <w:jc w:val="center"/>
            </w:pPr>
            <w:r>
              <w:rPr>
                <w:rFonts w:ascii="Arial" w:cs="Arial" w:eastAsia="Arial" w:hAnsi="Arial"/>
                <w:sz w:val="22"/>
                <w:szCs w:val="22"/>
              </w:rPr>
              <w:t xml:space="preserve">3 hari kerja</w:t>
            </w:r>
          </w:p>
        </w:tc>
      </w:tr>
      <w:tr>
        <w:tc>
          <w:tcPr>
            <w:tcW w:type="dxa" w:w="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line="264"/>
              <w:jc w:val="center"/>
            </w:pPr>
            <w:r>
              <w:rPr>
                <w:rFonts w:ascii="Arial" w:cs="Arial" w:eastAsia="Arial" w:hAnsi="Arial"/>
                <w:sz w:val="22"/>
                <w:szCs w:val="22"/>
              </w:rPr>
              <w:t xml:space="preserve">2</w:t>
            </w:r>
          </w:p>
        </w:tc>
        <w:tc>
          <w:tcPr>
            <w:tcW w:type="dxa" w:w="4137"/>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line="264"/>
              <w:jc w:val="both"/>
            </w:pPr>
            <w:r>
              <w:rPr>
                <w:rFonts w:ascii="Arial" w:cs="Arial" w:eastAsia="Arial" w:hAnsi="Arial"/>
                <w:sz w:val="22"/>
                <w:szCs w:val="22"/>
              </w:rPr>
              <w:t xml:space="preserve">Pengelola jurnal mengirimkan berkas permohonan secara lengkap kepada PPJ melalui email resmi atau SIMONJU.</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line="264"/>
              <w:jc w:val="left"/>
            </w:pPr>
            <w:r>
              <w:rPr>
                <w:rFonts w:ascii="Arial" w:cs="Arial" w:eastAsia="Arial" w:hAnsi="Arial"/>
                <w:sz w:val="22"/>
                <w:szCs w:val="22"/>
              </w:rPr>
              <w:t xml:space="preserve">Pengelola Jurnal</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line="264"/>
              <w:jc w:val="center"/>
            </w:pPr>
            <w:r>
              <w:rPr>
                <w:rFonts w:ascii="Arial" w:cs="Arial" w:eastAsia="Arial" w:hAnsi="Arial"/>
                <w:sz w:val="22"/>
                <w:szCs w:val="22"/>
              </w:rPr>
              <w:t xml:space="preserve">—</w:t>
            </w:r>
          </w:p>
        </w:tc>
      </w:tr>
      <w:tr>
        <w:tc>
          <w:tcPr>
            <w:tcW w:type="dxa" w:w="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line="264"/>
              <w:jc w:val="center"/>
            </w:pPr>
            <w:r>
              <w:rPr>
                <w:rFonts w:ascii="Arial" w:cs="Arial" w:eastAsia="Arial" w:hAnsi="Arial"/>
                <w:sz w:val="22"/>
                <w:szCs w:val="22"/>
              </w:rPr>
              <w:t xml:space="preserve">3</w:t>
            </w:r>
          </w:p>
        </w:tc>
        <w:tc>
          <w:tcPr>
            <w:tcW w:type="dxa" w:w="4137"/>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line="264"/>
              <w:jc w:val="both"/>
            </w:pPr>
            <w:r>
              <w:rPr>
                <w:rFonts w:ascii="Arial" w:cs="Arial" w:eastAsia="Arial" w:hAnsi="Arial"/>
                <w:sz w:val="22"/>
                <w:szCs w:val="22"/>
              </w:rPr>
              <w:t xml:space="preserve">PPJ melakukan verifikasi kelengkapan dan keabsahan berkas. Apabila tidak lengkap, PPJ mengembalikan berkas dan meminta perbaikan (kembali ke langkah 1).</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line="264"/>
              <w:jc w:val="left"/>
            </w:pPr>
            <w:r>
              <w:rPr>
                <w:rFonts w:ascii="Arial" w:cs="Arial" w:eastAsia="Arial" w:hAnsi="Arial"/>
                <w:sz w:val="22"/>
                <w:szCs w:val="22"/>
              </w:rPr>
              <w:t xml:space="preserve">PPJ</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line="264"/>
              <w:jc w:val="center"/>
            </w:pPr>
            <w:r>
              <w:rPr>
                <w:rFonts w:ascii="Arial" w:cs="Arial" w:eastAsia="Arial" w:hAnsi="Arial"/>
                <w:sz w:val="22"/>
                <w:szCs w:val="22"/>
              </w:rPr>
              <w:t xml:space="preserve">3 hari kerja</w:t>
            </w:r>
          </w:p>
        </w:tc>
      </w:tr>
      <w:tr>
        <w:tc>
          <w:tcPr>
            <w:tcW w:type="dxa" w:w="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line="264"/>
              <w:jc w:val="center"/>
            </w:pPr>
            <w:r>
              <w:rPr>
                <w:rFonts w:ascii="Arial" w:cs="Arial" w:eastAsia="Arial" w:hAnsi="Arial"/>
                <w:sz w:val="22"/>
                <w:szCs w:val="22"/>
              </w:rPr>
              <w:t xml:space="preserve">4</w:t>
            </w:r>
          </w:p>
        </w:tc>
        <w:tc>
          <w:tcPr>
            <w:tcW w:type="dxa" w:w="4137"/>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line="264"/>
              <w:jc w:val="both"/>
            </w:pPr>
            <w:r>
              <w:rPr>
                <w:rFonts w:ascii="Arial" w:cs="Arial" w:eastAsia="Arial" w:hAnsi="Arial"/>
                <w:sz w:val="22"/>
                <w:szCs w:val="22"/>
              </w:rPr>
              <w:t xml:space="preserve">PPJ meneruskan permohonan yang dinyatakan lengkap kepada UPA TIK disertai rekomendasi nama subdomain yang diajukan.</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line="264"/>
              <w:jc w:val="left"/>
            </w:pPr>
            <w:r>
              <w:rPr>
                <w:rFonts w:ascii="Arial" w:cs="Arial" w:eastAsia="Arial" w:hAnsi="Arial"/>
                <w:sz w:val="22"/>
                <w:szCs w:val="22"/>
              </w:rPr>
              <w:t xml:space="preserve">PPJ</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line="264"/>
              <w:jc w:val="center"/>
            </w:pPr>
            <w:r>
              <w:rPr>
                <w:rFonts w:ascii="Arial" w:cs="Arial" w:eastAsia="Arial" w:hAnsi="Arial"/>
                <w:sz w:val="22"/>
                <w:szCs w:val="22"/>
              </w:rPr>
              <w:t xml:space="preserve">2 hari kerja</w:t>
            </w:r>
          </w:p>
        </w:tc>
      </w:tr>
      <w:tr>
        <w:tc>
          <w:tcPr>
            <w:tcW w:type="dxa" w:w="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line="264"/>
              <w:jc w:val="center"/>
            </w:pPr>
            <w:r>
              <w:rPr>
                <w:rFonts w:ascii="Arial" w:cs="Arial" w:eastAsia="Arial" w:hAnsi="Arial"/>
                <w:sz w:val="22"/>
                <w:szCs w:val="22"/>
              </w:rPr>
              <w:t xml:space="preserve">5</w:t>
            </w:r>
          </w:p>
        </w:tc>
        <w:tc>
          <w:tcPr>
            <w:tcW w:type="dxa" w:w="4137"/>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line="264"/>
              <w:jc w:val="both"/>
            </w:pPr>
            <w:r>
              <w:rPr>
                <w:rFonts w:ascii="Arial" w:cs="Arial" w:eastAsia="Arial" w:hAnsi="Arial"/>
                <w:sz w:val="22"/>
                <w:szCs w:val="22"/>
              </w:rPr>
              <w:t xml:space="preserve">UPA TIK memproses penerbitan subdomain dan mengonfigurasi DNS atau reverse proxy sesuai kebutuhan jurnal.</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line="264"/>
              <w:jc w:val="left"/>
            </w:pPr>
            <w:r>
              <w:rPr>
                <w:rFonts w:ascii="Arial" w:cs="Arial" w:eastAsia="Arial" w:hAnsi="Arial"/>
                <w:sz w:val="22"/>
                <w:szCs w:val="22"/>
              </w:rPr>
              <w:t xml:space="preserve">UPA TIK</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line="264"/>
              <w:jc w:val="center"/>
            </w:pPr>
            <w:r>
              <w:rPr>
                <w:rFonts w:ascii="Arial" w:cs="Arial" w:eastAsia="Arial" w:hAnsi="Arial"/>
                <w:sz w:val="22"/>
                <w:szCs w:val="22"/>
              </w:rPr>
              <w:t xml:space="preserve">5 hari kerja</w:t>
            </w:r>
          </w:p>
        </w:tc>
      </w:tr>
      <w:tr>
        <w:tc>
          <w:tcPr>
            <w:tcW w:type="dxa" w:w="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line="264"/>
              <w:jc w:val="center"/>
            </w:pPr>
            <w:r>
              <w:rPr>
                <w:rFonts w:ascii="Arial" w:cs="Arial" w:eastAsia="Arial" w:hAnsi="Arial"/>
                <w:sz w:val="22"/>
                <w:szCs w:val="22"/>
              </w:rPr>
              <w:t xml:space="preserve">6</w:t>
            </w:r>
          </w:p>
        </w:tc>
        <w:tc>
          <w:tcPr>
            <w:tcW w:type="dxa" w:w="4137"/>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line="264"/>
              <w:jc w:val="both"/>
            </w:pPr>
            <w:r>
              <w:rPr>
                <w:rFonts w:ascii="Arial" w:cs="Arial" w:eastAsia="Arial" w:hAnsi="Arial"/>
                <w:sz w:val="22"/>
                <w:szCs w:val="22"/>
              </w:rPr>
              <w:t xml:space="preserve">UPA TIK menyampaikan konfirmasi subdomain aktif kepada PPJ dan pengelola jurnal, beserta informasi teknis yang diperlukan.</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line="264"/>
              <w:jc w:val="left"/>
            </w:pPr>
            <w:r>
              <w:rPr>
                <w:rFonts w:ascii="Arial" w:cs="Arial" w:eastAsia="Arial" w:hAnsi="Arial"/>
                <w:sz w:val="22"/>
                <w:szCs w:val="22"/>
              </w:rPr>
              <w:t xml:space="preserve">UPA TIK</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line="264"/>
              <w:jc w:val="center"/>
            </w:pPr>
            <w:r>
              <w:rPr>
                <w:rFonts w:ascii="Arial" w:cs="Arial" w:eastAsia="Arial" w:hAnsi="Arial"/>
                <w:sz w:val="22"/>
                <w:szCs w:val="22"/>
              </w:rPr>
              <w:t xml:space="preserve">—</w:t>
            </w:r>
          </w:p>
        </w:tc>
      </w:tr>
      <w:tr>
        <w:tc>
          <w:tcPr>
            <w:tcW w:type="dxa" w:w="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line="264"/>
              <w:jc w:val="center"/>
            </w:pPr>
            <w:r>
              <w:rPr>
                <w:rFonts w:ascii="Arial" w:cs="Arial" w:eastAsia="Arial" w:hAnsi="Arial"/>
                <w:sz w:val="22"/>
                <w:szCs w:val="22"/>
              </w:rPr>
              <w:t xml:space="preserve">7</w:t>
            </w:r>
          </w:p>
        </w:tc>
        <w:tc>
          <w:tcPr>
            <w:tcW w:type="dxa" w:w="4137"/>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line="264"/>
              <w:jc w:val="both"/>
            </w:pPr>
            <w:r>
              <w:rPr>
                <w:rFonts w:ascii="Arial" w:cs="Arial" w:eastAsia="Arial" w:hAnsi="Arial"/>
                <w:sz w:val="22"/>
                <w:szCs w:val="22"/>
              </w:rPr>
              <w:t xml:space="preserve">Pengelola jurnal memperbarui konfigurasi URL pada sistem jurnal (OJS atau sejenisnya) agar merujuk ke subdomain baru.</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line="264"/>
              <w:jc w:val="left"/>
            </w:pPr>
            <w:r>
              <w:rPr>
                <w:rFonts w:ascii="Arial" w:cs="Arial" w:eastAsia="Arial" w:hAnsi="Arial"/>
                <w:sz w:val="22"/>
                <w:szCs w:val="22"/>
              </w:rPr>
              <w:t xml:space="preserve">Pengelola Jurnal</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line="264"/>
              <w:jc w:val="center"/>
            </w:pPr>
            <w:r>
              <w:rPr>
                <w:rFonts w:ascii="Arial" w:cs="Arial" w:eastAsia="Arial" w:hAnsi="Arial"/>
                <w:sz w:val="22"/>
                <w:szCs w:val="22"/>
              </w:rPr>
              <w:t xml:space="preserve">3 hari kerja</w:t>
            </w:r>
          </w:p>
        </w:tc>
      </w:tr>
      <w:tr>
        <w:tc>
          <w:tcPr>
            <w:tcW w:type="dxa" w:w="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line="264"/>
              <w:jc w:val="center"/>
            </w:pPr>
            <w:r>
              <w:rPr>
                <w:rFonts w:ascii="Arial" w:cs="Arial" w:eastAsia="Arial" w:hAnsi="Arial"/>
                <w:sz w:val="22"/>
                <w:szCs w:val="22"/>
              </w:rPr>
              <w:t xml:space="preserve">8</w:t>
            </w:r>
          </w:p>
        </w:tc>
        <w:tc>
          <w:tcPr>
            <w:tcW w:type="dxa" w:w="4137"/>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line="264"/>
              <w:jc w:val="both"/>
            </w:pPr>
            <w:r>
              <w:rPr>
                <w:rFonts w:ascii="Arial" w:cs="Arial" w:eastAsia="Arial" w:hAnsi="Arial"/>
                <w:sz w:val="22"/>
                <w:szCs w:val="22"/>
              </w:rPr>
              <w:t xml:space="preserve">PPJ memverifikasi bahwa subdomain baru berfungsi dengan baik, lalu memperbarui data domain jurnal di SIMONJU.</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line="264"/>
              <w:jc w:val="left"/>
            </w:pPr>
            <w:r>
              <w:rPr>
                <w:rFonts w:ascii="Arial" w:cs="Arial" w:eastAsia="Arial" w:hAnsi="Arial"/>
                <w:sz w:val="22"/>
                <w:szCs w:val="22"/>
              </w:rPr>
              <w:t xml:space="preserve">PPJ</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line="264"/>
              <w:jc w:val="center"/>
            </w:pPr>
            <w:r>
              <w:rPr>
                <w:rFonts w:ascii="Arial" w:cs="Arial" w:eastAsia="Arial" w:hAnsi="Arial"/>
                <w:sz w:val="22"/>
                <w:szCs w:val="22"/>
              </w:rPr>
              <w:t xml:space="preserve">2 hari kerja</w:t>
            </w:r>
          </w:p>
        </w:tc>
      </w:tr>
      <w:tr>
        <w:tc>
          <w:tcPr>
            <w:tcW w:type="dxa" w:w="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line="264"/>
              <w:jc w:val="center"/>
            </w:pPr>
            <w:r>
              <w:rPr>
                <w:rFonts w:ascii="Arial" w:cs="Arial" w:eastAsia="Arial" w:hAnsi="Arial"/>
                <w:sz w:val="22"/>
                <w:szCs w:val="22"/>
              </w:rPr>
              <w:t xml:space="preserve">9</w:t>
            </w:r>
          </w:p>
        </w:tc>
        <w:tc>
          <w:tcPr>
            <w:tcW w:type="dxa" w:w="4137"/>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line="264"/>
              <w:jc w:val="both"/>
            </w:pPr>
            <w:r>
              <w:rPr>
                <w:rFonts w:ascii="Arial" w:cs="Arial" w:eastAsia="Arial" w:hAnsi="Arial"/>
                <w:sz w:val="22"/>
                <w:szCs w:val="22"/>
              </w:rPr>
              <w:t xml:space="preserve">PPJ menyampaikan notifikasi penyelesaian kepada pengelola jurnal dan pimpinan unit.</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line="264"/>
              <w:jc w:val="left"/>
            </w:pPr>
            <w:r>
              <w:rPr>
                <w:rFonts w:ascii="Arial" w:cs="Arial" w:eastAsia="Arial" w:hAnsi="Arial"/>
                <w:sz w:val="22"/>
                <w:szCs w:val="22"/>
              </w:rPr>
              <w:t xml:space="preserve">PPJ</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line="264"/>
              <w:jc w:val="center"/>
            </w:pPr>
            <w:r>
              <w:rPr>
                <w:rFonts w:ascii="Arial" w:cs="Arial" w:eastAsia="Arial" w:hAnsi="Arial"/>
                <w:sz w:val="22"/>
                <w:szCs w:val="22"/>
              </w:rPr>
              <w:t xml:space="preserve">—</w:t>
            </w:r>
          </w:p>
        </w:tc>
      </w:tr>
    </w:tbl>
    <w:p>
      <w:pPr>
        <w:spacing w:after="160"/>
      </w:pPr>
      <w:r>
        <w:t xml:space="preserve"/>
      </w:r>
    </w:p>
    <w:p>
      <w:pPr>
        <w:spacing w:after="120"/>
        <w:jc w:val="both"/>
      </w:pPr>
      <w:r>
        <w:rPr>
          <w:rFonts w:ascii="Arial" w:cs="Arial" w:eastAsia="Arial" w:hAnsi="Arial"/>
          <w:b/>
          <w:bCs/>
          <w:sz w:val="22"/>
          <w:szCs w:val="22"/>
        </w:rPr>
        <w:t xml:space="preserve">Total estimasi waktu penyelesaian: </w:t>
      </w:r>
      <w:r>
        <w:rPr>
          <w:rFonts w:ascii="Arial" w:cs="Arial" w:eastAsia="Arial" w:hAnsi="Arial"/>
          <w:sz w:val="22"/>
          <w:szCs w:val="22"/>
        </w:rPr>
        <w:t xml:space="preserve">14–18 hari kerja sejak berkas permohonan dinyatakan lengkap.</w:t>
      </w:r>
    </w:p>
    <w:p>
      <w:pPr>
        <w:pageBreakBefore/>
        <w:spacing w:after="200"/>
        <w:jc w:val="center"/>
      </w:pPr>
      <w:r>
        <w:rPr>
          <w:rFonts w:ascii="Arial" w:cs="Arial" w:eastAsia="Arial" w:hAnsi="Arial"/>
          <w:b/>
          <w:bCs/>
          <w:color w:val="0B2A4A"/>
          <w:sz w:val="32"/>
          <w:szCs w:val="32"/>
        </w:rPr>
        <w:t xml:space="preserve">BAB V</w:t>
      </w:r>
    </w:p>
    <w:p>
      <w:pPr>
        <w:pStyle w:val="Heading1"/>
        <w:spacing w:after="400"/>
        <w:jc w:val="center"/>
      </w:pPr>
      <w:r>
        <w:rPr>
          <w:rFonts w:ascii="Arial" w:cs="Arial" w:eastAsia="Arial" w:hAnsi="Arial"/>
          <w:b/>
          <w:bCs/>
          <w:color w:val="0B2A4A"/>
          <w:sz w:val="32"/>
          <w:szCs w:val="32"/>
        </w:rPr>
        <w:t xml:space="preserve">PENUTUP</w:t>
      </w:r>
    </w:p>
    <w:p>
      <w:pPr>
        <w:spacing w:after="120" w:line="276"/>
        <w:jc w:val="both"/>
      </w:pPr>
      <w:r>
        <w:rPr>
          <w:rFonts w:ascii="Arial" w:cs="Arial" w:eastAsia="Arial" w:hAnsi="Arial"/>
          <w:sz w:val="22"/>
          <w:szCs w:val="22"/>
        </w:rPr>
        <w:t xml:space="preserve">Standar Operasional Prosedur Permohonan Pengalihan Domain Jurnal ke Domain Unsoed.ac.id ini disusun untuk menjadi pedoman yang mengikat bagi seluruh pengelola jurnal di lingkungan Universitas Jenderal Soedirman dalam mengalihkan domain jurnalnya ke ekosistem domain institusi. Dokumen ini berlaku sejak tanggal disahkan.</w:t>
      </w:r>
    </w:p>
    <w:p>
      <w:pPr>
        <w:spacing w:after="120" w:line="276"/>
        <w:jc w:val="both"/>
      </w:pPr>
      <w:r>
        <w:rPr>
          <w:rFonts w:ascii="Arial" w:cs="Arial" w:eastAsia="Arial" w:hAnsi="Arial"/>
          <w:sz w:val="22"/>
          <w:szCs w:val="22"/>
        </w:rPr>
        <w:t xml:space="preserve">Hal-hal yang belum diatur dalam SOP ini akan diatur lebih lanjut melalui ketentuan teknis yang diterbitkan oleh PPJ bersama UPA TIK. Apabila terdapat perubahan kebijakan domain di lingkungan Universitas Jenderal Soedirman, SOP ini akan diperbarui dan dicatat dalam Tabel Riwayat Revisi.</w:t>
      </w:r>
    </w:p>
    <w:p>
      <w:pPr>
        <w:spacing w:after="120" w:line="276"/>
        <w:jc w:val="both"/>
      </w:pPr>
      <w:r>
        <w:rPr>
          <w:rFonts w:ascii="Arial" w:cs="Arial" w:eastAsia="Arial" w:hAnsi="Arial"/>
          <w:sz w:val="22"/>
          <w:szCs w:val="22"/>
        </w:rPr>
        <w:t xml:space="preserve">Pusat Pengelolaan Jurnal LPPM Universitas Jenderal Soedirman membuka kanal komunikasi resmi melalui email dan SIMONJU untuk konsultasi dan pengajuan permohonan terkait pengalihan domain jurnal.</w:t>
      </w:r>
    </w:p>
    <w:p>
      <w:pPr>
        <w:pageBreakBefore/>
        <w:spacing w:after="200"/>
        <w:jc w:val="center"/>
      </w:pPr>
      <w:r>
        <w:rPr>
          <w:rFonts w:ascii="Arial" w:cs="Arial" w:eastAsia="Arial" w:hAnsi="Arial"/>
          <w:b/>
          <w:bCs/>
          <w:color w:val="0B2A4A"/>
          <w:sz w:val="32"/>
          <w:szCs w:val="32"/>
        </w:rPr>
        <w:t xml:space="preserve">LAMPIRAN</w:t>
      </w:r>
    </w:p>
    <w:p>
      <w:pPr>
        <w:spacing w:after="200"/>
      </w:pPr>
      <w:r>
        <w:t xml:space="preserve"/>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1400"/>
        <w:gridCol w:w="6537"/>
      </w:tblGrid>
      <w:tr>
        <w:trPr>
          <w:tblHeader/>
        </w:trPr>
        <w:tc>
          <w:tcPr>
            <w:tcW w:type="dxa" w:w="1400"/>
            <w:tcBorders>
              <w:top w:val="single" w:color="BFBFBF" w:sz="4"/>
              <w:left w:val="single" w:color="BFBFBF" w:sz="4"/>
              <w:bottom w:val="single" w:color="BFBFBF" w:sz="4"/>
              <w:right w:val="single" w:color="BFBFBF" w:sz="4"/>
            </w:tcBorders>
            <w:shd w:fill="0B2A4A" w:val="clear"/>
            <w:tcMar>
              <w:top w:type="dxa" w:w="100"/>
              <w:left w:type="dxa" w:w="140"/>
              <w:bottom w:type="dxa" w:w="100"/>
              <w:right w:type="dxa" w:w="140"/>
            </w:tcMar>
            <w:vAlign w:val="center"/>
          </w:tcPr>
          <w:p>
            <w:pPr>
              <w:spacing w:after="0" w:line="264"/>
              <w:jc w:val="center"/>
            </w:pPr>
            <w:r>
              <w:rPr>
                <w:rFonts w:ascii="Arial" w:cs="Arial" w:eastAsia="Arial" w:hAnsi="Arial"/>
                <w:b/>
                <w:bCs/>
                <w:color w:val="FFFFFF"/>
                <w:sz w:val="22"/>
                <w:szCs w:val="22"/>
              </w:rPr>
              <w:t xml:space="preserve">Lampiran</w:t>
            </w:r>
          </w:p>
        </w:tc>
        <w:tc>
          <w:tcPr>
            <w:tcW w:type="dxa" w:w="6537"/>
            <w:tcBorders>
              <w:top w:val="single" w:color="BFBFBF" w:sz="4"/>
              <w:left w:val="single" w:color="BFBFBF" w:sz="4"/>
              <w:bottom w:val="single" w:color="BFBFBF" w:sz="4"/>
              <w:right w:val="single" w:color="BFBFBF" w:sz="4"/>
            </w:tcBorders>
            <w:shd w:fill="0B2A4A" w:val="clear"/>
            <w:tcMar>
              <w:top w:type="dxa" w:w="100"/>
              <w:left w:type="dxa" w:w="140"/>
              <w:bottom w:type="dxa" w:w="100"/>
              <w:right w:type="dxa" w:w="140"/>
            </w:tcMar>
            <w:vAlign w:val="center"/>
          </w:tcPr>
          <w:p>
            <w:pPr>
              <w:spacing w:after="0" w:line="264"/>
              <w:jc w:val="center"/>
            </w:pPr>
            <w:r>
              <w:rPr>
                <w:rFonts w:ascii="Arial" w:cs="Arial" w:eastAsia="Arial" w:hAnsi="Arial"/>
                <w:b/>
                <w:bCs/>
                <w:color w:val="FFFFFF"/>
                <w:sz w:val="22"/>
                <w:szCs w:val="22"/>
              </w:rPr>
              <w:t xml:space="preserve">Uraian</w:t>
            </w:r>
          </w:p>
        </w:tc>
      </w:tr>
      <w:tr>
        <w:tc>
          <w:tcPr>
            <w:tcW w:type="dxa" w:w="1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64"/>
              <w:jc w:val="center"/>
            </w:pPr>
            <w:r>
              <w:rPr>
                <w:rFonts w:ascii="Arial" w:cs="Arial" w:eastAsia="Arial" w:hAnsi="Arial"/>
                <w:b/>
                <w:bCs/>
                <w:sz w:val="22"/>
                <w:szCs w:val="22"/>
              </w:rPr>
              <w:t xml:space="preserve">Lampiran 1</w:t>
            </w:r>
          </w:p>
        </w:tc>
        <w:tc>
          <w:tcPr>
            <w:tcW w:type="dxa" w:w="6537"/>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64"/>
              <w:jc w:val="left"/>
            </w:pPr>
            <w:r>
              <w:rPr>
                <w:rFonts w:ascii="Arial" w:cs="Arial" w:eastAsia="Arial" w:hAnsi="Arial"/>
                <w:sz w:val="22"/>
                <w:szCs w:val="22"/>
              </w:rPr>
              <w:t xml:space="preserve">Template Surat Permohonan Pengalihan Domain Jurnal (dokumen terpisah).</w:t>
            </w:r>
          </w:p>
        </w:tc>
      </w:tr>
      <w:tr>
        <w:tc>
          <w:tcPr>
            <w:tcW w:type="dxa" w:w="1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64"/>
              <w:jc w:val="center"/>
            </w:pPr>
            <w:r>
              <w:rPr>
                <w:rFonts w:ascii="Arial" w:cs="Arial" w:eastAsia="Arial" w:hAnsi="Arial"/>
                <w:b/>
                <w:bCs/>
                <w:sz w:val="22"/>
                <w:szCs w:val="22"/>
              </w:rPr>
              <w:t xml:space="preserve">Lampiran 2</w:t>
            </w:r>
          </w:p>
        </w:tc>
        <w:tc>
          <w:tcPr>
            <w:tcW w:type="dxa" w:w="6537"/>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64"/>
              <w:jc w:val="left"/>
            </w:pPr>
            <w:r>
              <w:rPr>
                <w:rFonts w:ascii="Arial" w:cs="Arial" w:eastAsia="Arial" w:hAnsi="Arial"/>
                <w:sz w:val="22"/>
                <w:szCs w:val="22"/>
              </w:rPr>
              <w:t xml:space="preserve">Formulir Permohonan Pengalihan Domain Jurnal — Identitas Jurnal, Data Unit Pengelola, Data Ketua Editor, Permohonan Subdomain, dan Pernyataan Komitmen (dokumen terpisah).</w:t>
            </w:r>
          </w:p>
        </w:tc>
      </w:tr>
    </w:tbl>
    <w:sectPr>
      <w:headerReference w:type="default" r:id="rId7"/>
      <w:footerReference w:type="default" r:id="rId8"/>
      <w:pgSz w:w="11906" w:h="16838" w:orient="portrait"/>
      <w:pgMar w:top="2268" w:right="1701" w:bottom="1701" w:left="226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B2A4A" w:sz="6" w:space="4"/>
      </w:pBdr>
      <w:spacing w:before="0"/>
      <w:jc w:val="center"/>
    </w:pPr>
    <w:r>
      <w:rPr>
        <w:rFonts w:ascii="Arial" w:cs="Arial" w:eastAsia="Arial" w:hAnsi="Arial"/>
        <w:color w:val="0B2A4A"/>
        <w:sz w:val="18"/>
        <w:szCs w:val="18"/>
      </w:rPr>
      <w:t xml:space="preserve">SOP/PPJ-LPPM/02/2026  |  Hal. </w:t>
    </w:r>
    <w:r>
      <w:rPr>
        <w:rFonts w:ascii="Arial" w:cs="Arial" w:eastAsia="Arial" w:hAnsi="Arial"/>
        <w:color w:val="0B2A4A"/>
        <w:sz w:val="18"/>
        <w:szCs w:val="18"/>
      </w:rPr>
      <w:fldChar w:fldCharType="begin"/>
      <w:instrText xml:space="preserve">PAGE</w:instrText>
      <w:fldChar w:fldCharType="separate"/>
      <w:fldChar w:fldCharType="end"/>
    </w:r>
    <w:r>
      <w:rPr>
        <w:rFonts w:ascii="Arial" w:cs="Arial" w:eastAsia="Arial" w:hAnsi="Arial"/>
        <w:color w:val="0B2A4A"/>
        <w:sz w:val="18"/>
        <w:szCs w:val="18"/>
      </w:rPr>
      <w:t xml:space="preserve"> dari </w:t>
    </w:r>
    <w:r>
      <w:rPr>
        <w:rFonts w:ascii="Arial" w:cs="Arial" w:eastAsia="Arial" w:hAnsi="Arial"/>
        <w:color w:val="0B2A4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B2A4A" w:sz="6" w:space="4"/>
      </w:pBdr>
      <w:spacing w:after="0"/>
      <w:jc w:val="right"/>
    </w:pPr>
    <w:r>
      <w:rPr>
        <w:rFonts w:ascii="Arial" w:cs="Arial" w:eastAsia="Arial" w:hAnsi="Arial"/>
        <w:i/>
        <w:iCs/>
        <w:color w:val="0B2A4A"/>
        <w:sz w:val="18"/>
        <w:szCs w:val="18"/>
      </w:rPr>
      <w:t xml:space="preserve">SOP Permohonan Pengalihan Domain Jurnal — PPJ LPPM Unsoed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5"/>
    <w:lvlOverride w:ilvl="0">
      <w:startOverride w:val="1"/>
    </w:lvlOverride>
  </w:num>
  <w:num w:numId="4">
    <w:abstractNumId w:val="6"/>
    <w:lvlOverride w:ilvl="0">
      <w:startOverride w:val="1"/>
    </w:lvlOverride>
  </w:num>
  <w:num w:numId="5">
    <w:abstractNumId w:val="7"/>
    <w:lvlOverride w:ilvl="0">
      <w:startOverride w:val="1"/>
    </w:lvlOverride>
  </w:num>
  <w:num w:numId="6">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B2A4A"/>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0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SOP Permohonan Pengalihan Domain Jurnal</dc:title>
  <dc:creator>Pusat Pengelolaan Jurnal LPPM Unsoed</dc:creator>
  <dc:description>SOP Permohonan Pengalihan Domain Jurnal ke domain unsoed.ac.id</dc:description>
  <cp:lastModifiedBy>Un-named</cp:lastModifiedBy>
  <cp:revision>1</cp:revision>
  <dcterms:created xsi:type="dcterms:W3CDTF">2026-06-10T12:37:57.827Z</dcterms:created>
  <dcterms:modified xsi:type="dcterms:W3CDTF">2026-06-10T12:37:57.841Z</dcterms:modified>
</cp:coreProperties>
</file>

<file path=docProps/custom.xml><?xml version="1.0" encoding="utf-8"?>
<Properties xmlns="http://schemas.openxmlformats.org/officeDocument/2006/custom-properties" xmlns:vt="http://schemas.openxmlformats.org/officeDocument/2006/docPropsVTypes"/>
</file>