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E8356A">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E8356A">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Brief introduction to the Corona Warnapp</w:t>
      </w:r>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fldSimple w:instr=" SEQ Figure \* ARABIC ">
        <w:r>
          <w:rPr>
            <w:noProof/>
          </w:rPr>
          <w:t>1</w:t>
        </w:r>
      </w:fldSimple>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Relevant Quality Aspects of the German Corona Warnapp</w:t>
      </w:r>
    </w:p>
    <w:p w14:paraId="0CFD21CD" w14:textId="59A98AE4" w:rsidR="00CC408C" w:rsidRDefault="00CC408C" w:rsidP="001D40AB">
      <w:pPr>
        <w:jc w:val="both"/>
      </w:pPr>
      <w:r>
        <w:t>In order to derive the key quality aspects associated with the German Corona Warnapp, the open source documentation is used, based on the version of the 20</w:t>
      </w:r>
      <w:r w:rsidRPr="00CC408C">
        <w:rPr>
          <w:vertAlign w:val="superscript"/>
        </w:rPr>
        <w:t>th</w:t>
      </w:r>
      <w:r>
        <w:t xml:space="preserve"> June 2020. </w:t>
      </w:r>
      <w:r w:rsidR="001D40AB">
        <w:t>In the following two paragraphs the key quality aspects data privacy and ______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r w:rsidRPr="00A23DDA">
        <w:rPr>
          <w:b/>
        </w:rPr>
        <w:t>Unlinkability</w:t>
      </w:r>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unlinkability requirement of the CCC.</w:t>
      </w:r>
    </w:p>
    <w:p w14:paraId="696C366A" w14:textId="4C8EC8C5" w:rsidR="004D23FA" w:rsidRDefault="00A23DDA" w:rsidP="001D40AB">
      <w:pPr>
        <w:jc w:val="both"/>
      </w:pPr>
      <w:r>
        <w:t xml:space="preserve">Last, the </w:t>
      </w:r>
      <w:r w:rsidR="004D23FA" w:rsidRPr="00A23DDA">
        <w:rPr>
          <w:b/>
        </w:rPr>
        <w:t>Unobservability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2AB2DAB9" w:rsidR="004838E2" w:rsidRPr="00AD7652" w:rsidRDefault="00F8529A" w:rsidP="004838E2">
      <w:pPr>
        <w:pStyle w:val="Heading2"/>
      </w:pPr>
      <w:r>
        <w:t xml:space="preserve">Accuracy </w:t>
      </w:r>
    </w:p>
    <w:p w14:paraId="202727C4" w14:textId="37A23BBA" w:rsidR="001D40AB" w:rsidRDefault="00F8529A" w:rsidP="00F8529A">
      <w:pPr>
        <w:jc w:val="both"/>
      </w:pPr>
      <w:r>
        <w:t>The second quality aspect which is subject to further analysis is the correctness of the CWA. As described in the introduction, the CWA is a tool to indicate the potential threat of infection and is a voluntary service to the users to break the infection chain. In case of a shortcomings on the accuracy of data &amp; warnings, various side effects could occur.</w:t>
      </w:r>
    </w:p>
    <w:p w14:paraId="7AAA7B4A" w14:textId="77777777" w:rsidR="00A40776" w:rsidRDefault="00F8529A" w:rsidP="00877B6C">
      <w:pPr>
        <w:jc w:val="both"/>
      </w:pPr>
      <w:r>
        <w:t>First</w:t>
      </w:r>
      <w:r w:rsidR="00877B6C">
        <w:t xml:space="preserve">, there will be a substantial </w:t>
      </w:r>
      <w:r w:rsidR="00851052">
        <w:t>misguiding</w:t>
      </w:r>
      <w:r w:rsidR="00877B6C">
        <w:t xml:space="preserve"> on the users that are confronted with wrong warnings. Users receiving false positive warnings from the CWA are recommended to stay in voluntary quarantine without the empiric need for this.</w:t>
      </w:r>
      <w:r w:rsidR="00851052">
        <w:t xml:space="preserve"> </w:t>
      </w:r>
      <w:r w:rsidR="00877B6C">
        <w:t>On the other hand false negatives are not being notified with a warning</w:t>
      </w:r>
      <w:r w:rsidR="00851052">
        <w:t xml:space="preserve"> whilst having a high risk of infection. These users continue their social interaction with an increased risk of </w:t>
      </w:r>
      <w:r w:rsidR="00877B6C">
        <w:t xml:space="preserve">spread </w:t>
      </w:r>
      <w:r w:rsidR="00851052">
        <w:t>the SarsCov 19 virus</w:t>
      </w:r>
      <w:r w:rsidR="00877B6C">
        <w:t xml:space="preserve">. </w:t>
      </w:r>
      <w:r w:rsidR="00A40776">
        <w:t>The anticipated outcome of the CWA is reversed for these users. Whilst CWA aims for a reduction of the SarsCov 19 spread, users with false negatives might have a higher amount of social interaction than people that have not downloaded the application. This is the case, when the user has a high degree of trust in the CWA and expects to not be infected unless the CWA notifies the user.</w:t>
      </w:r>
    </w:p>
    <w:p w14:paraId="3A01D164" w14:textId="6A616621" w:rsidR="00CC408C" w:rsidRDefault="00A40776" w:rsidP="0040247D">
      <w:pPr>
        <w:jc w:val="both"/>
      </w:pPr>
      <w:r>
        <w:t>Secondly there is a moderate impact on the image of the application.</w:t>
      </w:r>
      <w:r w:rsidR="0040247D">
        <w:t xml:space="preserve"> The CWA only</w:t>
      </w:r>
      <w:r>
        <w:t xml:space="preserve"> </w:t>
      </w:r>
      <w:r w:rsidR="0040247D">
        <w:t>pursues its goal of diminishing the infection rate if it is downloaded by a significant amount of people (</w:t>
      </w:r>
      <w:r w:rsidR="0040247D" w:rsidRPr="0040247D">
        <w:t>Corona-Warn-App: Downloads</w:t>
      </w:r>
      <w:r w:rsidR="0040247D">
        <w:t>). This fact in combination with the voluntary download make it necessary to have satisfied users. If the CWA is not convenient for the users, they may not download it and therefore decrease the general use and efficiency of the CWA. If the warnings generated are false positives or false negatives, and the user is notified about the wrong warning, the trust and subsequently the user satisfaction is decreased. This might lead to a uninstall of the application, harming the general goal of the CWA.</w:t>
      </w:r>
    </w:p>
    <w:p w14:paraId="40068CFA" w14:textId="0C6DE467" w:rsidR="00CC408C" w:rsidRPr="0044455F" w:rsidRDefault="00CC408C" w:rsidP="00CC408C">
      <w:pPr>
        <w:pStyle w:val="Heading1"/>
      </w:pPr>
      <w:r w:rsidRPr="0044455F">
        <w:t>Quality Scenarios</w:t>
      </w:r>
    </w:p>
    <w:p w14:paraId="6EDFFFF5" w14:textId="2C3E8BF6" w:rsidR="00103014" w:rsidRDefault="00103014" w:rsidP="00103014">
      <w:r w:rsidRPr="00103014">
        <w:t>In this chapter two quality scenarios are developed, targeting the  data privacy and accuracy quality aspects described in the pr</w:t>
      </w:r>
      <w:r>
        <w:t>evious chapter.</w:t>
      </w:r>
    </w:p>
    <w:p w14:paraId="768C31B5" w14:textId="77777777" w:rsidR="00103014" w:rsidRPr="00103014" w:rsidRDefault="00103014" w:rsidP="00103014"/>
    <w:p w14:paraId="4C9B03CD" w14:textId="47B48541" w:rsidR="005777C3" w:rsidRPr="000F00BF" w:rsidRDefault="00FA53AE" w:rsidP="00347720">
      <w:pPr>
        <w:spacing w:line="276" w:lineRule="auto"/>
        <w:jc w:val="both"/>
        <w:rPr>
          <w:lang w:val="de-DE"/>
        </w:rPr>
      </w:pPr>
      <w:r w:rsidRPr="000F00BF">
        <w:rPr>
          <w:lang w:val="de-DE"/>
        </w:rPr>
        <w:t>1x Datenschutz/Sicherheit</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Portion of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lastRenderedPageBreak/>
              <w:t>Source</w:t>
            </w:r>
          </w:p>
        </w:tc>
        <w:tc>
          <w:tcPr>
            <w:tcW w:w="6514" w:type="dxa"/>
          </w:tcPr>
          <w:p w14:paraId="69B39B7B" w14:textId="47F06AD2" w:rsidR="0040247D" w:rsidRPr="003A0E2E" w:rsidRDefault="003A0E2E" w:rsidP="0040247D">
            <w:pPr>
              <w:spacing w:line="276" w:lineRule="auto"/>
              <w:jc w:val="both"/>
              <w:rPr>
                <w:lang w:val="en-US"/>
              </w:rPr>
            </w:pPr>
            <w:r w:rsidRPr="003A0E2E">
              <w:rPr>
                <w:lang w:val="en-US"/>
              </w:rPr>
              <w:t xml:space="preserve">An external person, with the intend to exploit data with negative intend, tries to access the data provided from the </w:t>
            </w:r>
            <w:r>
              <w:rPr>
                <w:lang w:val="en-US"/>
              </w:rPr>
              <w:t>CWA</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from the CWA. By hacking into the system, retrieving data and publishing those datapoints,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t>Artifact</w:t>
            </w:r>
          </w:p>
        </w:tc>
        <w:tc>
          <w:tcPr>
            <w:tcW w:w="6514" w:type="dxa"/>
          </w:tcPr>
          <w:p w14:paraId="6173AC6E" w14:textId="0BCD122B" w:rsidR="0040247D" w:rsidRPr="003A0E2E" w:rsidRDefault="003A0E2E" w:rsidP="0040247D">
            <w:pPr>
              <w:spacing w:line="276" w:lineRule="auto"/>
              <w:jc w:val="both"/>
              <w:rPr>
                <w:lang w:val="en-US"/>
              </w:rPr>
            </w:pPr>
            <w:r>
              <w:rPr>
                <w:lang w:val="en-US"/>
              </w:rPr>
              <w:t xml:space="preserve">The System’s data, including all data points consumed or created. Special interest is existent with regards to the personal data (name, email address) and confidential data (Covid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registrated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3A0E2E" w:rsidRDefault="00343E9C" w:rsidP="0040247D">
            <w:pPr>
              <w:spacing w:line="276" w:lineRule="auto"/>
              <w:jc w:val="both"/>
              <w:rPr>
                <w:lang w:val="en-US"/>
              </w:rPr>
            </w:pPr>
            <w:r>
              <w:rPr>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77777777" w:rsidR="00343E9C" w:rsidRDefault="00343E9C" w:rsidP="0040247D">
            <w:pPr>
              <w:spacing w:line="276" w:lineRule="auto"/>
              <w:jc w:val="both"/>
              <w:rPr>
                <w:lang w:val="en-US"/>
              </w:rPr>
            </w:pPr>
            <w:r>
              <w:rPr>
                <w:lang w:val="en-US"/>
              </w:rPr>
              <w:t>Token based measures</w:t>
            </w:r>
          </w:p>
          <w:p w14:paraId="02E20F48" w14:textId="59E98917" w:rsidR="00343E9C" w:rsidRPr="003A0E2E" w:rsidRDefault="00343E9C" w:rsidP="0040247D">
            <w:pPr>
              <w:spacing w:line="276" w:lineRule="auto"/>
              <w:jc w:val="both"/>
              <w:rPr>
                <w:lang w:val="en-US"/>
              </w:rPr>
            </w:pP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429797A7" w:rsidR="009B384C" w:rsidRDefault="00FA53AE" w:rsidP="00CF3377">
      <w:pPr>
        <w:spacing w:line="360" w:lineRule="auto"/>
        <w:jc w:val="both"/>
      </w:pPr>
      <w:r>
        <w:t xml:space="preserve">1x </w:t>
      </w:r>
      <w:r w:rsidR="00BA593E">
        <w:t xml:space="preserve">Data </w:t>
      </w:r>
      <w:bookmarkStart w:id="4" w:name="_GoBack"/>
      <w:bookmarkEnd w:id="4"/>
      <w:r w:rsidR="0040247D">
        <w:t>Accuracy</w:t>
      </w:r>
    </w:p>
    <w:tbl>
      <w:tblPr>
        <w:tblStyle w:val="TableGrid"/>
        <w:tblW w:w="0" w:type="auto"/>
        <w:tblInd w:w="0" w:type="dxa"/>
        <w:tblLook w:val="04A0" w:firstRow="1" w:lastRow="0" w:firstColumn="1" w:lastColumn="0" w:noHBand="0" w:noVBand="1"/>
      </w:tblPr>
      <w:tblGrid>
        <w:gridCol w:w="4814"/>
        <w:gridCol w:w="4814"/>
      </w:tblGrid>
      <w:tr w:rsidR="0040247D" w14:paraId="6082444E" w14:textId="77777777" w:rsidTr="003C641A">
        <w:tc>
          <w:tcPr>
            <w:tcW w:w="4814" w:type="dxa"/>
          </w:tcPr>
          <w:p w14:paraId="2C7C82A5" w14:textId="77777777" w:rsidR="0040247D" w:rsidRPr="003A0E2E" w:rsidRDefault="0040247D" w:rsidP="003C641A">
            <w:pPr>
              <w:spacing w:line="276" w:lineRule="auto"/>
              <w:jc w:val="both"/>
              <w:rPr>
                <w:b/>
                <w:lang w:val="en-US"/>
              </w:rPr>
            </w:pPr>
            <w:r w:rsidRPr="003A0E2E">
              <w:rPr>
                <w:b/>
                <w:lang w:val="en-US"/>
              </w:rPr>
              <w:t>Portion of Scenario</w:t>
            </w:r>
          </w:p>
        </w:tc>
        <w:tc>
          <w:tcPr>
            <w:tcW w:w="4814" w:type="dxa"/>
          </w:tcPr>
          <w:p w14:paraId="3FACBAAD" w14:textId="77777777" w:rsidR="0040247D" w:rsidRPr="003A0E2E" w:rsidRDefault="0040247D" w:rsidP="003C641A">
            <w:pPr>
              <w:spacing w:line="276" w:lineRule="auto"/>
              <w:jc w:val="both"/>
              <w:rPr>
                <w:lang w:val="en-US"/>
              </w:rPr>
            </w:pPr>
          </w:p>
        </w:tc>
      </w:tr>
      <w:tr w:rsidR="0040247D" w14:paraId="65FD3FE2" w14:textId="77777777" w:rsidTr="003C641A">
        <w:tc>
          <w:tcPr>
            <w:tcW w:w="4814" w:type="dxa"/>
          </w:tcPr>
          <w:p w14:paraId="00834CCA" w14:textId="77777777" w:rsidR="0040247D" w:rsidRPr="003A0E2E" w:rsidRDefault="0040247D" w:rsidP="003C641A">
            <w:pPr>
              <w:spacing w:line="276" w:lineRule="auto"/>
              <w:jc w:val="both"/>
              <w:rPr>
                <w:lang w:val="en-US"/>
              </w:rPr>
            </w:pPr>
            <w:r w:rsidRPr="003A0E2E">
              <w:rPr>
                <w:lang w:val="en-US"/>
              </w:rPr>
              <w:t>Source</w:t>
            </w:r>
          </w:p>
        </w:tc>
        <w:tc>
          <w:tcPr>
            <w:tcW w:w="4814" w:type="dxa"/>
          </w:tcPr>
          <w:p w14:paraId="48259CCD" w14:textId="77777777" w:rsidR="0040247D" w:rsidRPr="003A0E2E" w:rsidRDefault="0040247D" w:rsidP="003C641A">
            <w:pPr>
              <w:spacing w:line="276" w:lineRule="auto"/>
              <w:jc w:val="both"/>
              <w:rPr>
                <w:lang w:val="en-US"/>
              </w:rPr>
            </w:pPr>
          </w:p>
        </w:tc>
      </w:tr>
      <w:tr w:rsidR="0040247D" w14:paraId="7615D0B0" w14:textId="77777777" w:rsidTr="003C641A">
        <w:tc>
          <w:tcPr>
            <w:tcW w:w="4814" w:type="dxa"/>
          </w:tcPr>
          <w:p w14:paraId="3F88BD7C" w14:textId="77777777" w:rsidR="0040247D" w:rsidRPr="003A0E2E" w:rsidRDefault="0040247D" w:rsidP="003C641A">
            <w:pPr>
              <w:spacing w:line="276" w:lineRule="auto"/>
              <w:jc w:val="both"/>
              <w:rPr>
                <w:lang w:val="en-US"/>
              </w:rPr>
            </w:pPr>
            <w:r w:rsidRPr="003A0E2E">
              <w:rPr>
                <w:lang w:val="en-US"/>
              </w:rPr>
              <w:t>Stimulus</w:t>
            </w:r>
          </w:p>
        </w:tc>
        <w:tc>
          <w:tcPr>
            <w:tcW w:w="4814" w:type="dxa"/>
          </w:tcPr>
          <w:p w14:paraId="7BDA059A" w14:textId="77777777" w:rsidR="0040247D" w:rsidRPr="003A0E2E" w:rsidRDefault="0040247D" w:rsidP="003C641A">
            <w:pPr>
              <w:spacing w:line="276" w:lineRule="auto"/>
              <w:jc w:val="both"/>
              <w:rPr>
                <w:lang w:val="en-US"/>
              </w:rPr>
            </w:pPr>
          </w:p>
        </w:tc>
      </w:tr>
      <w:tr w:rsidR="0040247D" w14:paraId="3E2091A4" w14:textId="77777777" w:rsidTr="003C641A">
        <w:tc>
          <w:tcPr>
            <w:tcW w:w="4814" w:type="dxa"/>
          </w:tcPr>
          <w:p w14:paraId="3DF3F7EF" w14:textId="77777777" w:rsidR="0040247D" w:rsidRPr="003A0E2E" w:rsidRDefault="0040247D" w:rsidP="003C641A">
            <w:pPr>
              <w:spacing w:line="276" w:lineRule="auto"/>
              <w:jc w:val="both"/>
              <w:rPr>
                <w:lang w:val="en-US"/>
              </w:rPr>
            </w:pPr>
            <w:r w:rsidRPr="003A0E2E">
              <w:rPr>
                <w:lang w:val="en-US"/>
              </w:rPr>
              <w:t>Artifact</w:t>
            </w:r>
          </w:p>
        </w:tc>
        <w:tc>
          <w:tcPr>
            <w:tcW w:w="4814" w:type="dxa"/>
          </w:tcPr>
          <w:p w14:paraId="537B5960" w14:textId="77777777" w:rsidR="0040247D" w:rsidRPr="003A0E2E" w:rsidRDefault="0040247D" w:rsidP="003C641A">
            <w:pPr>
              <w:spacing w:line="276" w:lineRule="auto"/>
              <w:jc w:val="both"/>
              <w:rPr>
                <w:lang w:val="en-US"/>
              </w:rPr>
            </w:pPr>
          </w:p>
        </w:tc>
      </w:tr>
      <w:tr w:rsidR="0040247D" w14:paraId="292FBBFA" w14:textId="77777777" w:rsidTr="003C641A">
        <w:tc>
          <w:tcPr>
            <w:tcW w:w="4814" w:type="dxa"/>
          </w:tcPr>
          <w:p w14:paraId="02800B49" w14:textId="77777777" w:rsidR="0040247D" w:rsidRDefault="0040247D" w:rsidP="003C641A">
            <w:pPr>
              <w:spacing w:line="276" w:lineRule="auto"/>
              <w:jc w:val="both"/>
            </w:pPr>
            <w:r w:rsidRPr="003A0E2E">
              <w:rPr>
                <w:lang w:val="en-US"/>
              </w:rPr>
              <w:t>En</w:t>
            </w:r>
            <w:r w:rsidRPr="0040247D">
              <w:t>vironment</w:t>
            </w:r>
          </w:p>
        </w:tc>
        <w:tc>
          <w:tcPr>
            <w:tcW w:w="4814" w:type="dxa"/>
          </w:tcPr>
          <w:p w14:paraId="053DA6AC" w14:textId="77777777" w:rsidR="0040247D" w:rsidRDefault="0040247D" w:rsidP="003C641A">
            <w:pPr>
              <w:spacing w:line="276" w:lineRule="auto"/>
              <w:jc w:val="both"/>
            </w:pPr>
          </w:p>
        </w:tc>
      </w:tr>
      <w:tr w:rsidR="0040247D" w14:paraId="710CBE24" w14:textId="77777777" w:rsidTr="003C641A">
        <w:tc>
          <w:tcPr>
            <w:tcW w:w="4814" w:type="dxa"/>
          </w:tcPr>
          <w:p w14:paraId="274B25BA" w14:textId="77777777" w:rsidR="0040247D" w:rsidRDefault="0040247D" w:rsidP="003C641A">
            <w:pPr>
              <w:spacing w:line="276" w:lineRule="auto"/>
              <w:jc w:val="both"/>
            </w:pPr>
            <w:r w:rsidRPr="0040247D">
              <w:t>Response</w:t>
            </w:r>
          </w:p>
        </w:tc>
        <w:tc>
          <w:tcPr>
            <w:tcW w:w="4814" w:type="dxa"/>
          </w:tcPr>
          <w:p w14:paraId="08F318D8" w14:textId="77777777" w:rsidR="0040247D" w:rsidRDefault="0040247D" w:rsidP="003C641A">
            <w:pPr>
              <w:spacing w:line="276" w:lineRule="auto"/>
              <w:jc w:val="both"/>
            </w:pPr>
          </w:p>
        </w:tc>
      </w:tr>
      <w:tr w:rsidR="0040247D" w14:paraId="0C393533" w14:textId="77777777" w:rsidTr="003C641A">
        <w:tc>
          <w:tcPr>
            <w:tcW w:w="4814" w:type="dxa"/>
          </w:tcPr>
          <w:p w14:paraId="10E75EF5" w14:textId="77777777" w:rsidR="0040247D" w:rsidRDefault="0040247D" w:rsidP="003C641A">
            <w:pPr>
              <w:spacing w:line="276" w:lineRule="auto"/>
              <w:jc w:val="both"/>
            </w:pPr>
            <w:r w:rsidRPr="0040247D">
              <w:t xml:space="preserve">Response </w:t>
            </w:r>
            <w:r w:rsidRPr="0040247D">
              <w:br/>
              <w:t>Measure</w:t>
            </w:r>
          </w:p>
        </w:tc>
        <w:tc>
          <w:tcPr>
            <w:tcW w:w="4814" w:type="dxa"/>
          </w:tcPr>
          <w:p w14:paraId="1732A038" w14:textId="77777777" w:rsidR="0040247D" w:rsidRDefault="0040247D" w:rsidP="003C641A">
            <w:pPr>
              <w:spacing w:line="276" w:lineRule="auto"/>
              <w:jc w:val="both"/>
            </w:pPr>
          </w:p>
        </w:tc>
      </w:tr>
    </w:tbl>
    <w:p w14:paraId="2B36C298" w14:textId="77777777" w:rsidR="0040247D" w:rsidRDefault="0040247D" w:rsidP="00CF3377">
      <w:pPr>
        <w:spacing w:line="360" w:lineRule="auto"/>
        <w:jc w:val="both"/>
      </w:pPr>
    </w:p>
    <w:p w14:paraId="12C6CE02" w14:textId="730B7512" w:rsidR="00CC408C" w:rsidRPr="0040247D" w:rsidRDefault="0040247D" w:rsidP="0044455F">
      <w:pPr>
        <w:pStyle w:val="ListParagraph"/>
        <w:numPr>
          <w:ilvl w:val="0"/>
          <w:numId w:val="5"/>
        </w:numPr>
        <w:spacing w:line="360" w:lineRule="auto"/>
        <w:jc w:val="both"/>
        <w:rPr>
          <w:lang w:val="en-US"/>
        </w:rPr>
      </w:pPr>
      <w:r w:rsidRPr="0040247D">
        <w:rPr>
          <w:lang w:val="en-US"/>
        </w:rPr>
        <w:t xml:space="preserve">Measure accuracy of technical implementation of </w:t>
      </w:r>
      <w:r>
        <w:rPr>
          <w:lang w:val="en-US"/>
        </w:rPr>
        <w:t>CWA – not measuring quality of scoring scheme in application.</w:t>
      </w:r>
      <w:r w:rsidR="0044455F">
        <w:rPr>
          <w:lang w:val="en-US"/>
        </w:rPr>
        <w:t xml:space="preserve"> (e.g. scoring scheme testing not relevant: </w:t>
      </w:r>
      <w:hyperlink r:id="rId11" w:history="1">
        <w:r w:rsidR="0044455F" w:rsidRPr="00AB59B4">
          <w:rPr>
            <w:rStyle w:val="Hyperlink"/>
            <w:lang w:val="en-US"/>
          </w:rPr>
          <w:t>https://github.com/corona-warn-app/cwa-documentation/blob/master/2020_06_24_Corona_API_measurements.pdf</w:t>
        </w:r>
      </w:hyperlink>
      <w:r w:rsidR="0044455F">
        <w:rPr>
          <w:lang w:val="en-US"/>
        </w:rPr>
        <w:t xml:space="preserve"> )</w:t>
      </w:r>
    </w:p>
    <w:p w14:paraId="080647AC" w14:textId="05DEBD81" w:rsidR="00CC408C" w:rsidRDefault="00CC408C" w:rsidP="00CC408C">
      <w:pPr>
        <w:pStyle w:val="Heading1"/>
      </w:pPr>
      <w:r>
        <w:t>Tactics to implement Quality Scenarios</w:t>
      </w:r>
    </w:p>
    <w:p w14:paraId="7B7B25D6" w14:textId="399D6C6C" w:rsidR="00DD72B4" w:rsidRDefault="00DD72B4" w:rsidP="00CF3377">
      <w:pPr>
        <w:spacing w:line="360" w:lineRule="auto"/>
        <w:jc w:val="both"/>
      </w:pPr>
    </w:p>
    <w:p w14:paraId="675534A9" w14:textId="0EF84588" w:rsidR="00343E9C" w:rsidRPr="00F372DD" w:rsidRDefault="00C5621C" w:rsidP="00CF3377">
      <w:pPr>
        <w:spacing w:line="360" w:lineRule="auto"/>
        <w:jc w:val="both"/>
      </w:pPr>
      <w:r>
        <w:t>Design patterns</w:t>
      </w:r>
    </w:p>
    <w:p w14:paraId="5DFB19A3" w14:textId="345774A9" w:rsidR="00642171" w:rsidRPr="00F372DD" w:rsidRDefault="00642171" w:rsidP="00343E9C">
      <w:pPr>
        <w:pStyle w:val="Heading1"/>
      </w:pPr>
      <w:bookmarkStart w:id="5" w:name="_Toc50305381"/>
      <w:bookmarkStart w:id="6" w:name="Maintext2"/>
    </w:p>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Corona Warnapp Documentation</w:t>
      </w:r>
      <w:r w:rsidR="001D40AB" w:rsidRPr="00BA593E">
        <w:rPr>
          <w:lang w:val="fr-FR"/>
        </w:rPr>
        <w:t xml:space="preserve"> – backend-infrastructure-architecture</w:t>
      </w:r>
    </w:p>
    <w:p w14:paraId="47CD6F1B" w14:textId="125CCF19" w:rsidR="000962E0" w:rsidRPr="00BA593E" w:rsidRDefault="00E8356A" w:rsidP="000962E0">
      <w:pPr>
        <w:ind w:left="720"/>
        <w:rPr>
          <w:lang w:val="fr-FR"/>
        </w:rPr>
      </w:pPr>
      <w:hyperlink r:id="rId12"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Corona Warnapp Documentation – Criteria for the Evaluation of Contact Tracing Apps</w:t>
      </w:r>
    </w:p>
    <w:p w14:paraId="6E7D92BF" w14:textId="582A776B" w:rsidR="001D40AB" w:rsidRDefault="00E8356A" w:rsidP="000962E0">
      <w:pPr>
        <w:ind w:left="720"/>
      </w:pPr>
      <w:hyperlink r:id="rId13"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BA593E">
        <w:rPr>
          <w:lang w:val="de-DE"/>
        </w:rPr>
        <w:br/>
      </w:r>
      <w:r w:rsidRPr="0044455F">
        <w:rPr>
          <w:lang w:val="de-DE"/>
        </w:rPr>
        <w:t>Google exposure notification API Testing</w:t>
      </w:r>
    </w:p>
    <w:p w14:paraId="5941FE74" w14:textId="34901FB6" w:rsidR="00F8529A" w:rsidRPr="0044455F" w:rsidRDefault="00E8356A" w:rsidP="000962E0">
      <w:pPr>
        <w:ind w:left="720"/>
        <w:rPr>
          <w:lang w:val="de-DE"/>
        </w:rPr>
      </w:pPr>
      <w:hyperlink r:id="rId14"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FFF6FB5" w:rsidR="0040247D" w:rsidRPr="0044455F" w:rsidRDefault="0040247D" w:rsidP="000962E0">
      <w:pPr>
        <w:ind w:left="720"/>
        <w:rPr>
          <w:lang w:val="de-DE"/>
        </w:rPr>
      </w:pPr>
      <w:r w:rsidRPr="0044455F">
        <w:rPr>
          <w:lang w:val="de-DE"/>
        </w:rPr>
        <w:t>https://www.connect.de/news/corona-warn-app-download-zahlen-3200860.html</w:t>
      </w:r>
    </w:p>
    <w:p w14:paraId="122C361E" w14:textId="77777777" w:rsidR="00C41FDE" w:rsidRPr="0044455F" w:rsidRDefault="00C41FDE" w:rsidP="00E31571">
      <w:pPr>
        <w:pStyle w:val="Heading1"/>
        <w:ind w:left="3264" w:firstLine="276"/>
        <w:rPr>
          <w:rFonts w:cs="Times New Roman"/>
          <w:b/>
          <w:bCs/>
          <w:sz w:val="28"/>
          <w:szCs w:val="24"/>
          <w:lang w:val="de-DE"/>
        </w:rPr>
      </w:pPr>
    </w:p>
    <w:p w14:paraId="4524E401" w14:textId="77777777" w:rsidR="00E31571" w:rsidRPr="0044455F" w:rsidRDefault="00E31571" w:rsidP="00E31571">
      <w:pPr>
        <w:pStyle w:val="Heading1"/>
        <w:ind w:left="3264" w:firstLine="276"/>
        <w:rPr>
          <w:lang w:val="de-DE"/>
        </w:rPr>
      </w:pPr>
      <w:r w:rsidRPr="0044455F">
        <w:rPr>
          <w:rFonts w:cs="Times New Roman"/>
          <w:b/>
          <w:bCs/>
          <w:sz w:val="28"/>
          <w:szCs w:val="24"/>
          <w:lang w:val="de-DE"/>
        </w:rPr>
        <w:br w:type="page"/>
      </w:r>
    </w:p>
    <w:p w14:paraId="334BE2AA" w14:textId="77777777" w:rsidR="00E31571" w:rsidRPr="0044455F" w:rsidRDefault="00E31571" w:rsidP="00E31571">
      <w:pPr>
        <w:rPr>
          <w:lang w:val="de-DE"/>
        </w:rPr>
      </w:pPr>
    </w:p>
    <w:p w14:paraId="0143679B" w14:textId="77777777" w:rsidR="00E31571" w:rsidRPr="0044455F" w:rsidRDefault="00E31571" w:rsidP="00E31571">
      <w:pPr>
        <w:rPr>
          <w:lang w:val="de-DE"/>
        </w:rPr>
      </w:pPr>
    </w:p>
    <w:p w14:paraId="11EA629A" w14:textId="77777777" w:rsidR="00E31571" w:rsidRPr="0044455F" w:rsidRDefault="00E31571" w:rsidP="00E31571">
      <w:pPr>
        <w:rPr>
          <w:lang w:val="de-DE"/>
        </w:rPr>
      </w:pPr>
    </w:p>
    <w:p w14:paraId="67D577C0" w14:textId="77777777" w:rsidR="00E31571" w:rsidRPr="0044455F" w:rsidRDefault="00E31571" w:rsidP="00E31571">
      <w:pPr>
        <w:rPr>
          <w:lang w:val="de-DE"/>
        </w:rPr>
      </w:pPr>
    </w:p>
    <w:p w14:paraId="035FE2DF" w14:textId="77777777" w:rsidR="00E31571" w:rsidRPr="0044455F" w:rsidRDefault="00E31571" w:rsidP="00E31571">
      <w:pPr>
        <w:rPr>
          <w:lang w:val="de-DE"/>
        </w:rPr>
      </w:pPr>
    </w:p>
    <w:p w14:paraId="108F4634" w14:textId="77777777" w:rsidR="00E31571" w:rsidRPr="0044455F" w:rsidRDefault="00E31571" w:rsidP="00E31571">
      <w:pPr>
        <w:pStyle w:val="Heading1"/>
        <w:rPr>
          <w:sz w:val="48"/>
          <w:lang w:val="de-DE"/>
        </w:rPr>
      </w:pPr>
    </w:p>
    <w:p w14:paraId="6384ED6A" w14:textId="77777777" w:rsidR="00E31571" w:rsidRPr="0044455F" w:rsidRDefault="00E31571" w:rsidP="00E31571">
      <w:pPr>
        <w:rPr>
          <w:lang w:val="de-DE"/>
        </w:rPr>
      </w:pPr>
    </w:p>
    <w:p w14:paraId="7D94E202" w14:textId="77777777" w:rsidR="00E31571" w:rsidRPr="0044455F" w:rsidRDefault="00E31571" w:rsidP="00E31571">
      <w:pPr>
        <w:rPr>
          <w:lang w:val="de-DE"/>
        </w:rPr>
      </w:pPr>
    </w:p>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E8356A">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E8356A">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E8356A">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E8356A">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E8356A">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9F9C0" w14:textId="77777777" w:rsidR="00E8356A" w:rsidRDefault="00E8356A" w:rsidP="00A1486A">
      <w:pPr>
        <w:spacing w:after="0" w:line="240" w:lineRule="auto"/>
      </w:pPr>
      <w:r>
        <w:separator/>
      </w:r>
    </w:p>
  </w:endnote>
  <w:endnote w:type="continuationSeparator" w:id="0">
    <w:p w14:paraId="3D298301" w14:textId="77777777" w:rsidR="00E8356A" w:rsidRDefault="00E8356A"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5802CA" w:rsidRDefault="00580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761AD289" w:rsidR="005802CA" w:rsidRDefault="005802CA">
        <w:pPr>
          <w:pStyle w:val="Footer"/>
          <w:jc w:val="right"/>
        </w:pPr>
        <w:r>
          <w:fldChar w:fldCharType="begin"/>
        </w:r>
        <w:r>
          <w:instrText xml:space="preserve"> PAGE   \* MERGEFORMAT </w:instrText>
        </w:r>
        <w:r>
          <w:fldChar w:fldCharType="separate"/>
        </w:r>
        <w:r w:rsidR="00A46A8F">
          <w:rPr>
            <w:noProof/>
          </w:rPr>
          <w:t>8</w:t>
        </w:r>
        <w:r>
          <w:rPr>
            <w:noProof/>
          </w:rPr>
          <w:fldChar w:fldCharType="end"/>
        </w:r>
      </w:p>
    </w:sdtContent>
  </w:sdt>
  <w:p w14:paraId="7E11BBD2" w14:textId="77777777" w:rsidR="005802CA" w:rsidRDefault="00580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5802CA" w:rsidRDefault="005802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5802CA" w:rsidRDefault="005802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5802CA" w:rsidRDefault="005802CA">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5802CA" w:rsidRPr="00CE7158" w:rsidRDefault="005802CA"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5802CA" w:rsidRPr="00CE7158" w:rsidRDefault="005802CA"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5802CA" w:rsidRPr="00A1486A" w:rsidRDefault="005802CA"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5802CA" w:rsidRPr="00A1486A" w:rsidRDefault="005802CA"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5802CA" w:rsidRDefault="00580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13E6C" w14:textId="77777777" w:rsidR="00E8356A" w:rsidRDefault="00E8356A" w:rsidP="00A1486A">
      <w:pPr>
        <w:spacing w:after="0" w:line="240" w:lineRule="auto"/>
      </w:pPr>
      <w:r>
        <w:separator/>
      </w:r>
    </w:p>
  </w:footnote>
  <w:footnote w:type="continuationSeparator" w:id="0">
    <w:p w14:paraId="2FA0224A" w14:textId="77777777" w:rsidR="00E8356A" w:rsidRDefault="00E8356A"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5802CA" w:rsidRDefault="00580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5802CA" w:rsidRDefault="00580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5802CA" w:rsidRDefault="005802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5802CA" w:rsidRDefault="005802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5802CA" w:rsidRDefault="005802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5802CA" w:rsidRDefault="00580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44D35"/>
    <w:rsid w:val="00054644"/>
    <w:rsid w:val="00055FFE"/>
    <w:rsid w:val="000678C4"/>
    <w:rsid w:val="000962E0"/>
    <w:rsid w:val="000D6F51"/>
    <w:rsid w:val="000E059B"/>
    <w:rsid w:val="000E6F28"/>
    <w:rsid w:val="000F00BF"/>
    <w:rsid w:val="000F1A76"/>
    <w:rsid w:val="000F74C1"/>
    <w:rsid w:val="00103014"/>
    <w:rsid w:val="0011783F"/>
    <w:rsid w:val="00123D14"/>
    <w:rsid w:val="00125E1A"/>
    <w:rsid w:val="0014306D"/>
    <w:rsid w:val="00150C6C"/>
    <w:rsid w:val="0016247D"/>
    <w:rsid w:val="00176C77"/>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E2E"/>
    <w:rsid w:val="003A16BA"/>
    <w:rsid w:val="003C25B4"/>
    <w:rsid w:val="003D02DB"/>
    <w:rsid w:val="003F2050"/>
    <w:rsid w:val="003F5AB6"/>
    <w:rsid w:val="0040229A"/>
    <w:rsid w:val="0040247D"/>
    <w:rsid w:val="0043198D"/>
    <w:rsid w:val="00434939"/>
    <w:rsid w:val="0044455F"/>
    <w:rsid w:val="00452398"/>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83063"/>
    <w:rsid w:val="006830A9"/>
    <w:rsid w:val="006E0892"/>
    <w:rsid w:val="006E7996"/>
    <w:rsid w:val="006F002F"/>
    <w:rsid w:val="00701B38"/>
    <w:rsid w:val="0070448D"/>
    <w:rsid w:val="00721C9E"/>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34A0"/>
    <w:rsid w:val="008C67D5"/>
    <w:rsid w:val="008D1702"/>
    <w:rsid w:val="008F25DD"/>
    <w:rsid w:val="00912B9C"/>
    <w:rsid w:val="009344B2"/>
    <w:rsid w:val="00944287"/>
    <w:rsid w:val="00946F20"/>
    <w:rsid w:val="00947EDD"/>
    <w:rsid w:val="00951E51"/>
    <w:rsid w:val="00965FED"/>
    <w:rsid w:val="00973EBA"/>
    <w:rsid w:val="009B384C"/>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36527"/>
    <w:rsid w:val="00D50A0B"/>
    <w:rsid w:val="00D51E12"/>
    <w:rsid w:val="00D54EFC"/>
    <w:rsid w:val="00D66AE5"/>
    <w:rsid w:val="00D834B3"/>
    <w:rsid w:val="00DA33E0"/>
    <w:rsid w:val="00DB6A7D"/>
    <w:rsid w:val="00DB74C7"/>
    <w:rsid w:val="00DC2DF1"/>
    <w:rsid w:val="00DD2D2D"/>
    <w:rsid w:val="00DD3EEC"/>
    <w:rsid w:val="00DD69A8"/>
    <w:rsid w:val="00DD72B4"/>
    <w:rsid w:val="00DE5B05"/>
    <w:rsid w:val="00E038B5"/>
    <w:rsid w:val="00E15155"/>
    <w:rsid w:val="00E239CC"/>
    <w:rsid w:val="00E31571"/>
    <w:rsid w:val="00E368AD"/>
    <w:rsid w:val="00E40A86"/>
    <w:rsid w:val="00E4488C"/>
    <w:rsid w:val="00E8356A"/>
    <w:rsid w:val="00EA4859"/>
    <w:rsid w:val="00EC5322"/>
    <w:rsid w:val="00ED4F33"/>
    <w:rsid w:val="00ED5359"/>
    <w:rsid w:val="00F06350"/>
    <w:rsid w:val="00F32399"/>
    <w:rsid w:val="00F372DD"/>
    <w:rsid w:val="00F406DC"/>
    <w:rsid w:val="00F7355D"/>
    <w:rsid w:val="00F76717"/>
    <w:rsid w:val="00F8529A"/>
    <w:rsid w:val="00F9572C"/>
    <w:rsid w:val="00FA53AE"/>
    <w:rsid w:val="00FB37DF"/>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pruefsteine.md"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corona-warn-app/cwa-documentation/blob/master/backend-infrastructure-architecture.pdf"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2020_06_24_Corona_API_measurements.pdf"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ona-warn-app/cwa-documentation/blob/master/2020_06_24_Corona_API_measurements.pdf" TargetMode="External"/><Relationship Id="rId22" Type="http://schemas.openxmlformats.org/officeDocument/2006/relationships/header" Target="header4.xml"/><Relationship Id="rId27" Type="http://schemas.openxmlformats.org/officeDocument/2006/relationships/footer" Target="footer6.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0D1F-0ECC-4C32-96FA-75832133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1458</Words>
  <Characters>8311</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18</cp:revision>
  <dcterms:created xsi:type="dcterms:W3CDTF">2021-03-15T08:04:00Z</dcterms:created>
  <dcterms:modified xsi:type="dcterms:W3CDTF">2021-04-18T09:06:00Z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