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24"/>
        <w:gridCol w:w="3600"/>
      </w:tblGrid>
      <w:tr>
        <w:tc>
          <w:tcPr>
            <w:tcW w:type="dxa" w:w="6624"/>
            <w:tcBorders>
              <w:top w:val="none" w:color="FFFFFF" w:sz="0"/>
              <w:left w:val="none" w:color="FFFFFF" w:sz="0"/>
              <w:bottom w:val="none" w:color="FFFFFF" w:sz="0"/>
              <w:right w:val="none" w:color="FFFFFF" w:sz="0"/>
            </w:tcBorders>
            <w:tcMar>
              <w:left w:type="dxa" w:w="0"/>
            </w:tcMar>
            <w:vAlign w:val="center"/>
          </w:tcPr>
          <w:p>
            <w:pPr>
              <w:spacing w:after="0"/>
            </w:pPr>
            <w:r>
              <w:drawing>
                <wp:inline distT="0" distB="0" distL="0" distR="0">
                  <wp:extent cx="22098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09800" cy="476250"/>
                          </a:xfrm>
                          <a:prstGeom prst="rect">
                            <a:avLst/>
                          </a:prstGeom>
                        </pic:spPr>
                      </pic:pic>
                    </a:graphicData>
                  </a:graphic>
                </wp:inline>
              </w:drawing>
            </w:r>
          </w:p>
        </w:tc>
        <w:tc>
          <w:tcPr>
            <w:tcW w:type="dxa" w:w="3600"/>
            <w:tcBorders>
              <w:top w:val="none" w:color="FFFFFF" w:sz="0"/>
              <w:left w:val="none" w:color="FFFFFF" w:sz="0"/>
              <w:bottom w:val="none" w:color="FFFFFF" w:sz="0"/>
              <w:right w:val="none" w:color="FFFFFF" w:sz="0"/>
            </w:tcBorders>
            <w:tcMar>
              <w:right w:type="dxa" w:w="0"/>
            </w:tcMar>
            <w:vAlign w:val="center"/>
          </w:tcPr>
          <w:p>
            <w:pPr>
              <w:spacing w:after="20"/>
              <w:jc w:val="right"/>
            </w:pPr>
            <w:r>
              <w:rPr>
                <w:rFonts w:ascii="Arial" w:cs="Arial" w:eastAsia="Arial" w:hAnsi="Arial"/>
                <w:b/>
                <w:bCs/>
                <w:color w:val="172E53"/>
                <w:spacing w:val="30"/>
                <w:sz w:val="22"/>
                <w:szCs w:val="22"/>
              </w:rPr>
              <w:t xml:space="preserve">CAPABILITY STATEMENT</w:t>
            </w:r>
          </w:p>
          <w:p>
            <w:pPr>
              <w:spacing w:after="0"/>
              <w:jc w:val="right"/>
            </w:pPr>
            <w:r>
              <w:rPr>
                <w:rFonts w:ascii="Arial" w:cs="Arial" w:eastAsia="Arial" w:hAnsi="Arial"/>
                <w:b/>
                <w:bCs/>
                <w:color w:val="2E9E4B"/>
                <w:sz w:val="16"/>
                <w:szCs w:val="16"/>
              </w:rPr>
              <w:t xml:space="preserve">SDVOSB  ·  SBA certified</w:t>
            </w:r>
          </w:p>
        </w:tc>
      </w:tr>
    </w:tbl>
    <w:p>
      <w:pPr>
        <w:spacing w:before="200" w:after="60"/>
      </w:pPr>
      <w:r>
        <w:rPr>
          <w:rFonts w:ascii="Arial" w:cs="Arial" w:eastAsia="Arial" w:hAnsi="Arial"/>
          <w:b/>
          <w:bCs/>
          <w:color w:val="172E53"/>
          <w:sz w:val="28"/>
          <w:szCs w:val="28"/>
        </w:rPr>
        <w:t xml:space="preserve">Enterprise-scale systems for government, in months, not years.</w:t>
      </w:r>
    </w:p>
    <w:p>
      <w:pPr>
        <w:spacing w:after="100" w:line="252"/>
      </w:pPr>
      <w:r>
        <w:rPr>
          <w:rFonts w:ascii="Arial" w:cs="Arial" w:eastAsia="Arial" w:hAnsi="Arial"/>
          <w:color w:val="2C3A50"/>
          <w:sz w:val="18"/>
          <w:szCs w:val="18"/>
        </w:rPr>
        <w:t xml:space="preserve">Windward Apps is a service-disabled veteran-owned software consultancy in Kailua, Hawaiʻi. We build and modernize the systems agencies actually run on: custom applications, AI integration, public portals, data pipelines, and automation. Our engineers direct AI agents that write, test and refactor code, and a senior engineer reviews every line before it ships. That is how a small team delivers enterprise-scale work in months instead of years, at a fraction of the traditional cost.</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24"/>
        <w:gridCol w:w="3600"/>
      </w:tblGrid>
      <w:tr>
        <w:tc>
          <w:tcPr>
            <w:tcW w:type="dxa" w:w="6624"/>
            <w:tcBorders>
              <w:top w:val="none" w:color="FFFFFF" w:sz="0"/>
              <w:left w:val="none" w:color="FFFFFF" w:sz="0"/>
              <w:bottom w:val="none" w:color="FFFFFF" w:sz="0"/>
              <w:right w:val="none" w:color="FFFFFF" w:sz="0"/>
            </w:tcBorders>
            <w:tcMar>
              <w:top w:type="dxa" w:w="0"/>
              <w:left w:type="dxa" w:w="0"/>
              <w:bottom w:type="dxa" w:w="0"/>
              <w:right w:type="dxa" w:w="360"/>
            </w:tcMar>
          </w:tcPr>
          <w:p>
            <w:pPr>
              <w:pBdr>
                <w:bottom w:val="single" w:color="176FB3" w:sz="6" w:space="2"/>
              </w:pBdr>
              <w:spacing w:before="160" w:after="80"/>
            </w:pPr>
            <w:r>
              <w:rPr>
                <w:rFonts w:ascii="Arial" w:cs="Arial" w:eastAsia="Arial" w:hAnsi="Arial"/>
                <w:b/>
                <w:bCs/>
                <w:color w:val="172E53"/>
                <w:spacing w:val="20"/>
                <w:sz w:val="18"/>
                <w:szCs w:val="18"/>
              </w:rPr>
              <w:t xml:space="preserve">CORE COMPETENCIES</w:t>
            </w:r>
          </w:p>
          <w:p>
            <w:pPr>
              <w:pStyle w:val="ListParagraph"/>
              <w:numPr>
                <w:ilvl w:val="0"/>
                <w:numId w:val="2"/>
              </w:numPr>
              <w:spacing w:after="40" w:line="240"/>
            </w:pPr>
            <w:r>
              <w:rPr>
                <w:rFonts w:ascii="Arial" w:cs="Arial" w:eastAsia="Arial" w:hAnsi="Arial"/>
                <w:b/>
                <w:bCs/>
                <w:color w:val="15243D"/>
                <w:sz w:val="18"/>
                <w:szCs w:val="18"/>
              </w:rPr>
              <w:t xml:space="preserve">Custom applications. </w:t>
            </w:r>
            <w:r>
              <w:rPr>
                <w:rFonts w:ascii="Arial" w:cs="Arial" w:eastAsia="Arial" w:hAnsi="Arial"/>
                <w:color w:val="2C3A50"/>
                <w:sz w:val="18"/>
                <w:szCs w:val="18"/>
              </w:rPr>
              <w:t xml:space="preserve">Web and mobile applications built around how people actually work, from major organizational systems to startup platforms and internal tools, connected to what is already in place.</w:t>
            </w:r>
          </w:p>
          <w:p>
            <w:pPr>
              <w:pStyle w:val="ListParagraph"/>
              <w:numPr>
                <w:ilvl w:val="0"/>
                <w:numId w:val="2"/>
              </w:numPr>
              <w:spacing w:after="40" w:line="240"/>
            </w:pPr>
            <w:r>
              <w:rPr>
                <w:rFonts w:ascii="Arial" w:cs="Arial" w:eastAsia="Arial" w:hAnsi="Arial"/>
                <w:b/>
                <w:bCs/>
                <w:color w:val="15243D"/>
                <w:sz w:val="18"/>
                <w:szCs w:val="18"/>
              </w:rPr>
              <w:t xml:space="preserve">AI integration. </w:t>
            </w:r>
            <w:r>
              <w:rPr>
                <w:rFonts w:ascii="Arial" w:cs="Arial" w:eastAsia="Arial" w:hAnsi="Arial"/>
                <w:color w:val="2C3A50"/>
                <w:sz w:val="18"/>
                <w:szCs w:val="18"/>
              </w:rPr>
              <w:t xml:space="preserve">Document intake, summarization and search across agency records; MCP servers that let an assistant act on existing tools. Access controls and audit trails included.</w:t>
            </w:r>
          </w:p>
          <w:p>
            <w:pPr>
              <w:pStyle w:val="ListParagraph"/>
              <w:numPr>
                <w:ilvl w:val="0"/>
                <w:numId w:val="2"/>
              </w:numPr>
              <w:spacing w:after="40" w:line="240"/>
            </w:pPr>
            <w:r>
              <w:rPr>
                <w:rFonts w:ascii="Arial" w:cs="Arial" w:eastAsia="Arial" w:hAnsi="Arial"/>
                <w:b/>
                <w:bCs/>
                <w:color w:val="15243D"/>
                <w:sz w:val="18"/>
                <w:szCs w:val="18"/>
              </w:rPr>
              <w:t xml:space="preserve">Modernization and automation. </w:t>
            </w:r>
            <w:r>
              <w:rPr>
                <w:rFonts w:ascii="Arial" w:cs="Arial" w:eastAsia="Arial" w:hAnsi="Arial"/>
                <w:color w:val="2C3A50"/>
                <w:sz w:val="18"/>
                <w:szCs w:val="18"/>
              </w:rPr>
              <w:t xml:space="preserve">Incremental replacement of paper, fax, spreadsheet and legacy processes, with data kept intact and hand-offs automated.</w:t>
            </w:r>
          </w:p>
          <w:p>
            <w:pPr>
              <w:pStyle w:val="ListParagraph"/>
              <w:numPr>
                <w:ilvl w:val="0"/>
                <w:numId w:val="2"/>
              </w:numPr>
              <w:spacing w:after="40" w:line="240"/>
            </w:pPr>
            <w:r>
              <w:rPr>
                <w:rFonts w:ascii="Arial" w:cs="Arial" w:eastAsia="Arial" w:hAnsi="Arial"/>
                <w:b/>
                <w:bCs/>
                <w:color w:val="15243D"/>
                <w:sz w:val="18"/>
                <w:szCs w:val="18"/>
              </w:rPr>
              <w:t xml:space="preserve">Data and reporting. </w:t>
            </w:r>
            <w:r>
              <w:rPr>
                <w:rFonts w:ascii="Arial" w:cs="Arial" w:eastAsia="Arial" w:hAnsi="Arial"/>
                <w:color w:val="2C3A50"/>
                <w:sz w:val="18"/>
                <w:szCs w:val="18"/>
              </w:rPr>
              <w:t xml:space="preserve">Pipelines that pull from existing systems into one source of truth, feeding dashboards and required reporting automatically.</w:t>
            </w:r>
          </w:p>
          <w:p>
            <w:pPr>
              <w:pStyle w:val="ListParagraph"/>
              <w:numPr>
                <w:ilvl w:val="0"/>
                <w:numId w:val="2"/>
              </w:numPr>
              <w:spacing w:after="40" w:line="240"/>
            </w:pPr>
            <w:r>
              <w:rPr>
                <w:rFonts w:ascii="Arial" w:cs="Arial" w:eastAsia="Arial" w:hAnsi="Arial"/>
                <w:b/>
                <w:bCs/>
                <w:color w:val="15243D"/>
                <w:sz w:val="18"/>
                <w:szCs w:val="18"/>
              </w:rPr>
              <w:t xml:space="preserve">Cloud and operations. </w:t>
            </w:r>
            <w:r>
              <w:rPr>
                <w:rFonts w:ascii="Arial" w:cs="Arial" w:eastAsia="Arial" w:hAnsi="Arial"/>
                <w:color w:val="2C3A50"/>
                <w:sz w:val="18"/>
                <w:szCs w:val="18"/>
              </w:rPr>
              <w:t xml:space="preserve">Deployment, infrastructure automation, and ongoing operations, with the agency owning every account.</w:t>
            </w:r>
          </w:p>
          <w:p>
            <w:pPr>
              <w:pStyle w:val="ListParagraph"/>
              <w:numPr>
                <w:ilvl w:val="0"/>
                <w:numId w:val="2"/>
              </w:numPr>
              <w:spacing w:after="40" w:line="240"/>
            </w:pPr>
            <w:r>
              <w:rPr>
                <w:rFonts w:ascii="Arial" w:cs="Arial" w:eastAsia="Arial" w:hAnsi="Arial"/>
                <w:b/>
                <w:bCs/>
                <w:color w:val="15243D"/>
                <w:sz w:val="18"/>
                <w:szCs w:val="18"/>
              </w:rPr>
              <w:t xml:space="preserve">GIS, desktop and hardware. </w:t>
            </w:r>
            <w:r>
              <w:rPr>
                <w:rFonts w:ascii="Arial" w:cs="Arial" w:eastAsia="Arial" w:hAnsi="Arial"/>
                <w:color w:val="2C3A50"/>
                <w:sz w:val="18"/>
                <w:szCs w:val="18"/>
              </w:rPr>
              <w:t xml:space="preserve">Geographic information systems, desktop software, embedded devices.</w:t>
            </w:r>
          </w:p>
          <w:p>
            <w:pPr>
              <w:pBdr>
                <w:bottom w:val="single" w:color="176FB3" w:sz="6" w:space="2"/>
              </w:pBdr>
              <w:spacing w:before="160" w:after="80"/>
            </w:pPr>
            <w:r>
              <w:rPr>
                <w:rFonts w:ascii="Arial" w:cs="Arial" w:eastAsia="Arial" w:hAnsi="Arial"/>
                <w:b/>
                <w:bCs/>
                <w:color w:val="172E53"/>
                <w:spacing w:val="20"/>
                <w:sz w:val="18"/>
                <w:szCs w:val="18"/>
              </w:rPr>
              <w:t xml:space="preserve">DIFFERENTIATORS</w:t>
            </w:r>
          </w:p>
          <w:p>
            <w:pPr>
              <w:pStyle w:val="ListParagraph"/>
              <w:numPr>
                <w:ilvl w:val="0"/>
                <w:numId w:val="2"/>
              </w:numPr>
              <w:spacing w:after="40" w:line="240"/>
            </w:pPr>
            <w:r>
              <w:rPr>
                <w:rFonts w:ascii="Arial" w:cs="Arial" w:eastAsia="Arial" w:hAnsi="Arial"/>
                <w:b/>
                <w:bCs/>
                <w:color w:val="15243D"/>
                <w:sz w:val="18"/>
                <w:szCs w:val="18"/>
              </w:rPr>
              <w:t xml:space="preserve">Agent-driven development. </w:t>
            </w:r>
            <w:r>
              <w:rPr>
                <w:rFonts w:ascii="Arial" w:cs="Arial" w:eastAsia="Arial" w:hAnsi="Arial"/>
                <w:color w:val="2C3A50"/>
                <w:sz w:val="18"/>
                <w:szCs w:val="18"/>
              </w:rPr>
              <w:t xml:space="preserve">AI agents do the hours behind every feature. Budgets that used to buy a requirements study now buy a finished system.</w:t>
            </w:r>
          </w:p>
          <w:p>
            <w:pPr>
              <w:pStyle w:val="ListParagraph"/>
              <w:numPr>
                <w:ilvl w:val="0"/>
                <w:numId w:val="2"/>
              </w:numPr>
              <w:spacing w:after="40" w:line="240"/>
            </w:pPr>
            <w:r>
              <w:rPr>
                <w:rFonts w:ascii="Arial" w:cs="Arial" w:eastAsia="Arial" w:hAnsi="Arial"/>
                <w:b/>
                <w:bCs/>
                <w:color w:val="15243D"/>
                <w:sz w:val="18"/>
                <w:szCs w:val="18"/>
              </w:rPr>
              <w:t xml:space="preserve">Senior accountability. </w:t>
            </w:r>
            <w:r>
              <w:rPr>
                <w:rFonts w:ascii="Arial" w:cs="Arial" w:eastAsia="Arial" w:hAnsi="Arial"/>
                <w:color w:val="2C3A50"/>
                <w:sz w:val="18"/>
                <w:szCs w:val="18"/>
              </w:rPr>
              <w:t xml:space="preserve">A senior engineer directs the work and reviews every line of code. No junior bench, no hand-offs.</w:t>
            </w:r>
          </w:p>
          <w:p>
            <w:pPr>
              <w:pStyle w:val="ListParagraph"/>
              <w:numPr>
                <w:ilvl w:val="0"/>
                <w:numId w:val="2"/>
              </w:numPr>
              <w:spacing w:after="40" w:line="240"/>
            </w:pPr>
            <w:r>
              <w:rPr>
                <w:rFonts w:ascii="Arial" w:cs="Arial" w:eastAsia="Arial" w:hAnsi="Arial"/>
                <w:b/>
                <w:bCs/>
                <w:color w:val="15243D"/>
                <w:sz w:val="18"/>
                <w:szCs w:val="18"/>
              </w:rPr>
              <w:t xml:space="preserve">Working software early. </w:t>
            </w:r>
            <w:r>
              <w:rPr>
                <w:rFonts w:ascii="Arial" w:cs="Arial" w:eastAsia="Arial" w:hAnsi="Arial"/>
                <w:color w:val="2C3A50"/>
                <w:sz w:val="18"/>
                <w:szCs w:val="18"/>
              </w:rPr>
              <w:t xml:space="preserve">Something to review within the first sprint, then short iterations until delivery.</w:t>
            </w:r>
          </w:p>
          <w:p>
            <w:pPr>
              <w:pStyle w:val="ListParagraph"/>
              <w:numPr>
                <w:ilvl w:val="0"/>
                <w:numId w:val="2"/>
              </w:numPr>
              <w:spacing w:after="40" w:line="240"/>
            </w:pPr>
            <w:r>
              <w:rPr>
                <w:rFonts w:ascii="Arial" w:cs="Arial" w:eastAsia="Arial" w:hAnsi="Arial"/>
                <w:b/>
                <w:bCs/>
                <w:color w:val="15243D"/>
                <w:sz w:val="18"/>
                <w:szCs w:val="18"/>
              </w:rPr>
              <w:t xml:space="preserve">Scope you can trust. </w:t>
            </w:r>
            <w:r>
              <w:rPr>
                <w:rFonts w:ascii="Arial" w:cs="Arial" w:eastAsia="Arial" w:hAnsi="Arial"/>
                <w:color w:val="2C3A50"/>
                <w:sz w:val="18"/>
                <w:szCs w:val="18"/>
              </w:rPr>
              <w:t xml:space="preserve">A short discovery phase first, then firm-fixed-price for defined scope. Time-and-materials for support and evolving work.</w:t>
            </w:r>
          </w:p>
          <w:p>
            <w:pPr>
              <w:pStyle w:val="ListParagraph"/>
              <w:numPr>
                <w:ilvl w:val="0"/>
                <w:numId w:val="2"/>
              </w:numPr>
              <w:spacing w:after="40" w:line="240"/>
            </w:pPr>
            <w:r>
              <w:rPr>
                <w:rFonts w:ascii="Arial" w:cs="Arial" w:eastAsia="Arial" w:hAnsi="Arial"/>
                <w:b/>
                <w:bCs/>
                <w:color w:val="15243D"/>
                <w:sz w:val="18"/>
                <w:szCs w:val="18"/>
              </w:rPr>
              <w:t xml:space="preserve">You own everything. </w:t>
            </w:r>
            <w:r>
              <w:rPr>
                <w:rFonts w:ascii="Arial" w:cs="Arial" w:eastAsia="Arial" w:hAnsi="Arial"/>
                <w:color w:val="2C3A50"/>
                <w:sz w:val="18"/>
                <w:szCs w:val="18"/>
              </w:rPr>
              <w:t xml:space="preserve">Code, data and infrastructure accounts belong to the agency from day one.</w:t>
            </w:r>
          </w:p>
          <w:p>
            <w:pPr>
              <w:pStyle w:val="ListParagraph"/>
              <w:numPr>
                <w:ilvl w:val="0"/>
                <w:numId w:val="2"/>
              </w:numPr>
              <w:spacing w:after="40" w:line="240"/>
            </w:pPr>
            <w:r>
              <w:rPr>
                <w:rFonts w:ascii="Arial" w:cs="Arial" w:eastAsia="Arial" w:hAnsi="Arial"/>
                <w:b/>
                <w:bCs/>
                <w:color w:val="15243D"/>
                <w:sz w:val="18"/>
                <w:szCs w:val="18"/>
              </w:rPr>
              <w:t xml:space="preserve">SDVOSB. </w:t>
            </w:r>
            <w:r>
              <w:rPr>
                <w:rFonts w:ascii="Arial" w:cs="Arial" w:eastAsia="Arial" w:hAnsi="Arial"/>
                <w:color w:val="2C3A50"/>
                <w:sz w:val="18"/>
                <w:szCs w:val="18"/>
              </w:rPr>
              <w:t xml:space="preserve">Eligible for set-aside and sole-source awards. Prime or subcontractor.</w:t>
            </w:r>
          </w:p>
          <w:p>
            <w:pPr>
              <w:pBdr>
                <w:bottom w:val="single" w:color="176FB3" w:sz="6" w:space="2"/>
              </w:pBdr>
              <w:spacing w:before="160" w:after="80"/>
            </w:pPr>
            <w:r>
              <w:rPr>
                <w:rFonts w:ascii="Arial" w:cs="Arial" w:eastAsia="Arial" w:hAnsi="Arial"/>
                <w:b/>
                <w:bCs/>
                <w:color w:val="172E53"/>
                <w:spacing w:val="20"/>
                <w:sz w:val="18"/>
                <w:szCs w:val="18"/>
              </w:rPr>
              <w:t xml:space="preserve">PAST PERFORMANCE</w:t>
            </w:r>
          </w:p>
          <w:p>
            <w:pPr>
              <w:spacing w:before="60" w:after="20"/>
            </w:pPr>
            <w:r>
              <w:rPr>
                <w:rFonts w:ascii="Arial" w:cs="Arial" w:eastAsia="Arial" w:hAnsi="Arial"/>
                <w:b/>
                <w:bCs/>
                <w:color w:val="15243D"/>
                <w:sz w:val="18"/>
                <w:szCs w:val="18"/>
              </w:rPr>
              <w:t xml:space="preserve">Hawaiʻi Department of Health</w:t>
            </w:r>
            <w:r>
              <w:rPr>
                <w:rFonts w:ascii="Arial" w:cs="Arial" w:eastAsia="Arial" w:hAnsi="Arial"/>
                <w:color w:val="5F6C80"/>
                <w:sz w:val="18"/>
                <w:szCs w:val="18"/>
              </w:rPr>
              <w:t xml:space="preserve">  ·  COVID-19 vaccine reporting pipeline</w:t>
            </w:r>
          </w:p>
          <w:p>
            <w:pPr>
              <w:spacing w:after="20" w:line="240"/>
            </w:pPr>
            <w:r>
              <w:rPr>
                <w:rFonts w:ascii="Arial" w:cs="Arial" w:eastAsia="Arial" w:hAnsi="Arial"/>
                <w:color w:val="2C3A50"/>
                <w:sz w:val="18"/>
                <w:szCs w:val="18"/>
              </w:rPr>
              <w:t xml:space="preserve">Built the pipeline that turned CDC VAMS records into the daily vaccination reports CDC required before releasing more vaccine to Hawaiʻi in late 2020. Six months with DOH, the State Epidemiologist and CDC, as subcontractor to Hawaiʻi Data Collaborative.</w:t>
            </w:r>
          </w:p>
          <w:p>
            <w:pPr>
              <w:spacing w:after="80"/>
            </w:pPr>
            <w:r>
              <w:rPr>
                <w:rFonts w:ascii="Arial" w:cs="Arial" w:eastAsia="Arial" w:hAnsi="Arial"/>
                <w:color w:val="5F6C80"/>
                <w:sz w:val="15"/>
                <w:szCs w:val="15"/>
              </w:rPr>
              <w:t xml:space="preserve">Reference: Hawaiʻi Data Collaborative; contact details on request</w:t>
            </w:r>
          </w:p>
          <w:p>
            <w:pPr>
              <w:spacing w:before="60" w:after="20"/>
            </w:pPr>
            <w:r>
              <w:rPr>
                <w:rFonts w:ascii="Arial" w:cs="Arial" w:eastAsia="Arial" w:hAnsi="Arial"/>
                <w:b/>
                <w:bCs/>
                <w:color w:val="15243D"/>
                <w:sz w:val="18"/>
                <w:szCs w:val="18"/>
              </w:rPr>
              <w:t xml:space="preserve">Hawaiʻi Commission on Water Resource Management</w:t>
            </w:r>
            <w:r>
              <w:rPr>
                <w:rFonts w:ascii="Arial" w:cs="Arial" w:eastAsia="Arial" w:hAnsi="Arial"/>
                <w:color w:val="5F6C80"/>
                <w:sz w:val="18"/>
                <w:szCs w:val="18"/>
              </w:rPr>
              <w:t xml:space="preserve">  ·  GIS software</w:t>
            </w:r>
          </w:p>
          <w:p>
            <w:pPr>
              <w:spacing w:after="20" w:line="240"/>
            </w:pPr>
            <w:r>
              <w:rPr>
                <w:rFonts w:ascii="Arial" w:cs="Arial" w:eastAsia="Arial" w:hAnsi="Arial"/>
                <w:color w:val="2C3A50"/>
                <w:sz w:val="18"/>
                <w:szCs w:val="18"/>
              </w:rPr>
              <w:t xml:space="preserve">Custom geographic information system software for the State of Hawaiʻi agency, under the Department of Land and Natural Resources, that regulates the state’s water resources.</w:t>
            </w:r>
          </w:p>
          <w:p>
            <w:pPr>
              <w:spacing w:after="80"/>
            </w:pPr>
            <w:r>
              <w:rPr>
                <w:rFonts w:ascii="Arial" w:cs="Arial" w:eastAsia="Arial" w:hAnsi="Arial"/>
                <w:color w:val="5F6C80"/>
                <w:sz w:val="15"/>
                <w:szCs w:val="15"/>
              </w:rPr>
              <w:t xml:space="preserve">Reference: Roy Hardy, roy.hardy@hawaii.gov</w:t>
            </w:r>
          </w:p>
          <w:p>
            <w:pPr>
              <w:spacing w:before="60" w:after="20"/>
            </w:pPr>
            <w:r>
              <w:rPr>
                <w:rFonts w:ascii="Arial" w:cs="Arial" w:eastAsia="Arial" w:hAnsi="Arial"/>
                <w:b/>
                <w:bCs/>
                <w:color w:val="15243D"/>
                <w:sz w:val="18"/>
                <w:szCs w:val="18"/>
              </w:rPr>
              <w:t xml:space="preserve">Shine Rite</w:t>
            </w:r>
            <w:r>
              <w:rPr>
                <w:rFonts w:ascii="Arial" w:cs="Arial" w:eastAsia="Arial" w:hAnsi="Arial"/>
                <w:color w:val="5F6C80"/>
                <w:sz w:val="18"/>
                <w:szCs w:val="18"/>
              </w:rPr>
              <w:t xml:space="preserve">  ·  On-demand mobile car-wash marketplace</w:t>
            </w:r>
          </w:p>
          <w:p>
            <w:pPr>
              <w:spacing w:after="20" w:line="240"/>
            </w:pPr>
            <w:r>
              <w:rPr>
                <w:rFonts w:ascii="Arial" w:cs="Arial" w:eastAsia="Arial" w:hAnsi="Arial"/>
                <w:color w:val="2C3A50"/>
                <w:sz w:val="18"/>
                <w:szCs w:val="18"/>
              </w:rPr>
              <w:t xml:space="preserve">Customer and provider mobile apps with scheduling, dispatch and payments. Launched and ran in production in Texas for several years.</w:t>
            </w:r>
          </w:p>
          <w:p>
            <w:pPr>
              <w:spacing w:after="80"/>
            </w:pPr>
            <w:r>
              <w:rPr>
                <w:rFonts w:ascii="Arial" w:cs="Arial" w:eastAsia="Arial" w:hAnsi="Arial"/>
                <w:color w:val="5F6C80"/>
                <w:sz w:val="15"/>
                <w:szCs w:val="15"/>
              </w:rPr>
              <w:t xml:space="preserve">Reference: Trevor Williams, trevorwilliamsatx@gmail.com</w:t>
            </w:r>
          </w:p>
        </w:tc>
        <w:tc>
          <w:tcPr>
            <w:tcW w:type="dxa" w:w="3600"/>
            <w:tcBorders>
              <w:top w:val="none" w:color="FFFFFF" w:sz="0"/>
              <w:left w:val="none" w:color="FFFFFF" w:sz="0"/>
              <w:bottom w:val="none" w:color="FFFFFF" w:sz="0"/>
              <w:right w:val="none" w:color="FFFFFF" w:sz="0"/>
            </w:tcBorders>
            <w:shd w:fill="F7F5F0" w:color="auto" w:val="clear"/>
            <w:tcMar>
              <w:top w:type="dxa" w:w="80"/>
              <w:left w:type="dxa" w:w="260"/>
              <w:bottom w:type="dxa" w:w="200"/>
              <w:right w:type="dxa" w:w="260"/>
            </w:tcMar>
          </w:tcPr>
          <w:p>
            <w:pPr>
              <w:spacing w:before="180" w:after="60"/>
            </w:pPr>
            <w:r>
              <w:rPr>
                <w:rFonts w:ascii="Arial" w:cs="Arial" w:eastAsia="Arial" w:hAnsi="Arial"/>
                <w:b/>
                <w:bCs/>
                <w:color w:val="176FB3"/>
                <w:spacing w:val="20"/>
                <w:sz w:val="15"/>
                <w:szCs w:val="15"/>
              </w:rPr>
              <w:t xml:space="preserve">COMPANY DATA</w:t>
            </w:r>
          </w:p>
          <w:p>
            <w:pPr>
              <w:spacing w:after="40" w:line="252"/>
            </w:pPr>
            <w:r>
              <w:rPr>
                <w:rFonts w:ascii="Arial" w:cs="Arial" w:eastAsia="Arial" w:hAnsi="Arial"/>
                <w:color w:val="5F6C80"/>
                <w:sz w:val="16"/>
                <w:szCs w:val="16"/>
              </w:rPr>
              <w:t xml:space="preserve">UEI</w:t>
            </w:r>
            <w:r>
              <w:rPr>
                <w:rFonts w:ascii="Arial" w:cs="Arial" w:eastAsia="Arial" w:hAnsi="Arial"/>
                <w:sz w:val="16"/>
                <w:szCs w:val="16"/>
              </w:rPr>
              <w:t xml:space="preserve">  </w:t>
            </w:r>
            <w:r>
              <w:rPr>
                <w:rFonts w:ascii="Arial" w:cs="Arial" w:eastAsia="Arial" w:hAnsi="Arial"/>
                <w:b/>
                <w:bCs/>
                <w:color w:val="15243D"/>
                <w:sz w:val="17"/>
                <w:szCs w:val="17"/>
              </w:rPr>
              <w:t xml:space="preserve">LVJ7FKGSFLF4</w:t>
            </w:r>
          </w:p>
          <w:p>
            <w:pPr>
              <w:spacing w:after="40" w:line="252"/>
            </w:pPr>
            <w:r>
              <w:rPr>
                <w:rFonts w:ascii="Arial" w:cs="Arial" w:eastAsia="Arial" w:hAnsi="Arial"/>
                <w:color w:val="5F6C80"/>
                <w:sz w:val="16"/>
                <w:szCs w:val="16"/>
              </w:rPr>
              <w:t xml:space="preserve">CAGE</w:t>
            </w:r>
            <w:r>
              <w:rPr>
                <w:rFonts w:ascii="Arial" w:cs="Arial" w:eastAsia="Arial" w:hAnsi="Arial"/>
                <w:sz w:val="16"/>
                <w:szCs w:val="16"/>
              </w:rPr>
              <w:t xml:space="preserve">  </w:t>
            </w:r>
            <w:r>
              <w:rPr>
                <w:rFonts w:ascii="Arial" w:cs="Arial" w:eastAsia="Arial" w:hAnsi="Arial"/>
                <w:b/>
                <w:bCs/>
                <w:color w:val="15243D"/>
                <w:sz w:val="17"/>
                <w:szCs w:val="17"/>
              </w:rPr>
              <w:t xml:space="preserve">84XP7</w:t>
            </w:r>
          </w:p>
          <w:p>
            <w:pPr>
              <w:spacing w:after="40" w:line="252"/>
            </w:pPr>
            <w:r>
              <w:rPr>
                <w:rFonts w:ascii="Arial" w:cs="Arial" w:eastAsia="Arial" w:hAnsi="Arial"/>
                <w:color w:val="5F6C80"/>
                <w:sz w:val="16"/>
                <w:szCs w:val="16"/>
              </w:rPr>
              <w:t xml:space="preserve">SAM.gov</w:t>
            </w:r>
            <w:r>
              <w:rPr>
                <w:rFonts w:ascii="Arial" w:cs="Arial" w:eastAsia="Arial" w:hAnsi="Arial"/>
                <w:sz w:val="16"/>
                <w:szCs w:val="16"/>
              </w:rPr>
              <w:t xml:space="preserve">  </w:t>
            </w:r>
            <w:r>
              <w:rPr>
                <w:rFonts w:ascii="Arial" w:cs="Arial" w:eastAsia="Arial" w:hAnsi="Arial"/>
                <w:b/>
                <w:bCs/>
                <w:color w:val="15243D"/>
                <w:sz w:val="17"/>
                <w:szCs w:val="17"/>
              </w:rPr>
              <w:t xml:space="preserve">Active</w:t>
            </w:r>
          </w:p>
          <w:p>
            <w:pPr>
              <w:spacing w:after="40" w:line="252"/>
            </w:pPr>
            <w:r>
              <w:rPr>
                <w:rFonts w:ascii="Arial" w:cs="Arial" w:eastAsia="Arial" w:hAnsi="Arial"/>
                <w:color w:val="5F6C80"/>
                <w:sz w:val="16"/>
                <w:szCs w:val="16"/>
              </w:rPr>
              <w:t xml:space="preserve">Status</w:t>
            </w:r>
            <w:r>
              <w:rPr>
                <w:rFonts w:ascii="Arial" w:cs="Arial" w:eastAsia="Arial" w:hAnsi="Arial"/>
                <w:sz w:val="16"/>
                <w:szCs w:val="16"/>
              </w:rPr>
              <w:t xml:space="preserve">  </w:t>
            </w:r>
            <w:r>
              <w:rPr>
                <w:rFonts w:ascii="Arial" w:cs="Arial" w:eastAsia="Arial" w:hAnsi="Arial"/>
                <w:b/>
                <w:bCs/>
                <w:color w:val="15243D"/>
                <w:sz w:val="17"/>
                <w:szCs w:val="17"/>
              </w:rPr>
              <w:t xml:space="preserve">SDVOSB, SBA certified</w:t>
            </w:r>
          </w:p>
          <w:p>
            <w:pPr>
              <w:spacing w:after="40" w:line="252"/>
            </w:pPr>
            <w:r>
              <w:rPr>
                <w:rFonts w:ascii="Arial" w:cs="Arial" w:eastAsia="Arial" w:hAnsi="Arial"/>
                <w:color w:val="5F6C80"/>
                <w:sz w:val="16"/>
                <w:szCs w:val="16"/>
              </w:rPr>
              <w:t xml:space="preserve">Size</w:t>
            </w:r>
            <w:r>
              <w:rPr>
                <w:rFonts w:ascii="Arial" w:cs="Arial" w:eastAsia="Arial" w:hAnsi="Arial"/>
                <w:sz w:val="16"/>
                <w:szCs w:val="16"/>
              </w:rPr>
              <w:t xml:space="preserve">  </w:t>
            </w:r>
            <w:r>
              <w:rPr>
                <w:rFonts w:ascii="Arial" w:cs="Arial" w:eastAsia="Arial" w:hAnsi="Arial"/>
                <w:b/>
                <w:bCs/>
                <w:color w:val="15243D"/>
                <w:sz w:val="17"/>
                <w:szCs w:val="17"/>
              </w:rPr>
              <w:t xml:space="preserve">Small business, all listed NAICS</w:t>
            </w:r>
          </w:p>
          <w:p>
            <w:pPr>
              <w:spacing w:after="40" w:line="252"/>
            </w:pPr>
            <w:r>
              <w:rPr>
                <w:rFonts w:ascii="Arial" w:cs="Arial" w:eastAsia="Arial" w:hAnsi="Arial"/>
                <w:color w:val="5F6C80"/>
                <w:sz w:val="16"/>
                <w:szCs w:val="16"/>
              </w:rPr>
              <w:t xml:space="preserve">Role</w:t>
            </w:r>
            <w:r>
              <w:rPr>
                <w:rFonts w:ascii="Arial" w:cs="Arial" w:eastAsia="Arial" w:hAnsi="Arial"/>
                <w:sz w:val="16"/>
                <w:szCs w:val="16"/>
              </w:rPr>
              <w:t xml:space="preserve">  </w:t>
            </w:r>
            <w:r>
              <w:rPr>
                <w:rFonts w:ascii="Arial" w:cs="Arial" w:eastAsia="Arial" w:hAnsi="Arial"/>
                <w:b/>
                <w:bCs/>
                <w:color w:val="15243D"/>
                <w:sz w:val="17"/>
                <w:szCs w:val="17"/>
              </w:rPr>
              <w:t xml:space="preserve">Prime and subcontractor</w:t>
            </w:r>
          </w:p>
          <w:p>
            <w:pPr>
              <w:spacing w:after="40" w:line="252"/>
            </w:pPr>
            <w:r>
              <w:rPr>
                <w:rFonts w:ascii="Arial" w:cs="Arial" w:eastAsia="Arial" w:hAnsi="Arial"/>
                <w:color w:val="5F6C80"/>
                <w:sz w:val="16"/>
                <w:szCs w:val="16"/>
              </w:rPr>
              <w:t xml:space="preserve">Contracts</w:t>
            </w:r>
            <w:r>
              <w:rPr>
                <w:rFonts w:ascii="Arial" w:cs="Arial" w:eastAsia="Arial" w:hAnsi="Arial"/>
                <w:sz w:val="16"/>
                <w:szCs w:val="16"/>
              </w:rPr>
              <w:t xml:space="preserve">  </w:t>
            </w:r>
            <w:r>
              <w:rPr>
                <w:rFonts w:ascii="Arial" w:cs="Arial" w:eastAsia="Arial" w:hAnsi="Arial"/>
                <w:b/>
                <w:bCs/>
                <w:color w:val="15243D"/>
                <w:sz w:val="17"/>
                <w:szCs w:val="17"/>
              </w:rPr>
              <w:t xml:space="preserve">Firm-fixed-price, T&amp;M</w:t>
            </w:r>
          </w:p>
          <w:p>
            <w:pPr>
              <w:spacing w:after="40" w:line="252"/>
            </w:pPr>
            <w:r>
              <w:rPr>
                <w:rFonts w:ascii="Arial" w:cs="Arial" w:eastAsia="Arial" w:hAnsi="Arial"/>
                <w:color w:val="5F6C80"/>
                <w:sz w:val="16"/>
                <w:szCs w:val="16"/>
              </w:rPr>
              <w:t xml:space="preserve">Founded</w:t>
            </w:r>
            <w:r>
              <w:rPr>
                <w:rFonts w:ascii="Arial" w:cs="Arial" w:eastAsia="Arial" w:hAnsi="Arial"/>
                <w:sz w:val="16"/>
                <w:szCs w:val="16"/>
              </w:rPr>
              <w:t xml:space="preserve">  </w:t>
            </w:r>
            <w:r>
              <w:rPr>
                <w:rFonts w:ascii="Arial" w:cs="Arial" w:eastAsia="Arial" w:hAnsi="Arial"/>
                <w:b/>
                <w:bCs/>
                <w:color w:val="15243D"/>
                <w:sz w:val="17"/>
                <w:szCs w:val="17"/>
              </w:rPr>
              <w:t xml:space="preserve">2018</w:t>
            </w:r>
          </w:p>
          <w:p>
            <w:pPr>
              <w:spacing w:before="180" w:after="60"/>
            </w:pPr>
            <w:r>
              <w:rPr>
                <w:rFonts w:ascii="Arial" w:cs="Arial" w:eastAsia="Arial" w:hAnsi="Arial"/>
                <w:b/>
                <w:bCs/>
                <w:color w:val="176FB3"/>
                <w:spacing w:val="20"/>
                <w:sz w:val="15"/>
                <w:szCs w:val="15"/>
              </w:rPr>
              <w:t xml:space="preserve">NAICS CODES</w:t>
            </w:r>
          </w:p>
          <w:p>
            <w:pPr>
              <w:spacing w:after="40" w:line="252"/>
            </w:pPr>
            <w:r>
              <w:rPr>
                <w:rFonts w:ascii="Arial" w:cs="Arial" w:eastAsia="Arial" w:hAnsi="Arial"/>
                <w:color w:val="5F6C80"/>
                <w:sz w:val="16"/>
                <w:szCs w:val="16"/>
              </w:rPr>
              <w:t xml:space="preserve">541511</w:t>
            </w:r>
            <w:r>
              <w:rPr>
                <w:rFonts w:ascii="Arial" w:cs="Arial" w:eastAsia="Arial" w:hAnsi="Arial"/>
                <w:sz w:val="16"/>
                <w:szCs w:val="16"/>
              </w:rPr>
              <w:t xml:space="preserve">  </w:t>
            </w:r>
            <w:r>
              <w:rPr>
                <w:rFonts w:ascii="Arial" w:cs="Arial" w:eastAsia="Arial" w:hAnsi="Arial"/>
                <w:color w:val="15243D"/>
                <w:sz w:val="16"/>
                <w:szCs w:val="16"/>
              </w:rPr>
              <w:t xml:space="preserve">Custom programming  </w:t>
            </w:r>
            <w:r>
              <w:rPr>
                <w:rFonts w:ascii="Arial" w:cs="Arial" w:eastAsia="Arial" w:hAnsi="Arial"/>
                <w:b/>
                <w:bCs/>
                <w:color w:val="2E9E4B"/>
                <w:sz w:val="12"/>
                <w:szCs w:val="12"/>
              </w:rPr>
              <w:t xml:space="preserve">PRIMARY</w:t>
            </w:r>
          </w:p>
          <w:p>
            <w:pPr>
              <w:spacing w:after="40" w:line="252"/>
            </w:pPr>
            <w:r>
              <w:rPr>
                <w:rFonts w:ascii="Arial" w:cs="Arial" w:eastAsia="Arial" w:hAnsi="Arial"/>
                <w:color w:val="5F6C80"/>
                <w:sz w:val="16"/>
                <w:szCs w:val="16"/>
              </w:rPr>
              <w:t xml:space="preserve">541512</w:t>
            </w:r>
            <w:r>
              <w:rPr>
                <w:rFonts w:ascii="Arial" w:cs="Arial" w:eastAsia="Arial" w:hAnsi="Arial"/>
                <w:sz w:val="16"/>
                <w:szCs w:val="16"/>
              </w:rPr>
              <w:t xml:space="preserve">  </w:t>
            </w:r>
            <w:r>
              <w:rPr>
                <w:rFonts w:ascii="Arial" w:cs="Arial" w:eastAsia="Arial" w:hAnsi="Arial"/>
                <w:color w:val="15243D"/>
                <w:sz w:val="16"/>
                <w:szCs w:val="16"/>
              </w:rPr>
              <w:t xml:space="preserve">Computer systems design</w:t>
            </w:r>
          </w:p>
          <w:p>
            <w:pPr>
              <w:spacing w:after="40" w:line="252"/>
            </w:pPr>
            <w:r>
              <w:rPr>
                <w:rFonts w:ascii="Arial" w:cs="Arial" w:eastAsia="Arial" w:hAnsi="Arial"/>
                <w:color w:val="5F6C80"/>
                <w:sz w:val="16"/>
                <w:szCs w:val="16"/>
              </w:rPr>
              <w:t xml:space="preserve">541519</w:t>
            </w:r>
            <w:r>
              <w:rPr>
                <w:rFonts w:ascii="Arial" w:cs="Arial" w:eastAsia="Arial" w:hAnsi="Arial"/>
                <w:sz w:val="16"/>
                <w:szCs w:val="16"/>
              </w:rPr>
              <w:t xml:space="preserve">  </w:t>
            </w:r>
            <w:r>
              <w:rPr>
                <w:rFonts w:ascii="Arial" w:cs="Arial" w:eastAsia="Arial" w:hAnsi="Arial"/>
                <w:color w:val="15243D"/>
                <w:sz w:val="16"/>
                <w:szCs w:val="16"/>
              </w:rPr>
              <w:t xml:space="preserve">Other computer related services</w:t>
            </w:r>
          </w:p>
          <w:p>
            <w:pPr>
              <w:spacing w:after="40" w:line="252"/>
            </w:pPr>
            <w:r>
              <w:rPr>
                <w:rFonts w:ascii="Arial" w:cs="Arial" w:eastAsia="Arial" w:hAnsi="Arial"/>
                <w:color w:val="5F6C80"/>
                <w:sz w:val="16"/>
                <w:szCs w:val="16"/>
              </w:rPr>
              <w:t xml:space="preserve">518210</w:t>
            </w:r>
            <w:r>
              <w:rPr>
                <w:rFonts w:ascii="Arial" w:cs="Arial" w:eastAsia="Arial" w:hAnsi="Arial"/>
                <w:sz w:val="16"/>
                <w:szCs w:val="16"/>
              </w:rPr>
              <w:t xml:space="preserve">  </w:t>
            </w:r>
            <w:r>
              <w:rPr>
                <w:rFonts w:ascii="Arial" w:cs="Arial" w:eastAsia="Arial" w:hAnsi="Arial"/>
                <w:color w:val="15243D"/>
                <w:sz w:val="16"/>
                <w:szCs w:val="16"/>
              </w:rPr>
              <w:t xml:space="preserve">Computing infrastructure, hosting</w:t>
            </w:r>
          </w:p>
          <w:p>
            <w:pPr>
              <w:spacing w:after="40" w:line="252"/>
            </w:pPr>
            <w:r>
              <w:rPr>
                <w:rFonts w:ascii="Arial" w:cs="Arial" w:eastAsia="Arial" w:hAnsi="Arial"/>
                <w:color w:val="5F6C80"/>
                <w:sz w:val="16"/>
                <w:szCs w:val="16"/>
              </w:rPr>
              <w:t xml:space="preserve">541611</w:t>
            </w:r>
            <w:r>
              <w:rPr>
                <w:rFonts w:ascii="Arial" w:cs="Arial" w:eastAsia="Arial" w:hAnsi="Arial"/>
                <w:sz w:val="16"/>
                <w:szCs w:val="16"/>
              </w:rPr>
              <w:t xml:space="preserve">  </w:t>
            </w:r>
            <w:r>
              <w:rPr>
                <w:rFonts w:ascii="Arial" w:cs="Arial" w:eastAsia="Arial" w:hAnsi="Arial"/>
                <w:color w:val="15243D"/>
                <w:sz w:val="16"/>
                <w:szCs w:val="16"/>
              </w:rPr>
              <w:t xml:space="preserve">Management consulting</w:t>
            </w:r>
          </w:p>
          <w:p>
            <w:pPr>
              <w:spacing w:after="40" w:line="252"/>
            </w:pPr>
            <w:r>
              <w:rPr>
                <w:rFonts w:ascii="Arial" w:cs="Arial" w:eastAsia="Arial" w:hAnsi="Arial"/>
                <w:color w:val="5F6C80"/>
                <w:sz w:val="16"/>
                <w:szCs w:val="16"/>
              </w:rPr>
              <w:t xml:space="preserve">541690</w:t>
            </w:r>
            <w:r>
              <w:rPr>
                <w:rFonts w:ascii="Arial" w:cs="Arial" w:eastAsia="Arial" w:hAnsi="Arial"/>
                <w:sz w:val="16"/>
                <w:szCs w:val="16"/>
              </w:rPr>
              <w:t xml:space="preserve">  </w:t>
            </w:r>
            <w:r>
              <w:rPr>
                <w:rFonts w:ascii="Arial" w:cs="Arial" w:eastAsia="Arial" w:hAnsi="Arial"/>
                <w:color w:val="15243D"/>
                <w:sz w:val="16"/>
                <w:szCs w:val="16"/>
              </w:rPr>
              <w:t xml:space="preserve">Technical consulting</w:t>
            </w:r>
          </w:p>
          <w:p>
            <w:pPr>
              <w:spacing w:before="180" w:after="60"/>
            </w:pPr>
            <w:r>
              <w:rPr>
                <w:rFonts w:ascii="Arial" w:cs="Arial" w:eastAsia="Arial" w:hAnsi="Arial"/>
                <w:b/>
                <w:bCs/>
                <w:color w:val="176FB3"/>
                <w:spacing w:val="20"/>
                <w:sz w:val="15"/>
                <w:szCs w:val="15"/>
              </w:rPr>
              <w:t xml:space="preserve">PRODUCT AND SERVICE CODES</w:t>
            </w:r>
          </w:p>
          <w:p>
            <w:pPr>
              <w:spacing w:after="30" w:line="252"/>
            </w:pPr>
            <w:r>
              <w:rPr>
                <w:rFonts w:ascii="Arial" w:cs="Arial" w:eastAsia="Arial" w:hAnsi="Arial"/>
                <w:color w:val="2C3A50"/>
                <w:sz w:val="16"/>
                <w:szCs w:val="16"/>
              </w:rPr>
              <w:t xml:space="preserve">DA01  Application development support</w:t>
            </w:r>
          </w:p>
          <w:p>
            <w:pPr>
              <w:spacing w:after="30" w:line="252"/>
            </w:pPr>
            <w:r>
              <w:rPr>
                <w:rFonts w:ascii="Arial" w:cs="Arial" w:eastAsia="Arial" w:hAnsi="Arial"/>
                <w:color w:val="2C3A50"/>
                <w:sz w:val="16"/>
                <w:szCs w:val="16"/>
              </w:rPr>
              <w:t xml:space="preserve">DF01  IT management support</w:t>
            </w:r>
          </w:p>
          <w:p>
            <w:pPr>
              <w:spacing w:after="30" w:line="252"/>
            </w:pPr>
            <w:r>
              <w:rPr>
                <w:rFonts w:ascii="Arial" w:cs="Arial" w:eastAsia="Arial" w:hAnsi="Arial"/>
                <w:color w:val="2C3A50"/>
                <w:sz w:val="16"/>
                <w:szCs w:val="16"/>
              </w:rPr>
              <w:t xml:space="preserve">DH01  Platform support</w:t>
            </w:r>
          </w:p>
          <w:p>
            <w:pPr>
              <w:spacing w:after="30" w:line="252"/>
            </w:pPr>
            <w:r>
              <w:rPr>
                <w:rFonts w:ascii="Arial" w:cs="Arial" w:eastAsia="Arial" w:hAnsi="Arial"/>
                <w:color w:val="2C3A50"/>
                <w:sz w:val="16"/>
                <w:szCs w:val="16"/>
              </w:rPr>
              <w:t xml:space="preserve">DE02  Mobile device support</w:t>
            </w:r>
          </w:p>
          <w:p>
            <w:pPr>
              <w:spacing w:after="30" w:line="252"/>
            </w:pPr>
            <w:r>
              <w:rPr>
                <w:rFonts w:ascii="Arial" w:cs="Arial" w:eastAsia="Arial" w:hAnsi="Arial"/>
                <w:color w:val="2C3A50"/>
                <w:sz w:val="16"/>
                <w:szCs w:val="16"/>
              </w:rPr>
              <w:t xml:space="preserve">B506  Studies and analysis: data</w:t>
            </w:r>
          </w:p>
          <w:p>
            <w:pPr>
              <w:spacing w:after="30" w:line="252"/>
            </w:pPr>
            <w:r>
              <w:rPr>
                <w:rFonts w:ascii="Arial" w:cs="Arial" w:eastAsia="Arial" w:hAnsi="Arial"/>
                <w:color w:val="2C3A50"/>
                <w:sz w:val="16"/>
                <w:szCs w:val="16"/>
              </w:rPr>
              <w:t xml:space="preserve">B544  Studies and analysis: technology</w:t>
            </w:r>
          </w:p>
          <w:p>
            <w:pPr>
              <w:spacing w:before="180" w:after="60"/>
            </w:pPr>
            <w:r>
              <w:rPr>
                <w:rFonts w:ascii="Arial" w:cs="Arial" w:eastAsia="Arial" w:hAnsi="Arial"/>
                <w:b/>
                <w:bCs/>
                <w:color w:val="176FB3"/>
                <w:spacing w:val="20"/>
                <w:sz w:val="15"/>
                <w:szCs w:val="15"/>
              </w:rPr>
              <w:t xml:space="preserve">CONTACT</w:t>
            </w:r>
          </w:p>
          <w:p>
            <w:pPr>
              <w:spacing w:after="30"/>
            </w:pPr>
            <w:r>
              <w:rPr>
                <w:rFonts w:ascii="Arial" w:cs="Arial" w:eastAsia="Arial" w:hAnsi="Arial"/>
                <w:b/>
                <w:bCs/>
                <w:color w:val="15243D"/>
                <w:sz w:val="17"/>
                <w:szCs w:val="17"/>
              </w:rPr>
              <w:t xml:space="preserve">Kyle Mulleady, Founder</w:t>
            </w:r>
          </w:p>
          <w:p>
            <w:pPr>
              <w:spacing w:after="30" w:line="252"/>
            </w:pPr>
            <w:r>
              <w:rPr>
                <w:rFonts w:ascii="Arial" w:cs="Arial" w:eastAsia="Arial" w:hAnsi="Arial"/>
                <w:color w:val="2C3A50"/>
                <w:sz w:val="16"/>
                <w:szCs w:val="16"/>
              </w:rPr>
              <w:t xml:space="preserve">(808) 298-8419</w:t>
            </w:r>
          </w:p>
          <w:p>
            <w:pPr>
              <w:spacing w:after="30" w:line="252"/>
            </w:pPr>
            <w:r>
              <w:rPr>
                <w:rFonts w:ascii="Arial" w:cs="Arial" w:eastAsia="Arial" w:hAnsi="Arial"/>
                <w:color w:val="2C3A50"/>
                <w:sz w:val="16"/>
                <w:szCs w:val="16"/>
              </w:rPr>
              <w:t xml:space="preserve">kyle@windwardapps.com</w:t>
            </w:r>
          </w:p>
          <w:p>
            <w:pPr>
              <w:spacing w:after="30" w:line="252"/>
            </w:pPr>
            <w:r>
              <w:rPr>
                <w:rFonts w:ascii="Arial" w:cs="Arial" w:eastAsia="Arial" w:hAnsi="Arial"/>
                <w:color w:val="2C3A50"/>
                <w:sz w:val="16"/>
                <w:szCs w:val="16"/>
              </w:rPr>
              <w:t xml:space="preserve">windwardapps.com</w:t>
            </w:r>
          </w:p>
          <w:p>
            <w:pPr>
              <w:spacing w:before="60" w:after="0"/>
            </w:pPr>
            <w:r>
              <w:rPr>
                <w:rFonts w:ascii="Arial" w:cs="Arial" w:eastAsia="Arial" w:hAnsi="Arial"/>
                <w:color w:val="2C3A50"/>
                <w:sz w:val="16"/>
                <w:szCs w:val="16"/>
              </w:rPr>
              <w:t xml:space="preserve">Windward Apps</w:t>
            </w:r>
          </w:p>
          <w:p>
            <w:pPr>
              <w:spacing w:after="30" w:line="252"/>
            </w:pPr>
            <w:r>
              <w:rPr>
                <w:rFonts w:ascii="Arial" w:cs="Arial" w:eastAsia="Arial" w:hAnsi="Arial"/>
                <w:color w:val="2C3A50"/>
                <w:sz w:val="16"/>
                <w:szCs w:val="16"/>
              </w:rPr>
              <w:t xml:space="preserve">74 Kihapai St</w:t>
            </w:r>
          </w:p>
          <w:p>
            <w:pPr>
              <w:spacing w:after="30" w:line="252"/>
            </w:pPr>
            <w:r>
              <w:rPr>
                <w:rFonts w:ascii="Arial" w:cs="Arial" w:eastAsia="Arial" w:hAnsi="Arial"/>
                <w:color w:val="2C3A50"/>
                <w:sz w:val="16"/>
                <w:szCs w:val="16"/>
              </w:rPr>
              <w:t xml:space="preserve">Kailua, HI 96734</w:t>
            </w:r>
          </w:p>
        </w:tc>
      </w:tr>
    </w:tbl>
    <w:sectPr>
      <w:footerReference w:type="default" r:id="rId6"/>
      <w:pgSz w:w="12240" w:h="15840" w:orient="portrait"/>
      <w:pgMar w:top="720" w:right="1008" w:bottom="620" w:left="1008"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E8EF" w:sz="4" w:space="4"/>
      </w:pBdr>
      <w:jc w:val="center"/>
    </w:pPr>
    <w:r>
      <w:rPr>
        <w:rFonts w:ascii="Arial" w:cs="Arial" w:eastAsia="Arial" w:hAnsi="Arial"/>
        <w:color w:val="5F6C80"/>
        <w:sz w:val="14"/>
        <w:szCs w:val="14"/>
      </w:rPr>
      <w:t xml:space="preserve">Windward Apps  ·  Service-disabled veteran-owned small business  ·  UEI LVJ7FKGSFLF4  ·  CAGE 84XP7  ·  windwardapps.com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40" w:hanging="240"/>
      </w:pPr>
      <w:rPr>
        <w:color w:val="176FB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A5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61ba03d823ee18b220f81824e75f1323faf3959b.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2026-10-16T03:12:28.485Z</dcterms:created>
  <dcterms:modified xsi:type="dcterms:W3CDTF">2026-10-16T03:12:28.490Z</dcterms:modified>
</cp:coreProperties>
</file>

<file path=docProps/custom.xml><?xml version="1.0" encoding="utf-8"?>
<Properties xmlns="http://schemas.openxmlformats.org/officeDocument/2006/custom-properties" xmlns:vt="http://schemas.openxmlformats.org/officeDocument/2006/docPropsVTypes"/>
</file>