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BEE7B" w14:textId="77777777" w:rsidR="00483D6A" w:rsidRDefault="00483D6A" w:rsidP="00855982">
      <w:pPr>
        <w:pStyle w:val="Heading1"/>
        <w:rPr>
          <w:b w:val="0"/>
          <w:bCs w:val="0"/>
          <w:smallCaps w:val="0"/>
          <w:sz w:val="56"/>
          <w:szCs w:val="56"/>
        </w:rPr>
      </w:pPr>
      <w:r w:rsidRPr="00483D6A">
        <w:rPr>
          <w:b w:val="0"/>
          <w:bCs w:val="0"/>
          <w:smallCaps w:val="0"/>
          <w:sz w:val="56"/>
          <w:szCs w:val="56"/>
        </w:rPr>
        <w:t>Pollen Expression of HRGP Genes in Arabidopsis Thaliana</w:t>
      </w:r>
    </w:p>
    <w:p w14:paraId="1076E8DD" w14:textId="402D6C90" w:rsidR="00855982" w:rsidRPr="00855982" w:rsidRDefault="00483D6A" w:rsidP="00855982">
      <w:pPr>
        <w:pStyle w:val="Heading1"/>
      </w:pPr>
      <w:r>
        <w:t>Introduction</w:t>
      </w:r>
    </w:p>
    <w:p w14:paraId="46A5F69F" w14:textId="0E7C7E91" w:rsidR="00D154FE" w:rsidRPr="00D154FE" w:rsidRDefault="00D154FE" w:rsidP="00D154FE">
      <w:r w:rsidRPr="00D154FE">
        <w:t>Hydroxyproline-rich glycoprotein</w:t>
      </w:r>
      <w:r>
        <w:t xml:space="preserve"> or HRGP genes present in </w:t>
      </w:r>
      <w:r w:rsidRPr="00D154FE">
        <w:rPr>
          <w:i/>
        </w:rPr>
        <w:t>Arabidopsis Thaliana</w:t>
      </w:r>
      <w:r>
        <w:rPr>
          <w:i/>
        </w:rPr>
        <w:t xml:space="preserve"> </w:t>
      </w:r>
    </w:p>
    <w:p w14:paraId="6F1EBB32" w14:textId="478B50C2" w:rsidR="00D154FE" w:rsidRPr="00D154FE" w:rsidRDefault="00D154FE" w:rsidP="00D154FE">
      <w:r w:rsidRPr="00D154FE">
        <w:t xml:space="preserve">What cis-regulatory sequences control the pollen-specific expression of HRGP genes in </w:t>
      </w:r>
      <w:r w:rsidRPr="00D154FE">
        <w:rPr>
          <w:i/>
          <w:iCs/>
        </w:rPr>
        <w:t>Arabidopsis thaliana</w:t>
      </w:r>
      <w:r w:rsidRPr="00D154FE">
        <w:t>?</w:t>
      </w:r>
    </w:p>
    <w:p w14:paraId="17DE381A" w14:textId="55A3954E" w:rsidR="00855982" w:rsidRDefault="00855982" w:rsidP="00D154FE"/>
    <w:p w14:paraId="1724704A" w14:textId="14F940AB" w:rsidR="00483D6A" w:rsidRPr="00855982" w:rsidRDefault="00483D6A" w:rsidP="00483D6A">
      <w:pPr>
        <w:pStyle w:val="Heading1"/>
      </w:pPr>
      <w:r>
        <w:t>Methods</w:t>
      </w:r>
    </w:p>
    <w:p w14:paraId="32270B41" w14:textId="2CBA3C2B" w:rsidR="00C80BA6" w:rsidRDefault="00D154FE" w:rsidP="00C80BA6">
      <w:r>
        <w:t>We started with a set of all</w:t>
      </w:r>
      <w:r w:rsidR="00CE2CE6">
        <w:t xml:space="preserve"> (###)</w:t>
      </w:r>
      <w:r>
        <w:t xml:space="preserve"> </w:t>
      </w:r>
      <w:r w:rsidR="00CE2CE6">
        <w:t xml:space="preserve">known HRGP genes in </w:t>
      </w:r>
      <w:r w:rsidR="00CE2CE6" w:rsidRPr="00D154FE">
        <w:rPr>
          <w:i/>
        </w:rPr>
        <w:t>Arabidopsis Thaliana</w:t>
      </w:r>
      <w:r w:rsidR="00CE2CE6">
        <w:t>. We then split the set into categories; those that were only expressed in pollen tissue, and those that were expressed in non-pollen tissue. We then discarded any genes in both the pollen tissue and the non-pollen tissue</w:t>
      </w:r>
      <w:r w:rsidR="00C80BA6">
        <w:t xml:space="preserve"> as they would not contrast differences in the sets of genes.</w:t>
      </w:r>
      <w:r w:rsidR="007A2140">
        <w:t xml:space="preserve"> This left </w:t>
      </w:r>
      <w:r w:rsidR="00FD51ED">
        <w:t xml:space="preserve">145 genes in total, </w:t>
      </w:r>
      <w:r w:rsidR="007A2140">
        <w:t xml:space="preserve">13 </w:t>
      </w:r>
      <w:r w:rsidR="00FD51ED">
        <w:t>pollen specific genes and 132 non-pollen specific.</w:t>
      </w:r>
    </w:p>
    <w:p w14:paraId="658D44AF" w14:textId="32EB7EA5" w:rsidR="00483D6A" w:rsidRDefault="00C80BA6" w:rsidP="00C80BA6">
      <w:r>
        <w:t xml:space="preserve">Given the two sets of genes we collected the promoter regions from </w:t>
      </w:r>
      <w:commentRangeStart w:id="0"/>
      <w:r>
        <w:t>tair10</w:t>
      </w:r>
      <w:commentRangeEnd w:id="0"/>
      <w:r>
        <w:rPr>
          <w:rStyle w:val="CommentReference"/>
        </w:rPr>
        <w:commentReference w:id="0"/>
      </w:r>
      <w:r>
        <w:t xml:space="preserve">. Using these promoter </w:t>
      </w:r>
      <w:r w:rsidR="00065345">
        <w:t>regions,</w:t>
      </w:r>
      <w:r>
        <w:t xml:space="preserve"> we then ran </w:t>
      </w:r>
      <w:commentRangeStart w:id="1"/>
      <w:r>
        <w:t xml:space="preserve">a motif discover tool </w:t>
      </w:r>
      <w:commentRangeEnd w:id="1"/>
      <w:r w:rsidR="00065345">
        <w:rPr>
          <w:rStyle w:val="CommentReference"/>
        </w:rPr>
        <w:commentReference w:id="1"/>
      </w:r>
      <w:r>
        <w:t>to generate (</w:t>
      </w:r>
      <w:commentRangeStart w:id="2"/>
      <w:r>
        <w:t>3502</w:t>
      </w:r>
      <w:commentRangeEnd w:id="2"/>
      <w:r>
        <w:rPr>
          <w:rStyle w:val="CommentReference"/>
        </w:rPr>
        <w:commentReference w:id="2"/>
      </w:r>
      <w:r>
        <w:t xml:space="preserve">) </w:t>
      </w:r>
      <w:r w:rsidR="00065345">
        <w:t xml:space="preserve">potential </w:t>
      </w:r>
      <w:r>
        <w:t xml:space="preserve">motifs </w:t>
      </w:r>
      <w:r w:rsidR="00065345">
        <w:t xml:space="preserve">of length greater than </w:t>
      </w:r>
      <w:commentRangeStart w:id="3"/>
      <w:r w:rsidR="00065345">
        <w:t>18</w:t>
      </w:r>
      <w:commentRangeEnd w:id="3"/>
      <w:r w:rsidR="00065345">
        <w:rPr>
          <w:rStyle w:val="CommentReference"/>
        </w:rPr>
        <w:commentReference w:id="3"/>
      </w:r>
      <w:r w:rsidR="00065345">
        <w:t xml:space="preserve"> nucleotides.</w:t>
      </w:r>
    </w:p>
    <w:p w14:paraId="0F664986" w14:textId="1064FEDB" w:rsidR="00065345" w:rsidRDefault="00FD51ED" w:rsidP="00C80BA6">
      <w:r>
        <w:rPr>
          <w:noProof/>
        </w:rPr>
        <w:drawing>
          <wp:anchor distT="0" distB="0" distL="114300" distR="114300" simplePos="0" relativeHeight="251658240" behindDoc="0" locked="0" layoutInCell="1" allowOverlap="1" wp14:anchorId="5712D01C" wp14:editId="15B8DFE5">
            <wp:simplePos x="0" y="0"/>
            <wp:positionH relativeFrom="margin">
              <wp:align>center</wp:align>
            </wp:positionH>
            <wp:positionV relativeFrom="paragraph">
              <wp:posOffset>595630</wp:posOffset>
            </wp:positionV>
            <wp:extent cx="3649345" cy="2464435"/>
            <wp:effectExtent l="0" t="0" r="8255" b="0"/>
            <wp:wrapTopAndBottom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len vs. Non-pollen Motif Occuranc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Start w:id="4"/>
      <w:r w:rsidR="00065345">
        <w:t xml:space="preserve">We then used </w:t>
      </w:r>
      <w:commentRangeStart w:id="5"/>
      <w:r w:rsidR="00065345">
        <w:t>another tool</w:t>
      </w:r>
      <w:commentRangeEnd w:id="5"/>
      <w:r w:rsidR="00065345">
        <w:rPr>
          <w:rStyle w:val="CommentReference"/>
        </w:rPr>
        <w:commentReference w:id="5"/>
      </w:r>
      <w:r w:rsidR="00065345">
        <w:t xml:space="preserve"> to categorize if a motif was present in the promoter region of each gene.</w:t>
      </w:r>
      <w:commentRangeEnd w:id="4"/>
      <w:r w:rsidR="00065345">
        <w:rPr>
          <w:rStyle w:val="CommentReference"/>
        </w:rPr>
        <w:commentReference w:id="4"/>
      </w:r>
      <w:r w:rsidR="00065345">
        <w:t xml:space="preserve"> Using this information we created a plot of all motifs and the number of pollen specific genes vs all the non-pollen specific genes the motif was found in.</w:t>
      </w:r>
    </w:p>
    <w:p w14:paraId="0ED1C363" w14:textId="6D5C9329" w:rsidR="00FD51ED" w:rsidRDefault="00FD51ED" w:rsidP="00FD51ED"/>
    <w:p w14:paraId="09A74380" w14:textId="38A79752" w:rsidR="00FD51ED" w:rsidRDefault="00FD51ED" w:rsidP="00FD51ED"/>
    <w:p w14:paraId="3D4E33A2" w14:textId="415302E3" w:rsidR="00FD51ED" w:rsidRDefault="00FD51ED" w:rsidP="00FD51ED"/>
    <w:p w14:paraId="64D00A37" w14:textId="39F73484" w:rsidR="00FD51ED" w:rsidRDefault="00FD51ED" w:rsidP="00FD51ED"/>
    <w:p w14:paraId="4804FE72" w14:textId="5E3913E7" w:rsidR="00FD51ED" w:rsidRDefault="00FD51ED" w:rsidP="00FD51ED"/>
    <w:p w14:paraId="21582D84" w14:textId="1887599D" w:rsidR="00FD51ED" w:rsidRDefault="00FD51ED" w:rsidP="00FD51ED"/>
    <w:p w14:paraId="52ADF0C0" w14:textId="27DF9150" w:rsidR="00CB70B1" w:rsidRDefault="00FD51ED" w:rsidP="00FD51ED">
      <w:r w:rsidRPr="00FD51ED">
        <w:t>Each point on this scatter plot is one motif. The x-axis and y-axis represent</w:t>
      </w:r>
      <w:r w:rsidR="00AC1135">
        <w:t>s</w:t>
      </w:r>
      <w:r w:rsidRPr="00FD51ED">
        <w:t xml:space="preserve"> the number of times the motif is found in the pollen specific and non-pollen specific genes respectively</w:t>
      </w:r>
      <w:r>
        <w:t xml:space="preserve">. </w:t>
      </w:r>
      <w:r w:rsidR="00AC1135">
        <w:t>We then selected the motifs</w:t>
      </w:r>
      <w:r w:rsidR="004F449B">
        <w:t xml:space="preserve"> present in 11</w:t>
      </w:r>
      <w:r w:rsidR="002672ED">
        <w:t>(84.5%)</w:t>
      </w:r>
      <w:r w:rsidR="004F449B">
        <w:t xml:space="preserve"> or more </w:t>
      </w:r>
      <w:r w:rsidR="002672ED">
        <w:t>pollen specific genes and present in at most 30(22.7%) non-pollen genes.</w:t>
      </w:r>
    </w:p>
    <w:p w14:paraId="1FDE2C60" w14:textId="4D3B0B43" w:rsidR="00483D6A" w:rsidRDefault="00483D6A" w:rsidP="00855982"/>
    <w:p w14:paraId="07ED3E81" w14:textId="77777777" w:rsidR="002672ED" w:rsidRPr="00483D6A" w:rsidRDefault="002672ED" w:rsidP="002672ED">
      <w:pPr>
        <w:pStyle w:val="Heading1"/>
      </w:pPr>
      <w:r>
        <w:t>Results</w:t>
      </w:r>
    </w:p>
    <w:tbl>
      <w:tblPr>
        <w:tblW w:w="9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3"/>
        <w:gridCol w:w="903"/>
        <w:gridCol w:w="903"/>
        <w:gridCol w:w="1083"/>
        <w:gridCol w:w="1083"/>
        <w:gridCol w:w="4515"/>
      </w:tblGrid>
      <w:tr w:rsidR="00085C34" w:rsidRPr="00CB70B1" w14:paraId="4F8E082F" w14:textId="77777777" w:rsidTr="00DC1DD1">
        <w:trPr>
          <w:trHeight w:val="391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87FEABE" w14:textId="77777777" w:rsidR="00085C34" w:rsidRPr="00B35D96" w:rsidRDefault="00085C34" w:rsidP="00DC1DD1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B35D96">
              <w:rPr>
                <w:color w:val="FFFFFF" w:themeColor="background1"/>
                <w:sz w:val="20"/>
                <w:szCs w:val="20"/>
              </w:rPr>
              <w:t>true positives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E5D686C" w14:textId="77777777" w:rsidR="00085C34" w:rsidRPr="00B35D96" w:rsidRDefault="00085C34" w:rsidP="00DC1DD1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B35D96">
              <w:rPr>
                <w:color w:val="FFFFFF" w:themeColor="background1"/>
                <w:sz w:val="20"/>
                <w:szCs w:val="20"/>
              </w:rPr>
              <w:t>true negatives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07BB234" w14:textId="77777777" w:rsidR="00085C34" w:rsidRPr="00B35D96" w:rsidRDefault="00085C34" w:rsidP="00DC1DD1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</w:t>
            </w:r>
            <w:r w:rsidRPr="00B35D96">
              <w:rPr>
                <w:color w:val="FFFFFF" w:themeColor="background1"/>
                <w:sz w:val="20"/>
                <w:szCs w:val="20"/>
              </w:rPr>
              <w:t>ccuracy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4704CDC" w14:textId="77777777" w:rsidR="00085C34" w:rsidRPr="00B35D96" w:rsidRDefault="00085C34" w:rsidP="00DC1DD1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B35D96">
              <w:rPr>
                <w:color w:val="FFFFFF" w:themeColor="background1"/>
                <w:sz w:val="20"/>
                <w:szCs w:val="20"/>
              </w:rPr>
              <w:t>Sensitivity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34150D7" w14:textId="77777777" w:rsidR="00085C34" w:rsidRPr="00B35D96" w:rsidRDefault="00085C34" w:rsidP="00DC1DD1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B35D96">
              <w:rPr>
                <w:color w:val="FFFFFF" w:themeColor="background1"/>
                <w:sz w:val="20"/>
                <w:szCs w:val="20"/>
              </w:rPr>
              <w:t>Specificity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BC7156E" w14:textId="77777777" w:rsidR="00085C34" w:rsidRPr="00B35D96" w:rsidRDefault="00085C34" w:rsidP="00DC1DD1">
            <w:pPr>
              <w:spacing w:line="240" w:lineRule="auto"/>
              <w:rPr>
                <w:color w:val="FFFFFF" w:themeColor="background1"/>
                <w:sz w:val="20"/>
                <w:szCs w:val="20"/>
              </w:rPr>
            </w:pPr>
            <w:r w:rsidRPr="00B35D96">
              <w:rPr>
                <w:color w:val="FFFFFF" w:themeColor="background1"/>
                <w:sz w:val="20"/>
                <w:szCs w:val="20"/>
              </w:rPr>
              <w:t>motif name</w:t>
            </w:r>
          </w:p>
        </w:tc>
      </w:tr>
      <w:tr w:rsidR="00085C34" w:rsidRPr="00CB70B1" w14:paraId="6C882589" w14:textId="77777777" w:rsidTr="00DC1DD1">
        <w:trPr>
          <w:trHeight w:val="244"/>
        </w:trPr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6DCCA38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</w:t>
            </w:r>
          </w:p>
        </w:tc>
        <w:tc>
          <w:tcPr>
            <w:tcW w:w="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F468356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116</w:t>
            </w:r>
          </w:p>
        </w:tc>
        <w:tc>
          <w:tcPr>
            <w:tcW w:w="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F294E89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0.88</w:t>
            </w:r>
          </w:p>
        </w:tc>
        <w:tc>
          <w:tcPr>
            <w:tcW w:w="1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EB6C4DF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0.85</w:t>
            </w:r>
          </w:p>
        </w:tc>
        <w:tc>
          <w:tcPr>
            <w:tcW w:w="1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4AB7674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0.88</w:t>
            </w:r>
          </w:p>
        </w:tc>
        <w:tc>
          <w:tcPr>
            <w:tcW w:w="4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0EC1902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gimme_143_MEME_4_w12</w:t>
            </w:r>
          </w:p>
        </w:tc>
      </w:tr>
      <w:tr w:rsidR="00085C34" w:rsidRPr="00CB70B1" w14:paraId="0744A1CD" w14:textId="77777777" w:rsidTr="00DC1DD1">
        <w:trPr>
          <w:trHeight w:val="160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E14E15F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12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216C2DE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114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E3E91D1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0.87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16CF098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0.92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B56BFD4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0.86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A09DBDE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gimme_104_Improbizer_GTGCAACGGAGAGT</w:t>
            </w:r>
          </w:p>
        </w:tc>
      </w:tr>
      <w:tr w:rsidR="00085C34" w:rsidRPr="00CB70B1" w14:paraId="22422D1F" w14:textId="77777777" w:rsidTr="00DC1DD1">
        <w:trPr>
          <w:trHeight w:val="160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EFFFA41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12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D308613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111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994677B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0.85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D52DF21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0.92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F46E228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0.84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D5F0B52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gimme_146_MEME_7_w12</w:t>
            </w:r>
          </w:p>
        </w:tc>
      </w:tr>
      <w:tr w:rsidR="00085C34" w:rsidRPr="00CB70B1" w14:paraId="381F44D9" w14:textId="77777777" w:rsidTr="00DC1DD1">
        <w:trPr>
          <w:trHeight w:val="160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FC9BA0E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8F382FA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105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0F48D23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0.80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0D722CD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0.85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85ED6F5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0.80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9694F97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gimme_16_BioProspector_w12_1</w:t>
            </w:r>
          </w:p>
        </w:tc>
      </w:tr>
      <w:tr w:rsidR="00085C34" w:rsidRPr="00CB70B1" w14:paraId="08849440" w14:textId="77777777" w:rsidTr="00DC1DD1">
        <w:trPr>
          <w:trHeight w:val="160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2A10F60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7D7A7D9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115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74EFEBB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0.87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C8F300A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0.85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C32BCE2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0.87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1850E5C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gimme_13_BioProspector_w10_3</w:t>
            </w:r>
          </w:p>
        </w:tc>
      </w:tr>
      <w:tr w:rsidR="00085C34" w:rsidRPr="00CB70B1" w14:paraId="063F5CF8" w14:textId="77777777" w:rsidTr="00DC1DD1">
        <w:trPr>
          <w:trHeight w:val="160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13810E6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EED237E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106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A776DBE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0.81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2B9EB1D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0.85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17D903F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0.80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913C37C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B35D96">
              <w:rPr>
                <w:sz w:val="20"/>
                <w:szCs w:val="20"/>
                <w:lang w:val="fr-FR"/>
              </w:rPr>
              <w:t>gimme</w:t>
            </w:r>
            <w:proofErr w:type="gramEnd"/>
            <w:r w:rsidRPr="00B35D96">
              <w:rPr>
                <w:sz w:val="20"/>
                <w:szCs w:val="20"/>
                <w:lang w:val="fr-FR"/>
              </w:rPr>
              <w:t>_92_MDmodule_Motif.12.3</w:t>
            </w:r>
          </w:p>
        </w:tc>
      </w:tr>
      <w:tr w:rsidR="00085C34" w:rsidRPr="00CB70B1" w14:paraId="7A22C27E" w14:textId="77777777" w:rsidTr="00DC1DD1">
        <w:trPr>
          <w:trHeight w:val="160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7DE3F61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12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432494D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117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832D961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0.89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1CA1FE1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0.92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235B2B5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0.89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115BDE5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gimme_132_MEME_3_w10</w:t>
            </w:r>
          </w:p>
        </w:tc>
      </w:tr>
      <w:tr w:rsidR="00085C34" w:rsidRPr="00CB70B1" w14:paraId="547E9A89" w14:textId="77777777" w:rsidTr="00DC1DD1">
        <w:trPr>
          <w:trHeight w:val="160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28C66D8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13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F5224BD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108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D585050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0.83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00DC50A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1.00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B4CB80B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0.82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93D6CAA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gimme_105_Improbizer_AACACACGTTTATTAGATGTTT</w:t>
            </w:r>
          </w:p>
        </w:tc>
      </w:tr>
      <w:tr w:rsidR="00085C34" w:rsidRPr="00CB70B1" w14:paraId="7312CABA" w14:textId="77777777" w:rsidTr="00DC1DD1">
        <w:trPr>
          <w:trHeight w:val="160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7FB5F60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12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186A50B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112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5764F31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0.86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6C8ED7B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0.92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54B69FD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0.85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92DF4BC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gimme_102_Improbizer_GCGTTATACCCGAGGATCAG</w:t>
            </w:r>
          </w:p>
        </w:tc>
      </w:tr>
      <w:tr w:rsidR="00085C34" w:rsidRPr="00CB70B1" w14:paraId="0BFED489" w14:textId="77777777" w:rsidTr="00DC1DD1">
        <w:trPr>
          <w:trHeight w:val="160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2F83A48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7E0A79B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107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08AE225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0.81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B124A3B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0.85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7B69A65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0.81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34DD55A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DME_GADGAYKAS</w:t>
            </w:r>
          </w:p>
        </w:tc>
      </w:tr>
      <w:tr w:rsidR="00085C34" w:rsidRPr="00CB70B1" w14:paraId="14D477B3" w14:textId="77777777" w:rsidTr="00DC1DD1">
        <w:trPr>
          <w:trHeight w:val="160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A2C428B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F019FDF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105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C5EEB88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0.80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07E78C2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0.85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EEB4E5F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0.80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42A4636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DME_GRHTGDTGA</w:t>
            </w:r>
          </w:p>
        </w:tc>
      </w:tr>
      <w:tr w:rsidR="00085C34" w:rsidRPr="00CB70B1" w14:paraId="633F41DB" w14:textId="77777777" w:rsidTr="00DC1DD1">
        <w:trPr>
          <w:trHeight w:val="160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600C374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11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657002C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103</w:t>
            </w:r>
          </w:p>
        </w:tc>
        <w:tc>
          <w:tcPr>
            <w:tcW w:w="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2AE7950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0.79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A70F064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0.85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9C30F9C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0.78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B3AA100" w14:textId="77777777" w:rsidR="00085C34" w:rsidRPr="00B35D96" w:rsidRDefault="00085C34" w:rsidP="00DC1DD1">
            <w:pPr>
              <w:spacing w:line="240" w:lineRule="auto"/>
              <w:rPr>
                <w:sz w:val="20"/>
                <w:szCs w:val="20"/>
              </w:rPr>
            </w:pPr>
            <w:r w:rsidRPr="00B35D96">
              <w:rPr>
                <w:sz w:val="20"/>
                <w:szCs w:val="20"/>
              </w:rPr>
              <w:t>DME_MARKGDSRGA</w:t>
            </w:r>
          </w:p>
        </w:tc>
      </w:tr>
    </w:tbl>
    <w:p w14:paraId="0CCE6BFE" w14:textId="77777777" w:rsidR="00085C34" w:rsidRPr="002672ED" w:rsidRDefault="00085C34" w:rsidP="00085C34">
      <w:pPr>
        <w:numPr>
          <w:ilvl w:val="0"/>
          <w:numId w:val="30"/>
        </w:numPr>
      </w:pPr>
      <w:r w:rsidRPr="002672ED">
        <w:rPr>
          <w:u w:val="single"/>
        </w:rPr>
        <w:t>True positive</w:t>
      </w:r>
      <w:r w:rsidRPr="002672ED">
        <w:t xml:space="preserve"> - number of pollen genes the motif is found in. (out of the 13 identified)</w:t>
      </w:r>
    </w:p>
    <w:p w14:paraId="6611A54B" w14:textId="77777777" w:rsidR="00085C34" w:rsidRPr="002672ED" w:rsidRDefault="00085C34" w:rsidP="00085C34">
      <w:pPr>
        <w:numPr>
          <w:ilvl w:val="0"/>
          <w:numId w:val="30"/>
        </w:numPr>
      </w:pPr>
      <w:r w:rsidRPr="002672ED">
        <w:rPr>
          <w:u w:val="single"/>
        </w:rPr>
        <w:t>True negative</w:t>
      </w:r>
      <w:r w:rsidRPr="002672ED">
        <w:t xml:space="preserve"> - number of non-pollen genes the motif is not found in. (out of the 145 identified)</w:t>
      </w:r>
    </w:p>
    <w:p w14:paraId="4DFF2D06" w14:textId="77777777" w:rsidR="00085C34" w:rsidRPr="002672ED" w:rsidRDefault="00085C34" w:rsidP="00085C34">
      <w:pPr>
        <w:numPr>
          <w:ilvl w:val="0"/>
          <w:numId w:val="30"/>
        </w:numPr>
      </w:pPr>
      <w:r w:rsidRPr="002672ED">
        <w:rPr>
          <w:u w:val="single"/>
        </w:rPr>
        <w:t>Accuracy</w:t>
      </w:r>
      <w:r w:rsidRPr="002672ED">
        <w:t xml:space="preserve"> – (True Positives + True Negatives) / Total number of genes</w:t>
      </w:r>
    </w:p>
    <w:p w14:paraId="516F25E8" w14:textId="77777777" w:rsidR="00085C34" w:rsidRPr="002672ED" w:rsidRDefault="00085C34" w:rsidP="00085C34">
      <w:pPr>
        <w:numPr>
          <w:ilvl w:val="0"/>
          <w:numId w:val="30"/>
        </w:numPr>
      </w:pPr>
      <w:r w:rsidRPr="002672ED">
        <w:rPr>
          <w:u w:val="single"/>
        </w:rPr>
        <w:t>Sensitivity</w:t>
      </w:r>
      <w:r w:rsidRPr="002672ED">
        <w:t xml:space="preserve"> – Percentage of pollen genes motif is found in</w:t>
      </w:r>
    </w:p>
    <w:p w14:paraId="300E103F" w14:textId="77777777" w:rsidR="00085C34" w:rsidRPr="002672ED" w:rsidRDefault="00085C34" w:rsidP="00085C34">
      <w:pPr>
        <w:numPr>
          <w:ilvl w:val="0"/>
          <w:numId w:val="30"/>
        </w:numPr>
      </w:pPr>
      <w:r w:rsidRPr="002672ED">
        <w:rPr>
          <w:u w:val="single"/>
        </w:rPr>
        <w:lastRenderedPageBreak/>
        <w:t>Specificity</w:t>
      </w:r>
      <w:r w:rsidRPr="002672ED">
        <w:t xml:space="preserve"> – Percentage of non-pollen genes motif is found in</w:t>
      </w:r>
    </w:p>
    <w:p w14:paraId="269207FF" w14:textId="77777777" w:rsidR="00085C34" w:rsidRPr="002672ED" w:rsidRDefault="00085C34" w:rsidP="00085C34">
      <w:pPr>
        <w:numPr>
          <w:ilvl w:val="0"/>
          <w:numId w:val="30"/>
        </w:numPr>
      </w:pPr>
      <w:r w:rsidRPr="002672ED">
        <w:rPr>
          <w:u w:val="single"/>
        </w:rPr>
        <w:t>Motif Name</w:t>
      </w:r>
      <w:r w:rsidRPr="002672ED">
        <w:t xml:space="preserve"> – The name assigned to the motif</w:t>
      </w:r>
    </w:p>
    <w:p w14:paraId="2A4A856C" w14:textId="77777777" w:rsidR="002672ED" w:rsidRDefault="002672ED" w:rsidP="00855982"/>
    <w:p w14:paraId="6FF554D9" w14:textId="2703EF72" w:rsidR="00483D6A" w:rsidRPr="00855982" w:rsidRDefault="00483D6A" w:rsidP="00483D6A">
      <w:pPr>
        <w:pStyle w:val="Heading1"/>
      </w:pPr>
      <w:r>
        <w:t>Discussion</w:t>
      </w:r>
    </w:p>
    <w:p w14:paraId="15155F4A" w14:textId="3B50E679" w:rsidR="00483D6A" w:rsidRDefault="00085C34" w:rsidP="00483D6A">
      <w:r>
        <w:t xml:space="preserve">These genes </w:t>
      </w:r>
      <w:r w:rsidR="00D36DA5">
        <w:t xml:space="preserve">are all likely candidates for binding sites for transcription factors. </w:t>
      </w:r>
      <w:r w:rsidR="00DC32E0">
        <w:t xml:space="preserve">Of the list there are </w:t>
      </w:r>
      <w:commentRangeStart w:id="6"/>
      <w:r w:rsidR="00DC32E0">
        <w:t>(2 or 3)</w:t>
      </w:r>
      <w:commentRangeEnd w:id="6"/>
      <w:r w:rsidR="00DC32E0">
        <w:rPr>
          <w:rStyle w:val="CommentReference"/>
        </w:rPr>
        <w:commentReference w:id="6"/>
      </w:r>
    </w:p>
    <w:p w14:paraId="7909FF59" w14:textId="2AF64063" w:rsidR="00D36DA5" w:rsidRPr="00483D6A" w:rsidRDefault="00D36DA5" w:rsidP="00483D6A">
      <w:r>
        <w:t xml:space="preserve">**short list </w:t>
      </w:r>
      <w:r w:rsidR="00DC32E0">
        <w:t xml:space="preserve">research </w:t>
      </w:r>
      <w:bookmarkStart w:id="7" w:name="_GoBack"/>
      <w:bookmarkEnd w:id="7"/>
      <w:r>
        <w:t>information</w:t>
      </w:r>
    </w:p>
    <w:p w14:paraId="6F713BB5" w14:textId="037FA5B5" w:rsidR="00483D6A" w:rsidRPr="00855982" w:rsidRDefault="00483D6A" w:rsidP="00483D6A">
      <w:pPr>
        <w:pStyle w:val="Heading1"/>
      </w:pPr>
      <w:r>
        <w:t>Conclusions</w:t>
      </w:r>
    </w:p>
    <w:p w14:paraId="34E27A0E" w14:textId="660C79AD" w:rsidR="00483D6A" w:rsidRDefault="00483D6A" w:rsidP="00855982"/>
    <w:p w14:paraId="56EC1329" w14:textId="6CDFA538" w:rsidR="00483D6A" w:rsidRPr="00855982" w:rsidRDefault="00483D6A" w:rsidP="00483D6A">
      <w:pPr>
        <w:pStyle w:val="Heading1"/>
      </w:pPr>
      <w:r>
        <w:t>Acknowledgements</w:t>
      </w:r>
    </w:p>
    <w:p w14:paraId="07A4C37C" w14:textId="39A7DEB1" w:rsidR="00483D6A" w:rsidRDefault="00483D6A" w:rsidP="00855982"/>
    <w:p w14:paraId="24ACD7C3" w14:textId="567C10F9" w:rsidR="00483D6A" w:rsidRPr="00855982" w:rsidRDefault="00483D6A" w:rsidP="00483D6A">
      <w:pPr>
        <w:pStyle w:val="Heading1"/>
      </w:pPr>
      <w:r>
        <w:t>References</w:t>
      </w:r>
    </w:p>
    <w:p w14:paraId="7816FB1F" w14:textId="15DE254A" w:rsidR="00483D6A" w:rsidRDefault="00483D6A" w:rsidP="00855982"/>
    <w:p w14:paraId="06494C5F" w14:textId="77777777" w:rsidR="00483D6A" w:rsidRPr="00855982" w:rsidRDefault="00483D6A" w:rsidP="00855982"/>
    <w:sectPr w:rsidR="00483D6A" w:rsidRPr="00855982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xwell Mullin" w:date="2018-04-06T18:41:00Z" w:initials="MM">
    <w:p w14:paraId="3CC6120A" w14:textId="77777777" w:rsidR="00C80BA6" w:rsidRDefault="00C80BA6">
      <w:pPr>
        <w:pStyle w:val="CommentText"/>
      </w:pPr>
      <w:r>
        <w:rPr>
          <w:rStyle w:val="CommentReference"/>
        </w:rPr>
        <w:annotationRef/>
      </w:r>
      <w:r>
        <w:t xml:space="preserve">Is this where </w:t>
      </w:r>
      <w:proofErr w:type="spellStart"/>
      <w:r>
        <w:t>yichao</w:t>
      </w:r>
      <w:proofErr w:type="spellEnd"/>
      <w:r>
        <w:t xml:space="preserve"> got promoters?</w:t>
      </w:r>
    </w:p>
    <w:p w14:paraId="4F54435A" w14:textId="1DD1CBA9" w:rsidR="00C80BA6" w:rsidRDefault="00C80BA6">
      <w:pPr>
        <w:pStyle w:val="CommentText"/>
      </w:pPr>
      <w:r>
        <w:t>Do we need to define a promoter for out purpose or is it well enough known?</w:t>
      </w:r>
    </w:p>
  </w:comment>
  <w:comment w:id="1" w:author="Maxwell Mullin" w:date="2018-04-06T18:48:00Z" w:initials="MM">
    <w:p w14:paraId="3B190B0B" w14:textId="4820F1DD" w:rsidR="00065345" w:rsidRDefault="00065345">
      <w:pPr>
        <w:pStyle w:val="CommentText"/>
      </w:pPr>
      <w:r>
        <w:rPr>
          <w:rStyle w:val="CommentReference"/>
        </w:rPr>
        <w:annotationRef/>
      </w:r>
      <w:r>
        <w:t>MEME?</w:t>
      </w:r>
    </w:p>
  </w:comment>
  <w:comment w:id="2" w:author="Maxwell Mullin" w:date="2018-04-06T18:46:00Z" w:initials="MM">
    <w:p w14:paraId="23AE5765" w14:textId="76A62C66" w:rsidR="00C80BA6" w:rsidRDefault="00C80BA6">
      <w:pPr>
        <w:pStyle w:val="CommentText"/>
      </w:pPr>
      <w:r>
        <w:rPr>
          <w:rStyle w:val="CommentReference"/>
        </w:rPr>
        <w:annotationRef/>
      </w:r>
      <w:r>
        <w:t>Check this number</w:t>
      </w:r>
    </w:p>
  </w:comment>
  <w:comment w:id="3" w:author="Maxwell Mullin" w:date="2018-04-06T18:47:00Z" w:initials="MM">
    <w:p w14:paraId="27516513" w14:textId="147974C8" w:rsidR="00065345" w:rsidRDefault="00065345">
      <w:pPr>
        <w:pStyle w:val="CommentText"/>
      </w:pPr>
      <w:r>
        <w:rPr>
          <w:rStyle w:val="CommentReference"/>
        </w:rPr>
        <w:annotationRef/>
      </w:r>
      <w:r>
        <w:t>Check this number</w:t>
      </w:r>
    </w:p>
  </w:comment>
  <w:comment w:id="5" w:author="Maxwell Mullin" w:date="2018-04-06T18:50:00Z" w:initials="MM">
    <w:p w14:paraId="6DF1B910" w14:textId="09B8B9BA" w:rsidR="00065345" w:rsidRDefault="00065345">
      <w:pPr>
        <w:pStyle w:val="CommentText"/>
      </w:pPr>
      <w:r>
        <w:rPr>
          <w:rStyle w:val="CommentReference"/>
        </w:rPr>
        <w:annotationRef/>
      </w:r>
      <w:r>
        <w:t>Which tool did we use?</w:t>
      </w:r>
    </w:p>
  </w:comment>
  <w:comment w:id="4" w:author="Maxwell Mullin" w:date="2018-04-06T18:51:00Z" w:initials="MM">
    <w:p w14:paraId="55837795" w14:textId="4FED10C6" w:rsidR="00065345" w:rsidRDefault="00065345">
      <w:pPr>
        <w:pStyle w:val="CommentText"/>
      </w:pPr>
      <w:r>
        <w:rPr>
          <w:rStyle w:val="CommentReference"/>
        </w:rPr>
        <w:annotationRef/>
      </w:r>
      <w:r>
        <w:t>Do we need to specify p-value threshold? What was that threshold?</w:t>
      </w:r>
    </w:p>
  </w:comment>
  <w:comment w:id="6" w:author="Mullin, Maxwell" w:date="2018-04-06T23:22:00Z" w:initials="MM">
    <w:p w14:paraId="29A67CC3" w14:textId="563045C3" w:rsidR="00DC32E0" w:rsidRDefault="00DC32E0">
      <w:pPr>
        <w:pStyle w:val="CommentText"/>
      </w:pPr>
      <w:r>
        <w:rPr>
          <w:rStyle w:val="CommentReference"/>
        </w:rPr>
        <w:annotationRef/>
      </w:r>
      <w:r>
        <w:t>We’ll see I haven’t had time to research it yet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54435A" w15:done="0"/>
  <w15:commentEx w15:paraId="3B190B0B" w15:done="0"/>
  <w15:commentEx w15:paraId="23AE5765" w15:done="0"/>
  <w15:commentEx w15:paraId="27516513" w15:done="0"/>
  <w15:commentEx w15:paraId="6DF1B910" w15:done="0"/>
  <w15:commentEx w15:paraId="55837795" w15:done="0"/>
  <w15:commentEx w15:paraId="29A67C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54435A" w16cid:durableId="1E723DCD"/>
  <w16cid:commentId w16cid:paraId="3B190B0B" w16cid:durableId="1E723F9B"/>
  <w16cid:commentId w16cid:paraId="23AE5765" w16cid:durableId="1E723F0E"/>
  <w16cid:commentId w16cid:paraId="27516513" w16cid:durableId="1E723F4D"/>
  <w16cid:commentId w16cid:paraId="6DF1B910" w16cid:durableId="1E723FEA"/>
  <w16cid:commentId w16cid:paraId="55837795" w16cid:durableId="1E72402C"/>
  <w16cid:commentId w16cid:paraId="29A67CC3" w16cid:durableId="1E727F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C595" w14:textId="77777777" w:rsidR="00A21A81" w:rsidRDefault="00A21A81" w:rsidP="00855982">
      <w:pPr>
        <w:spacing w:after="0" w:line="240" w:lineRule="auto"/>
      </w:pPr>
      <w:r>
        <w:separator/>
      </w:r>
    </w:p>
  </w:endnote>
  <w:endnote w:type="continuationSeparator" w:id="0">
    <w:p w14:paraId="52BACBCC" w14:textId="77777777" w:rsidR="00A21A81" w:rsidRDefault="00A21A8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3ECE8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36A1F" w14:textId="77777777" w:rsidR="00A21A81" w:rsidRDefault="00A21A81" w:rsidP="00855982">
      <w:pPr>
        <w:spacing w:after="0" w:line="240" w:lineRule="auto"/>
      </w:pPr>
      <w:r>
        <w:separator/>
      </w:r>
    </w:p>
  </w:footnote>
  <w:footnote w:type="continuationSeparator" w:id="0">
    <w:p w14:paraId="6EC1B908" w14:textId="77777777" w:rsidR="00A21A81" w:rsidRDefault="00A21A8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02341"/>
    <w:multiLevelType w:val="hybridMultilevel"/>
    <w:tmpl w:val="5058C3E6"/>
    <w:lvl w:ilvl="0" w:tplc="E20C6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CC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29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29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44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45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60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22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A4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xwell Mullin">
    <w15:presenceInfo w15:providerId="None" w15:userId="Maxwell Mullin"/>
  </w15:person>
  <w15:person w15:author="Mullin, Maxwell">
    <w15:presenceInfo w15:providerId="None" w15:userId="Mullin, Maxw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6A"/>
    <w:rsid w:val="00065345"/>
    <w:rsid w:val="00085C34"/>
    <w:rsid w:val="00104A9E"/>
    <w:rsid w:val="001D4362"/>
    <w:rsid w:val="002672ED"/>
    <w:rsid w:val="00483D6A"/>
    <w:rsid w:val="004F449B"/>
    <w:rsid w:val="007833A7"/>
    <w:rsid w:val="007A2140"/>
    <w:rsid w:val="00855982"/>
    <w:rsid w:val="00A10484"/>
    <w:rsid w:val="00A21A81"/>
    <w:rsid w:val="00AC1135"/>
    <w:rsid w:val="00B35D96"/>
    <w:rsid w:val="00C80BA6"/>
    <w:rsid w:val="00CB70B1"/>
    <w:rsid w:val="00CE2CE6"/>
    <w:rsid w:val="00D154FE"/>
    <w:rsid w:val="00D36DA5"/>
    <w:rsid w:val="00DC32E0"/>
    <w:rsid w:val="00FD262C"/>
    <w:rsid w:val="00FD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17E0"/>
  <w15:chartTrackingRefBased/>
  <w15:docId w15:val="{6FF03334-3163-41C1-B4BA-72596DBB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CB7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94"/>
    <w:rsid w:val="00C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FBF84095B74A8A9AF4116EF4936897">
    <w:name w:val="C6FBF84095B74A8A9AF4116EF4936897"/>
  </w:style>
  <w:style w:type="paragraph" w:customStyle="1" w:styleId="D4BFD0E940C4469EB94AC8F0B12B1EF1">
    <w:name w:val="D4BFD0E940C4469EB94AC8F0B12B1EF1"/>
  </w:style>
  <w:style w:type="paragraph" w:customStyle="1" w:styleId="E628540E9FF0475E8D9EDB3B4F719E2F">
    <w:name w:val="E628540E9FF0475E8D9EDB3B4F719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325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Maxwell Mullin</dc:creator>
  <cp:lastModifiedBy>Mullin, Maxwell</cp:lastModifiedBy>
  <cp:revision>1</cp:revision>
  <dcterms:created xsi:type="dcterms:W3CDTF">2018-04-06T22:05:00Z</dcterms:created>
  <dcterms:modified xsi:type="dcterms:W3CDTF">2018-04-07T03:30:00Z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