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81420" w14:textId="4D2AB739" w:rsidR="000A5BF2" w:rsidRDefault="000A5BF2">
      <w:r w:rsidRPr="000A5BF2">
        <w:rPr>
          <w:u w:val="single"/>
        </w:rPr>
        <w:t>How to run the code (in windows only</w:t>
      </w:r>
      <w:r>
        <w:t>):</w:t>
      </w:r>
    </w:p>
    <w:p w14:paraId="37B42A18" w14:textId="09DC77A7" w:rsidR="000A5BF2" w:rsidRDefault="000A5BF2">
      <w:r>
        <w:t>Prerequisites:</w:t>
      </w:r>
    </w:p>
    <w:p w14:paraId="46C51F29" w14:textId="77777777" w:rsidR="00900E46" w:rsidRDefault="000A5BF2">
      <w:pPr>
        <w:pStyle w:val="ListParagraph"/>
        <w:numPr>
          <w:ilvl w:val="0"/>
          <w:numId w:val="1"/>
        </w:numPr>
        <w:textAlignment w:val="baseline"/>
      </w:pPr>
      <w:r>
        <w:t xml:space="preserve">Python 3 </w:t>
      </w:r>
    </w:p>
    <w:p w14:paraId="4A0806DD" w14:textId="31CAA914" w:rsidR="000A5BF2" w:rsidRDefault="009E054C" w:rsidP="00900E46">
      <w:pPr>
        <w:pStyle w:val="ListParagraph"/>
        <w:ind w:left="1170"/>
        <w:textAlignment w:val="baseline"/>
      </w:pPr>
      <w:r>
        <w:t xml:space="preserve"># </w:t>
      </w:r>
      <w:r w:rsidR="000A5BF2">
        <w:t>pip install python3</w:t>
      </w:r>
    </w:p>
    <w:p w14:paraId="6A16C6E6" w14:textId="40A6CCE0" w:rsidR="009E054C" w:rsidRDefault="000A5BF2" w:rsidP="009E054C">
      <w:pPr>
        <w:pStyle w:val="ListParagraph"/>
        <w:numPr>
          <w:ilvl w:val="0"/>
          <w:numId w:val="1"/>
        </w:numPr>
        <w:textAlignment w:val="baseline"/>
      </w:pPr>
      <w:r>
        <w:t xml:space="preserve">List of </w:t>
      </w:r>
      <w:r w:rsidR="00CE7487">
        <w:t>s</w:t>
      </w:r>
      <w:r w:rsidRPr="000A5BF2">
        <w:t>oftwar</w:t>
      </w:r>
      <w:r>
        <w:t>e</w:t>
      </w:r>
      <w:r w:rsidR="00F67D6E">
        <w:t xml:space="preserve"> in file requirements.txt</w:t>
      </w:r>
    </w:p>
    <w:p w14:paraId="64244F8B" w14:textId="5A7573ED" w:rsidR="000A5BF2" w:rsidRPr="000A5BF2" w:rsidRDefault="009E054C" w:rsidP="009E054C">
      <w:pPr>
        <w:pStyle w:val="ListParagraph"/>
        <w:ind w:left="1170"/>
        <w:textAlignment w:val="baseline"/>
      </w:pPr>
      <w:r>
        <w:t xml:space="preserve"># </w:t>
      </w:r>
      <w:r w:rsidR="000A5BF2" w:rsidRPr="000A5BF2">
        <w:t>pip install -r /path/to/requirements.txt</w:t>
      </w:r>
    </w:p>
    <w:p w14:paraId="3ED68196" w14:textId="1AEBD0D2" w:rsidR="000A5BF2" w:rsidRDefault="000A5BF2" w:rsidP="000A5BF2">
      <w:pPr>
        <w:pStyle w:val="ListParagraph"/>
        <w:numPr>
          <w:ilvl w:val="0"/>
          <w:numId w:val="1"/>
        </w:numPr>
      </w:pPr>
      <w:r>
        <w:t xml:space="preserve">Anaconda </w:t>
      </w:r>
      <w:r w:rsidR="00BB3E49">
        <w:t xml:space="preserve">to </w:t>
      </w:r>
      <w:r w:rsidR="00577C38">
        <w:t>run</w:t>
      </w:r>
      <w:r w:rsidR="002F6564">
        <w:t xml:space="preserve"> .ipynb file</w:t>
      </w:r>
      <w:r w:rsidR="00C33B27">
        <w:t>s</w:t>
      </w:r>
    </w:p>
    <w:p w14:paraId="65BF6F4F" w14:textId="29ADD1F3" w:rsidR="00BC02C1" w:rsidRDefault="00BC02C1" w:rsidP="00BC02C1">
      <w:pPr>
        <w:pStyle w:val="ListParagraph"/>
        <w:ind w:left="1170"/>
      </w:pPr>
      <w:r w:rsidRPr="00BC02C1">
        <w:t>https://www.anaconda.com/products/distribution</w:t>
      </w:r>
    </w:p>
    <w:p w14:paraId="401B09FE" w14:textId="23AD1922" w:rsidR="000A5BF2" w:rsidRDefault="000A5BF2" w:rsidP="00894840">
      <w:pPr>
        <w:spacing w:after="0"/>
      </w:pPr>
      <w:r>
        <w:t>Development</w:t>
      </w:r>
      <w:r w:rsidR="00AA0170">
        <w:t xml:space="preserve"> and analysis</w:t>
      </w:r>
      <w:r>
        <w:t xml:space="preserve"> of structure is</w:t>
      </w:r>
      <w:r w:rsidR="00954E0A">
        <w:t xml:space="preserve"> </w:t>
      </w:r>
      <w:r w:rsidR="000F73D6">
        <w:t>done</w:t>
      </w:r>
      <w:r w:rsidR="00954E0A">
        <w:t xml:space="preserve"> </w:t>
      </w:r>
      <w:r w:rsidR="00CB3FC0">
        <w:t xml:space="preserve">through these </w:t>
      </w:r>
      <w:r w:rsidR="000F73D6">
        <w:t>steps</w:t>
      </w:r>
      <w:r w:rsidR="00954E0A">
        <w:t xml:space="preserve">, </w:t>
      </w:r>
      <w:r w:rsidR="000F73D6">
        <w:t xml:space="preserve">as </w:t>
      </w:r>
      <w:r w:rsidR="00954E0A">
        <w:t xml:space="preserve">visible in </w:t>
      </w:r>
      <w:r w:rsidR="00954E0A" w:rsidRPr="000A5BF2">
        <w:t>test.xml</w:t>
      </w:r>
      <w:r w:rsidR="000F73D6">
        <w:t xml:space="preserve"> file</w:t>
      </w:r>
      <w:r w:rsidR="00954E0A">
        <w:t>:</w:t>
      </w:r>
    </w:p>
    <w:p w14:paraId="55ED9ECF" w14:textId="6BFAA69F" w:rsidR="00954E0A" w:rsidRDefault="00954E0A" w:rsidP="00954E0A">
      <w:pPr>
        <w:pStyle w:val="ListParagraph"/>
        <w:numPr>
          <w:ilvl w:val="0"/>
          <w:numId w:val="7"/>
        </w:numPr>
      </w:pPr>
      <w:r>
        <w:t>Sphere aggregation &lt;aggSph&gt;</w:t>
      </w:r>
      <w:r w:rsidR="006A1072">
        <w:t xml:space="preserve"> to create </w:t>
      </w:r>
      <w:r w:rsidR="001E4C37">
        <w:t>spheres packing</w:t>
      </w:r>
      <w:r w:rsidR="00CB3FC0">
        <w:t>.</w:t>
      </w:r>
    </w:p>
    <w:p w14:paraId="68D93FBB" w14:textId="1408BCDA" w:rsidR="00954E0A" w:rsidRPr="00024F7D" w:rsidRDefault="00954E0A" w:rsidP="00954E0A">
      <w:pPr>
        <w:pStyle w:val="ListParagraph"/>
        <w:numPr>
          <w:ilvl w:val="0"/>
          <w:numId w:val="7"/>
        </w:numPr>
      </w:pPr>
      <w:r w:rsidRPr="00024F7D">
        <w:t>Voronoi tessellation &lt;tess&gt;</w:t>
      </w:r>
      <w:r w:rsidR="00DD7D48">
        <w:t xml:space="preserve"> starting from </w:t>
      </w:r>
      <w:r w:rsidR="00024F7D" w:rsidRPr="00024F7D">
        <w:t>the centers of</w:t>
      </w:r>
      <w:r w:rsidR="00DD7D48">
        <w:t xml:space="preserve"> the</w:t>
      </w:r>
      <w:r w:rsidR="00024F7D">
        <w:t xml:space="preserve"> spheres</w:t>
      </w:r>
      <w:r w:rsidR="00DD7D48">
        <w:t>.</w:t>
      </w:r>
      <w:r w:rsidR="00024F7D">
        <w:t xml:space="preserve"> </w:t>
      </w:r>
      <w:r w:rsidR="009F7D7A">
        <w:t>Then</w:t>
      </w:r>
      <w:r w:rsidR="00024F7D">
        <w:t xml:space="preserve"> </w:t>
      </w:r>
      <w:r w:rsidR="0052059D">
        <w:t>edges</w:t>
      </w:r>
      <w:r w:rsidR="00024F7D">
        <w:t xml:space="preserve"> and nodes of the tessellation </w:t>
      </w:r>
      <w:r w:rsidR="00DD7D48">
        <w:t xml:space="preserve">are assessed; </w:t>
      </w:r>
      <w:r w:rsidR="00024F7D">
        <w:t xml:space="preserve">instead of </w:t>
      </w:r>
      <w:r w:rsidR="0052059D">
        <w:t>edges and nodes</w:t>
      </w:r>
      <w:r w:rsidR="00DD7D48">
        <w:t>,</w:t>
      </w:r>
      <w:r w:rsidR="0052059D">
        <w:t xml:space="preserve"> cylinder</w:t>
      </w:r>
      <w:r w:rsidR="00742DDB">
        <w:t>s</w:t>
      </w:r>
      <w:r w:rsidR="0052059D">
        <w:t xml:space="preserve"> with diameter </w:t>
      </w:r>
      <m:oMath>
        <m:r>
          <w:rPr>
            <w:rFonts w:ascii="Cambria Math" w:hAnsi="Cambria Math"/>
          </w:rPr>
          <m:t>R_stru</m:t>
        </m:r>
        <m:r>
          <w:rPr>
            <w:rFonts w:ascii="Cambria Math" w:eastAsiaTheme="minorEastAsia" w:hAnsi="Cambria Math"/>
          </w:rPr>
          <m:t>t</m:t>
        </m:r>
      </m:oMath>
      <w:r w:rsidR="009F7D7A">
        <w:rPr>
          <w:rFonts w:eastAsiaTheme="minorEastAsia"/>
        </w:rPr>
        <w:t xml:space="preserve"> and spheres with diameter </w:t>
      </w:r>
      <m:oMath>
        <m:r>
          <w:rPr>
            <w:rFonts w:ascii="Cambria Math" w:hAnsi="Cambria Math"/>
          </w:rPr>
          <m:t>R_node</m:t>
        </m:r>
      </m:oMath>
      <w:r w:rsidR="00DD7D48">
        <w:rPr>
          <w:rFonts w:eastAsiaTheme="minorEastAsia"/>
        </w:rPr>
        <w:t xml:space="preserve"> are inserted</w:t>
      </w:r>
      <w:r w:rsidR="00CB3FC0">
        <w:rPr>
          <w:rFonts w:eastAsiaTheme="minorEastAsia"/>
        </w:rPr>
        <w:t>.</w:t>
      </w:r>
    </w:p>
    <w:p w14:paraId="294353B0" w14:textId="71AB7D02" w:rsidR="00954E0A" w:rsidRDefault="00954E0A" w:rsidP="00954E0A">
      <w:pPr>
        <w:pStyle w:val="ListParagraph"/>
        <w:numPr>
          <w:ilvl w:val="0"/>
          <w:numId w:val="7"/>
        </w:numPr>
      </w:pPr>
      <w:r>
        <w:t>Morphological operations &lt;morph&gt;</w:t>
      </w:r>
      <w:r w:rsidR="00C35A06">
        <w:t xml:space="preserve"> such as closing with a defined size</w:t>
      </w:r>
      <w:r w:rsidR="00CB3FC0">
        <w:t xml:space="preserve"> </w:t>
      </w:r>
      <m:oMath>
        <m:r>
          <w:rPr>
            <w:rFonts w:ascii="Cambria Math" w:hAnsi="Cambria Math"/>
          </w:rPr>
          <m:t>tv</m:t>
        </m:r>
      </m:oMath>
      <w:r w:rsidR="00CB3FC0">
        <w:rPr>
          <w:rFonts w:eastAsiaTheme="minorEastAsia"/>
        </w:rPr>
        <w:t>.</w:t>
      </w:r>
    </w:p>
    <w:p w14:paraId="415F7949" w14:textId="72A159E7" w:rsidR="0093338C" w:rsidRDefault="0093338C" w:rsidP="0093338C">
      <w:pPr>
        <w:pStyle w:val="ListParagraph"/>
        <w:numPr>
          <w:ilvl w:val="0"/>
          <w:numId w:val="7"/>
        </w:numPr>
      </w:pPr>
      <w:r>
        <w:t>Postprocessing &lt;postProc&gt;</w:t>
      </w:r>
      <w:r w:rsidR="00C04C9D">
        <w:t xml:space="preserve"> which includes</w:t>
      </w:r>
      <w:r w:rsidR="001930EC">
        <w:t xml:space="preserve"> postprocessing calculations</w:t>
      </w:r>
      <w:r w:rsidR="00EB4995">
        <w:t>.</w:t>
      </w:r>
    </w:p>
    <w:p w14:paraId="1DE7B655" w14:textId="42A4EB4B" w:rsidR="000A5BF2" w:rsidRDefault="000A5BF2" w:rsidP="000A5BF2">
      <w:r>
        <w:t>Steps:</w:t>
      </w:r>
    </w:p>
    <w:p w14:paraId="575ABA0F" w14:textId="44817278" w:rsidR="00554301" w:rsidRDefault="0070575D" w:rsidP="000A5BF2">
      <w:pPr>
        <w:pStyle w:val="ListParagraph"/>
        <w:numPr>
          <w:ilvl w:val="0"/>
          <w:numId w:val="6"/>
        </w:numPr>
      </w:pPr>
      <w:r>
        <w:t xml:space="preserve">For the </w:t>
      </w:r>
      <w:r w:rsidR="00A0586B">
        <w:t xml:space="preserve">.xml files </w:t>
      </w:r>
      <w:r>
        <w:t>ending in ‘PAR’</w:t>
      </w:r>
      <w:r w:rsidR="00A0586B">
        <w:t xml:space="preserve"> </w:t>
      </w:r>
      <w:r>
        <w:t xml:space="preserve">in the </w:t>
      </w:r>
      <w:r w:rsidR="00A0586B">
        <w:t>‘PlugIns’ folder</w:t>
      </w:r>
      <w:r>
        <w:t>: update paths</w:t>
      </w:r>
      <w:r w:rsidR="00873991">
        <w:t xml:space="preserve"> based on your locations in the pc</w:t>
      </w:r>
      <w:r>
        <w:t>.</w:t>
      </w:r>
    </w:p>
    <w:p w14:paraId="5584543C" w14:textId="5173824E" w:rsidR="000A5BF2" w:rsidRDefault="00632326" w:rsidP="000A5BF2">
      <w:pPr>
        <w:pStyle w:val="ListParagraph"/>
        <w:numPr>
          <w:ilvl w:val="0"/>
          <w:numId w:val="6"/>
        </w:numPr>
      </w:pPr>
      <w:r>
        <w:t>Edit the</w:t>
      </w:r>
      <w:r w:rsidR="000A5BF2">
        <w:t xml:space="preserve"> parameters of interest in </w:t>
      </w:r>
      <w:r w:rsidR="000A5BF2" w:rsidRPr="000A5BF2">
        <w:t>test.xml</w:t>
      </w:r>
      <w:r w:rsidR="001378A4">
        <w:t xml:space="preserve"> file</w:t>
      </w:r>
      <w:r w:rsidR="00003BDC">
        <w:t xml:space="preserve">. Every plugin in the ‘PlugIns’ folder has </w:t>
      </w:r>
      <w:r>
        <w:t xml:space="preserve">within it </w:t>
      </w:r>
      <w:r w:rsidR="00003BDC">
        <w:t xml:space="preserve">a .xml file with the parameters used. There is </w:t>
      </w:r>
      <w:r w:rsidR="00F46163">
        <w:t>one</w:t>
      </w:r>
      <w:r w:rsidR="00003BDC">
        <w:t xml:space="preserve"> file ending with INI and another ending with PAR. </w:t>
      </w:r>
      <w:r w:rsidR="00F46163">
        <w:t>The</w:t>
      </w:r>
      <w:r w:rsidR="00003BDC">
        <w:t xml:space="preserve"> EXE and PAR </w:t>
      </w:r>
      <w:r w:rsidR="00F46163">
        <w:t xml:space="preserve">files </w:t>
      </w:r>
      <w:r w:rsidR="00003BDC">
        <w:t xml:space="preserve">are </w:t>
      </w:r>
      <w:r w:rsidR="00F46163">
        <w:t xml:space="preserve">then </w:t>
      </w:r>
      <w:r w:rsidR="00003BDC">
        <w:t xml:space="preserve">copied </w:t>
      </w:r>
      <w:r w:rsidR="00F46163">
        <w:t>to</w:t>
      </w:r>
      <w:r w:rsidR="00003BDC">
        <w:t xml:space="preserve"> a new folder </w:t>
      </w:r>
      <w:r w:rsidR="00FD7ABC">
        <w:t xml:space="preserve">with name </w:t>
      </w:r>
      <m:oMath>
        <m:r>
          <w:rPr>
            <w:rFonts w:ascii="Cambria Math" w:hAnsi="Cambria Math"/>
          </w:rPr>
          <m:t>pPout</m:t>
        </m:r>
      </m:oMath>
      <w:r w:rsidR="00FD7ABC">
        <w:rPr>
          <w:rFonts w:eastAsiaTheme="minorEastAsia"/>
        </w:rPr>
        <w:t xml:space="preserve"> </w:t>
      </w:r>
      <w:r w:rsidR="00003BDC">
        <w:t xml:space="preserve">and each parameter will be changed </w:t>
      </w:r>
      <w:r w:rsidR="00C00EAC">
        <w:t>according to</w:t>
      </w:r>
      <w:r w:rsidR="00003BDC">
        <w:t xml:space="preserve"> </w:t>
      </w:r>
      <w:r w:rsidR="0096196C">
        <w:t xml:space="preserve">the choices in </w:t>
      </w:r>
      <w:r w:rsidR="00C00EAC">
        <w:t>the</w:t>
      </w:r>
      <w:r w:rsidR="0096196C">
        <w:t xml:space="preserve"> test.xml</w:t>
      </w:r>
      <w:r w:rsidR="00C00EAC">
        <w:t xml:space="preserve"> file</w:t>
      </w:r>
      <w:r w:rsidR="00003BDC">
        <w:t xml:space="preserve">. </w:t>
      </w:r>
      <w:r w:rsidR="0096196C">
        <w:t>I</w:t>
      </w:r>
      <w:r w:rsidR="00003BDC">
        <w:t xml:space="preserve">n ‘launchPlugin.py’ there are all the operations to be done to launch a single function. First </w:t>
      </w:r>
      <w:r w:rsidR="00FD3BE4">
        <w:t>the folder is created, then the plugins are used.</w:t>
      </w:r>
    </w:p>
    <w:p w14:paraId="7CEA2CF1" w14:textId="77777777" w:rsidR="0096196C" w:rsidRDefault="0096196C" w:rsidP="000A5BF2">
      <w:pPr>
        <w:pStyle w:val="ListParagraph"/>
      </w:pPr>
    </w:p>
    <w:p w14:paraId="360769EF" w14:textId="37B5ED09" w:rsidR="000A5BF2" w:rsidRDefault="00740E42" w:rsidP="000A5BF2">
      <w:pPr>
        <w:pStyle w:val="ListParagraph"/>
      </w:pPr>
      <w:r>
        <w:t>In test.xml t</w:t>
      </w:r>
      <w:r w:rsidR="000A5BF2">
        <w:t>he</w:t>
      </w:r>
      <w:r>
        <w:t xml:space="preserve">re are different </w:t>
      </w:r>
      <w:r w:rsidR="00B6013B">
        <w:t>items</w:t>
      </w:r>
      <w:r w:rsidR="000A5BF2">
        <w:t>:</w:t>
      </w:r>
    </w:p>
    <w:p w14:paraId="09AA1A73" w14:textId="18B568DA" w:rsidR="00954E0A" w:rsidRDefault="00603F78" w:rsidP="00954E0A">
      <w:pPr>
        <w:pStyle w:val="ListParagraph"/>
        <w:numPr>
          <w:ilvl w:val="0"/>
          <w:numId w:val="1"/>
        </w:numPr>
      </w:pPr>
      <m:oMath>
        <m:r>
          <w:rPr>
            <w:rFonts w:ascii="Cambria Math" w:hAnsi="Cambria Math"/>
          </w:rPr>
          <m:t>pOut</m:t>
        </m:r>
      </m:oMath>
      <w:r w:rsidR="00954E0A">
        <w:t xml:space="preserve">: name of the output file. </w:t>
      </w:r>
      <w:r w:rsidR="00954E0A" w:rsidRPr="009C4AA5">
        <w:rPr>
          <w:b/>
          <w:bCs/>
        </w:rPr>
        <w:t>Tip</w:t>
      </w:r>
      <w:r w:rsidR="00954E0A">
        <w:t xml:space="preserve">: </w:t>
      </w:r>
      <w:r w:rsidR="009C4AA5" w:rsidRPr="009C4AA5">
        <w:t>In the name, change the test number and related parameters so that it is easier to see the parameters from the folder name.</w:t>
      </w:r>
    </w:p>
    <w:p w14:paraId="34B8A943" w14:textId="19A6AD74" w:rsidR="00954E0A" w:rsidRDefault="00603F78" w:rsidP="00954E0A">
      <w:pPr>
        <w:pStyle w:val="ListParagraph"/>
        <w:numPr>
          <w:ilvl w:val="0"/>
          <w:numId w:val="1"/>
        </w:numPr>
      </w:pPr>
      <m:oMath>
        <m:r>
          <w:rPr>
            <w:rFonts w:ascii="Cambria Math" w:hAnsi="Cambria Math"/>
          </w:rPr>
          <m:t>pIn</m:t>
        </m:r>
      </m:oMath>
      <w:r w:rsidR="00954E0A">
        <w:t>: never change it, it link</w:t>
      </w:r>
      <w:r w:rsidR="002A2759">
        <w:t>s</w:t>
      </w:r>
      <w:r w:rsidR="00954E0A">
        <w:t xml:space="preserve"> to </w:t>
      </w:r>
      <w:r w:rsidR="002A2759">
        <w:t>‘</w:t>
      </w:r>
      <w:r w:rsidR="00954E0A">
        <w:t>PlugIns</w:t>
      </w:r>
      <w:r w:rsidR="002A2759">
        <w:t>’</w:t>
      </w:r>
      <w:r w:rsidR="00954E0A">
        <w:t xml:space="preserve"> folder</w:t>
      </w:r>
      <w:r w:rsidR="00611573">
        <w:t>.</w:t>
      </w:r>
    </w:p>
    <w:p w14:paraId="35119CC2" w14:textId="2A5906AC" w:rsidR="000A5BF2" w:rsidRDefault="008A1C41" w:rsidP="000A5BF2">
      <w:pPr>
        <w:pStyle w:val="ListParagraph"/>
        <w:numPr>
          <w:ilvl w:val="0"/>
          <w:numId w:val="1"/>
        </w:numPr>
      </w:pPr>
      <m:oMath>
        <m:r>
          <w:rPr>
            <w:rFonts w:ascii="Cambria Math" w:hAnsi="Cambria Math"/>
          </w:rPr>
          <m:t>NB</m:t>
        </m:r>
      </m:oMath>
      <w:r w:rsidR="000A5BF2">
        <w:t xml:space="preserve">: number of spheres </w:t>
      </w:r>
      <w:r w:rsidR="00954E0A">
        <w:t>to be aggregated</w:t>
      </w:r>
      <w:r w:rsidR="00003BDC">
        <w:t xml:space="preserve"> (not always reachable in case </w:t>
      </w:r>
      <w:r w:rsidR="00784449">
        <w:t>space runs out</w:t>
      </w:r>
      <w:r w:rsidR="00EB6A21">
        <w:t xml:space="preserve">, </w:t>
      </w:r>
      <w:r w:rsidR="004D27B7">
        <w:t>so</w:t>
      </w:r>
      <w:r w:rsidR="00EB6A21">
        <w:t xml:space="preserve"> they will be placed in the same spot</w:t>
      </w:r>
      <w:r w:rsidR="00003BDC">
        <w:t>)</w:t>
      </w:r>
      <w:r w:rsidR="00611573">
        <w:t>.</w:t>
      </w:r>
    </w:p>
    <w:p w14:paraId="6D8F0D30" w14:textId="73DC4420" w:rsidR="00954E0A" w:rsidRPr="004D1049" w:rsidRDefault="00603F78" w:rsidP="00954E0A">
      <w:pPr>
        <w:pStyle w:val="ListParagraph"/>
        <w:numPr>
          <w:ilvl w:val="0"/>
          <w:numId w:val="1"/>
        </w:numPr>
      </w:pPr>
      <m:oMath>
        <m:r>
          <w:rPr>
            <w:rFonts w:ascii="Cambria Math" w:hAnsi="Cambria Math"/>
          </w:rPr>
          <m:t>Alpha</m:t>
        </m:r>
      </m:oMath>
      <w:r w:rsidR="00954E0A">
        <w:t xml:space="preserve"> and </w:t>
      </w:r>
      <m:oMath>
        <m:r>
          <w:rPr>
            <w:rFonts w:ascii="Cambria Math" w:hAnsi="Cambria Math"/>
          </w:rPr>
          <m:t>Beta</m:t>
        </m:r>
      </m:oMath>
      <w:r w:rsidR="00954E0A">
        <w:t>: more info are given in</w:t>
      </w:r>
      <w:r w:rsidR="008E5DA5">
        <w:t xml:space="preserve"> </w:t>
      </w:r>
      <w:r w:rsidR="004B2294">
        <w:fldChar w:fldCharType="begin" w:fldLock="1"/>
      </w:r>
      <w:r w:rsidR="00BC422D">
        <w:instrText>ADDIN CSL_CITATION {"citationItems":[{"id":"ITEM-1","itemData":{"DOI":"10.5566/ias.2488","ISSN":"18545165","abstract":"For the development of a new porous material such as catalytic carrier, the control of the textural properties is of fundamental importance. In order to move towards rational synthesis, it is necessary to better understand the physical phenomena that generate a defined solid structure. A contribute to this purpose can be achieved by studying the aggregation process inside colloidal suspensions, leading to porosity generation: this phenomenon can be described with a Brownian dynamics model that, for any set of chemical parameters, gives access to the mass distribution and the fractal dimension of colloidal aggregates. However, this model cannot be used for the simulation of large colloidal systems, due to its high computational time, limiting comparison with analytical methods, which probe the whole multi-scale system. This problem is solved by developing a new aggregation morphological model, wherein the fractal dimension is tuned with two compactness parameters. An efficient simulation algorithm is proposed in case of spheres, for which the fractal dimension of the generated aggregates varies between 1.2 and 3. Brownian dynamics results are used to parametrize this purely geometric model, in order to constrain the size and the morphology of the aggregates created. The large numerical solid will be representative of the textural properties of a real solid and will give more information on the porous network. It could be used, for example, to simulate diffusive transport coupled with chemical reaction and to study the impact of the geometry of the porous system on the catalytic performance.","author":[{"dropping-particle":"","family":"Ferri","given":"Giulia","non-dropping-particle":"","parse-names":false,"suffix":""},{"dropping-particle":"","family":"Humbert","given":"Severine","non-dropping-particle":"","parse-names":false,"suffix":""},{"dropping-particle":"","family":"Digne","given":"Mathieu","non-dropping-particle":"","parse-names":false,"suffix":""},{"dropping-particle":"","family":"Schweitzer","given":"Jean Marc","non-dropping-particle":"","parse-names":false,"suffix":""},{"dropping-particle":"","family":"Moreaud","given":"Maxime","non-dropping-particle":"","parse-names":false,"suffix":""}],"container-title":"Image Analysis and Stereology","id":"ITEM-1","issue":"2","issued":{"date-parts":[["2021"]]},"page":"71-84","title":"Simulation Of Large Aggregate Particles System With A New Morphological Model","type":"article","volume":"40"},"uris":["http://www.mendeley.com/documents/?uuid=935db7e4-4c66-471b-8f46-06f3ac1f6156"]}],"mendeley":{"formattedCitation":"(Ferri et al., 2021)","plainTextFormattedCitation":"(Ferri et al., 2021)","previouslyFormattedCitation":"(Ferri et al., 2021)"},"properties":{"noteIndex":0},"schema":"https://github.com/citation-style-language/schema/raw/master/csl-citation.json"}</w:instrText>
      </w:r>
      <w:r w:rsidR="004B2294">
        <w:fldChar w:fldCharType="separate"/>
      </w:r>
      <w:r w:rsidR="004B2294" w:rsidRPr="004B2294">
        <w:rPr>
          <w:noProof/>
        </w:rPr>
        <w:t>(Ferri et al., 2021)</w:t>
      </w:r>
      <w:r w:rsidR="004B2294">
        <w:fldChar w:fldCharType="end"/>
      </w:r>
      <w:r w:rsidR="00954E0A" w:rsidRPr="004D1049">
        <w:t>.</w:t>
      </w:r>
      <w:r w:rsidR="00846F04">
        <w:t xml:space="preserve"> </w:t>
      </w:r>
      <w:r w:rsidR="00FB6718">
        <w:t>‘</w:t>
      </w:r>
      <w:r w:rsidR="00846F04">
        <w:t>They are used to control the compactness of the aggregates</w:t>
      </w:r>
      <w:r w:rsidR="00831F02">
        <w:t>.</w:t>
      </w:r>
      <w:r w:rsidR="00954E0A" w:rsidRPr="004D1049">
        <w:t xml:space="preserve"> The probability that the next object is positioned on a concave zone depends on a parameter called α and the probability that the concave zone is the closest to the center of mass of the aggregate depends on a β parameter (where β ≤ α).</w:t>
      </w:r>
      <w:r w:rsidR="00FB6718">
        <w:t>’</w:t>
      </w:r>
      <w:r w:rsidR="00954E0A" w:rsidRPr="004D1049">
        <w:t xml:space="preserve"> </w:t>
      </w:r>
    </w:p>
    <w:p w14:paraId="278DBCA2" w14:textId="3461AB8F" w:rsidR="00954E0A" w:rsidRPr="004D1049" w:rsidRDefault="00603F78" w:rsidP="000A5BF2">
      <w:pPr>
        <w:pStyle w:val="ListParagraph"/>
        <w:numPr>
          <w:ilvl w:val="0"/>
          <w:numId w:val="1"/>
        </w:numPr>
      </w:pPr>
      <m:oMath>
        <m:r>
          <w:rPr>
            <w:rFonts w:ascii="Cambria Math" w:hAnsi="Cambria Math"/>
          </w:rPr>
          <m:t>Repul</m:t>
        </m:r>
      </m:oMath>
      <w:r w:rsidR="00954E0A" w:rsidRPr="004D1049">
        <w:t>:</w:t>
      </w:r>
      <w:r w:rsidR="00FB6718">
        <w:t xml:space="preserve"> repulsion</w:t>
      </w:r>
      <w:r w:rsidR="00611573">
        <w:t>.</w:t>
      </w:r>
    </w:p>
    <w:p w14:paraId="431A1259" w14:textId="21FF53D5" w:rsidR="00954E0A" w:rsidRDefault="00603F78" w:rsidP="000A5BF2">
      <w:pPr>
        <w:pStyle w:val="ListParagraph"/>
        <w:numPr>
          <w:ilvl w:val="0"/>
          <w:numId w:val="1"/>
        </w:numPr>
      </w:pPr>
      <m:oMath>
        <m:r>
          <w:rPr>
            <w:rFonts w:ascii="Cambria Math" w:hAnsi="Cambria Math"/>
          </w:rPr>
          <m:t>R</m:t>
        </m:r>
      </m:oMath>
      <w:r w:rsidR="00954E0A">
        <w:t>:</w:t>
      </w:r>
      <w:r w:rsidR="00EF64BC">
        <w:t xml:space="preserve"> spheres diameter</w:t>
      </w:r>
      <w:r w:rsidR="00611573">
        <w:t>.</w:t>
      </w:r>
    </w:p>
    <w:p w14:paraId="09535D3F" w14:textId="6100FCC4" w:rsidR="00954E0A" w:rsidRDefault="00603F78" w:rsidP="000A5BF2">
      <w:pPr>
        <w:pStyle w:val="ListParagraph"/>
        <w:numPr>
          <w:ilvl w:val="0"/>
          <w:numId w:val="1"/>
        </w:numPr>
      </w:pPr>
      <m:oMath>
        <m:r>
          <w:rPr>
            <w:rFonts w:ascii="Cambria Math" w:hAnsi="Cambria Math"/>
          </w:rPr>
          <m:t>W</m:t>
        </m:r>
      </m:oMath>
      <w:r w:rsidR="00954E0A">
        <w:t>: box size</w:t>
      </w:r>
      <w:r w:rsidR="00C412B3">
        <w:t xml:space="preserve"> in integers</w:t>
      </w:r>
      <w:r w:rsidR="00954E0A">
        <w:t xml:space="preserve">. </w:t>
      </w:r>
    </w:p>
    <w:p w14:paraId="7C2AF98C" w14:textId="5B3FE5C6" w:rsidR="00954E0A" w:rsidRPr="00954E0A" w:rsidRDefault="00603F78" w:rsidP="000A5BF2">
      <w:pPr>
        <w:pStyle w:val="ListParagraph"/>
        <w:numPr>
          <w:ilvl w:val="0"/>
          <w:numId w:val="1"/>
        </w:numPr>
      </w:pPr>
      <m:oMath>
        <m:r>
          <w:rPr>
            <w:rFonts w:ascii="Cambria Math" w:hAnsi="Cambria Math"/>
          </w:rPr>
          <m:t>R_node</m:t>
        </m:r>
      </m:oMath>
      <w:r w:rsidR="00954E0A" w:rsidRPr="00954E0A">
        <w:t>: spheres diameter to b</w:t>
      </w:r>
      <w:r w:rsidR="00954E0A">
        <w:t xml:space="preserve">uild the ‘skeleton’ for the </w:t>
      </w:r>
      <w:r w:rsidR="007E3623">
        <w:t>tessellation</w:t>
      </w:r>
      <w:r w:rsidR="00611573">
        <w:t>.</w:t>
      </w:r>
    </w:p>
    <w:p w14:paraId="587341A6" w14:textId="5837F1E5" w:rsidR="00954E0A" w:rsidRPr="00C05D88" w:rsidRDefault="00603F78" w:rsidP="000A5BF2">
      <w:pPr>
        <w:pStyle w:val="ListParagraph"/>
        <w:numPr>
          <w:ilvl w:val="0"/>
          <w:numId w:val="1"/>
        </w:numPr>
      </w:pPr>
      <m:oMath>
        <m:r>
          <w:rPr>
            <w:rFonts w:ascii="Cambria Math" w:hAnsi="Cambria Math"/>
            <w:lang w:val="de-DE"/>
          </w:rPr>
          <m:t>R</m:t>
        </m:r>
        <m:r>
          <w:rPr>
            <w:rFonts w:ascii="Cambria Math" w:hAnsi="Cambria Math"/>
          </w:rPr>
          <m:t>_</m:t>
        </m:r>
        <m:r>
          <w:rPr>
            <w:rFonts w:ascii="Cambria Math" w:hAnsi="Cambria Math"/>
            <w:lang w:val="de-DE"/>
          </w:rPr>
          <m:t>strut</m:t>
        </m:r>
      </m:oMath>
      <w:r w:rsidR="00954E0A" w:rsidRPr="00C05D88">
        <w:t>: cylinders diameter</w:t>
      </w:r>
      <w:r w:rsidR="00C05D88" w:rsidRPr="00C05D88">
        <w:t xml:space="preserve"> to build the</w:t>
      </w:r>
      <w:r w:rsidR="00C05D88">
        <w:t xml:space="preserve"> </w:t>
      </w:r>
      <w:r w:rsidR="00C05D88" w:rsidRPr="00C05D88">
        <w:t xml:space="preserve">‘skeleton‘ </w:t>
      </w:r>
      <w:r w:rsidR="00B90656">
        <w:t>for</w:t>
      </w:r>
      <w:r w:rsidR="00C05D88">
        <w:t xml:space="preserve"> the tessel</w:t>
      </w:r>
      <w:r w:rsidR="00631276">
        <w:t>l</w:t>
      </w:r>
      <w:r w:rsidR="00C05D88">
        <w:t>ation</w:t>
      </w:r>
      <w:r w:rsidR="00014415" w:rsidRPr="00C05D88">
        <w:t xml:space="preserve">. </w:t>
      </w:r>
      <w:r w:rsidR="00014415" w:rsidRPr="00C05D88">
        <w:rPr>
          <w:b/>
          <w:bCs/>
        </w:rPr>
        <w:t>Tip</w:t>
      </w:r>
      <w:r w:rsidR="00014415" w:rsidRPr="00C05D88">
        <w:t xml:space="preserve">: </w:t>
      </w:r>
      <m:oMath>
        <m:r>
          <w:rPr>
            <w:rFonts w:ascii="Cambria Math" w:hAnsi="Cambria Math"/>
            <w:lang w:val="nl-NL"/>
          </w:rPr>
          <m:t>R</m:t>
        </m:r>
        <m:r>
          <w:rPr>
            <w:rFonts w:ascii="Cambria Math" w:hAnsi="Cambria Math"/>
          </w:rPr>
          <m:t>_</m:t>
        </m:r>
        <m:r>
          <w:rPr>
            <w:rFonts w:ascii="Cambria Math" w:hAnsi="Cambria Math"/>
            <w:lang w:val="nl-NL"/>
          </w:rPr>
          <m:t>node</m:t>
        </m:r>
        <m:r>
          <w:rPr>
            <w:rFonts w:ascii="Cambria Math" w:hAnsi="Cambria Math"/>
          </w:rPr>
          <m:t>=</m:t>
        </m:r>
        <m:sSup>
          <m:sSupPr>
            <m:ctrlPr>
              <w:rPr>
                <w:rFonts w:ascii="Cambria Math" w:hAnsi="Cambria Math"/>
                <w:i/>
                <w:lang w:val="nl-NL"/>
              </w:rPr>
            </m:ctrlPr>
          </m:sSupPr>
          <m:e>
            <m:d>
              <m:dPr>
                <m:ctrlPr>
                  <w:rPr>
                    <w:rFonts w:ascii="Cambria Math" w:hAnsi="Cambria Math"/>
                    <w:i/>
                    <w:lang w:val="nl-NL"/>
                  </w:rPr>
                </m:ctrlPr>
              </m:dPr>
              <m:e>
                <m:r>
                  <w:rPr>
                    <w:rFonts w:ascii="Cambria Math" w:hAnsi="Cambria Math"/>
                  </w:rPr>
                  <m:t>3÷5</m:t>
                </m:r>
              </m:e>
            </m:d>
          </m:e>
          <m:sup>
            <m:r>
              <w:rPr>
                <w:rFonts w:ascii="Cambria Math" w:hAnsi="Cambria Math"/>
              </w:rPr>
              <m:t>.</m:t>
            </m:r>
          </m:sup>
        </m:sSup>
        <m:r>
          <w:rPr>
            <w:rFonts w:ascii="Cambria Math" w:hAnsi="Cambria Math"/>
            <w:lang w:val="nl-NL"/>
          </w:rPr>
          <m:t>R</m:t>
        </m:r>
        <m:r>
          <w:rPr>
            <w:rFonts w:ascii="Cambria Math" w:hAnsi="Cambria Math"/>
          </w:rPr>
          <m:t>_</m:t>
        </m:r>
        <m:r>
          <w:rPr>
            <w:rFonts w:ascii="Cambria Math" w:hAnsi="Cambria Math"/>
            <w:lang w:val="nl-NL"/>
          </w:rPr>
          <m:t>strut</m:t>
        </m:r>
      </m:oMath>
      <w:r w:rsidR="00611573" w:rsidRPr="00C05D88">
        <w:rPr>
          <w:rFonts w:eastAsiaTheme="minorEastAsia"/>
        </w:rPr>
        <w:t>.</w:t>
      </w:r>
    </w:p>
    <w:p w14:paraId="7F16F5FC" w14:textId="20332A78" w:rsidR="00954E0A" w:rsidRDefault="00603F78" w:rsidP="000A5BF2">
      <w:pPr>
        <w:pStyle w:val="ListParagraph"/>
        <w:numPr>
          <w:ilvl w:val="0"/>
          <w:numId w:val="1"/>
        </w:numPr>
      </w:pPr>
      <m:oMath>
        <m:r>
          <w:rPr>
            <w:rFonts w:ascii="Cambria Math" w:hAnsi="Cambria Math"/>
          </w:rPr>
          <w:lastRenderedPageBreak/>
          <m:t>Iter</m:t>
        </m:r>
      </m:oMath>
      <w:r w:rsidR="00954E0A">
        <w:t>:</w:t>
      </w:r>
      <w:r w:rsidR="00003BDC">
        <w:t xml:space="preserve"> number of iterations for the Voronoi </w:t>
      </w:r>
      <w:r w:rsidR="0099336F">
        <w:t xml:space="preserve">tessellation. </w:t>
      </w:r>
      <w:r w:rsidR="0099336F">
        <w:rPr>
          <w:b/>
          <w:bCs/>
        </w:rPr>
        <w:t>Tip:</w:t>
      </w:r>
      <w:r w:rsidR="0099336F">
        <w:t xml:space="preserve"> 1 is good.</w:t>
      </w:r>
    </w:p>
    <w:p w14:paraId="5103E263" w14:textId="47278695" w:rsidR="00954E0A" w:rsidRDefault="00EC5461" w:rsidP="000A5BF2">
      <w:pPr>
        <w:pStyle w:val="ListParagraph"/>
        <w:numPr>
          <w:ilvl w:val="0"/>
          <w:numId w:val="1"/>
        </w:numPr>
      </w:pPr>
      <m:oMath>
        <m:r>
          <w:rPr>
            <w:rFonts w:ascii="Cambria Math" w:hAnsi="Cambria Math"/>
          </w:rPr>
          <m:t>Operation</m:t>
        </m:r>
      </m:oMath>
      <w:r w:rsidR="00954E0A">
        <w:t>: type of morphological operation. Generally closing.</w:t>
      </w:r>
    </w:p>
    <w:p w14:paraId="64D3385D" w14:textId="768ACA3E" w:rsidR="00954E0A" w:rsidRDefault="00603F78" w:rsidP="000A5BF2">
      <w:pPr>
        <w:pStyle w:val="ListParagraph"/>
        <w:numPr>
          <w:ilvl w:val="0"/>
          <w:numId w:val="1"/>
        </w:numPr>
      </w:pPr>
      <m:oMath>
        <m:r>
          <w:rPr>
            <w:rFonts w:ascii="Cambria Math" w:hAnsi="Cambria Math"/>
          </w:rPr>
          <m:t>tv</m:t>
        </m:r>
      </m:oMath>
      <w:r w:rsidR="00954E0A">
        <w:t>: voxel size for the chosen morphological operation</w:t>
      </w:r>
      <w:r w:rsidR="00611573">
        <w:t>.</w:t>
      </w:r>
    </w:p>
    <w:p w14:paraId="16E0653E" w14:textId="457DA742" w:rsidR="00954E0A" w:rsidRDefault="00603F78" w:rsidP="000A5BF2">
      <w:pPr>
        <w:pStyle w:val="ListParagraph"/>
        <w:numPr>
          <w:ilvl w:val="0"/>
          <w:numId w:val="1"/>
        </w:numPr>
      </w:pPr>
      <m:oMath>
        <m:r>
          <w:rPr>
            <w:rFonts w:ascii="Cambria Math" w:hAnsi="Cambria Math"/>
          </w:rPr>
          <m:t>vx_res</m:t>
        </m:r>
      </m:oMath>
      <w:r w:rsidR="00954E0A">
        <w:t>: voxel resolution</w:t>
      </w:r>
      <w:r w:rsidR="00611573">
        <w:t>.</w:t>
      </w:r>
    </w:p>
    <w:p w14:paraId="263FB716" w14:textId="0C108017" w:rsidR="00FB6718" w:rsidRDefault="00FB6718" w:rsidP="002E5AA0">
      <w:pPr>
        <w:ind w:left="720"/>
      </w:pPr>
      <w:r>
        <w:t xml:space="preserve">Good </w:t>
      </w:r>
      <w:r w:rsidR="00CF1BFD">
        <w:t>parameters</w:t>
      </w:r>
      <w:r>
        <w:t xml:space="preserve"> to start</w:t>
      </w:r>
      <w:r w:rsidR="00344C7E">
        <w:t xml:space="preserve"> with</w:t>
      </w:r>
      <w:r>
        <w:t>:</w:t>
      </w:r>
    </w:p>
    <w:tbl>
      <w:tblPr>
        <w:tblStyle w:val="TableGrid"/>
        <w:tblW w:w="0" w:type="auto"/>
        <w:jc w:val="center"/>
        <w:tblLook w:val="04A0" w:firstRow="1" w:lastRow="0" w:firstColumn="1" w:lastColumn="0" w:noHBand="0" w:noVBand="1"/>
      </w:tblPr>
      <w:tblGrid>
        <w:gridCol w:w="1228"/>
        <w:gridCol w:w="1101"/>
        <w:gridCol w:w="832"/>
      </w:tblGrid>
      <w:tr w:rsidR="006E7BA1" w:rsidRPr="00EC5461" w14:paraId="13DDE2A1" w14:textId="77777777" w:rsidTr="007D7950">
        <w:trPr>
          <w:jc w:val="center"/>
        </w:trPr>
        <w:tc>
          <w:tcPr>
            <w:tcW w:w="0" w:type="auto"/>
          </w:tcPr>
          <w:p w14:paraId="6103808E" w14:textId="77777777" w:rsidR="006E7BA1" w:rsidRPr="00EC5461" w:rsidRDefault="006E7BA1" w:rsidP="00965DFC">
            <w:pPr>
              <w:jc w:val="center"/>
              <w:rPr>
                <w:rFonts w:cstheme="minorHAnsi"/>
                <w:b/>
                <w:lang w:val="en-US"/>
              </w:rPr>
            </w:pPr>
            <w:r w:rsidRPr="00EC5461">
              <w:rPr>
                <w:rFonts w:cstheme="minorHAnsi"/>
                <w:b/>
                <w:lang w:val="en-US"/>
              </w:rPr>
              <w:t>Parameter</w:t>
            </w:r>
          </w:p>
        </w:tc>
        <w:tc>
          <w:tcPr>
            <w:tcW w:w="0" w:type="auto"/>
          </w:tcPr>
          <w:p w14:paraId="305068D3" w14:textId="0709EC35" w:rsidR="006E7BA1" w:rsidRPr="00EC5461" w:rsidRDefault="006E7BA1" w:rsidP="00965DFC">
            <w:pPr>
              <w:jc w:val="center"/>
              <w:rPr>
                <w:rFonts w:cstheme="minorHAnsi"/>
                <w:b/>
              </w:rPr>
            </w:pPr>
            <w:r>
              <w:rPr>
                <w:rFonts w:cstheme="minorHAnsi"/>
                <w:b/>
              </w:rPr>
              <w:t>Unit</w:t>
            </w:r>
          </w:p>
        </w:tc>
        <w:tc>
          <w:tcPr>
            <w:tcW w:w="0" w:type="auto"/>
          </w:tcPr>
          <w:p w14:paraId="4C8B3786" w14:textId="549D4442" w:rsidR="006E7BA1" w:rsidRPr="00EC5461" w:rsidRDefault="006E7BA1" w:rsidP="00965DFC">
            <w:pPr>
              <w:jc w:val="center"/>
              <w:rPr>
                <w:rFonts w:cstheme="minorHAnsi"/>
                <w:b/>
                <w:lang w:val="en-US"/>
              </w:rPr>
            </w:pPr>
            <w:r w:rsidRPr="00EC5461">
              <w:rPr>
                <w:rFonts w:cstheme="minorHAnsi"/>
                <w:b/>
                <w:lang w:val="en-US"/>
              </w:rPr>
              <w:t>Value</w:t>
            </w:r>
          </w:p>
        </w:tc>
      </w:tr>
      <w:tr w:rsidR="006E7BA1" w:rsidRPr="00EC5461" w14:paraId="2AC71155" w14:textId="77777777" w:rsidTr="007D7950">
        <w:trPr>
          <w:jc w:val="center"/>
        </w:trPr>
        <w:tc>
          <w:tcPr>
            <w:tcW w:w="0" w:type="auto"/>
          </w:tcPr>
          <w:p w14:paraId="424BF0E3" w14:textId="583DF03E" w:rsidR="006E7BA1" w:rsidRPr="00EC5461" w:rsidRDefault="006E7BA1" w:rsidP="00965DFC">
            <w:pPr>
              <w:jc w:val="center"/>
              <w:rPr>
                <w:rFonts w:cstheme="minorHAnsi"/>
                <w:bCs/>
                <w:lang w:val="en-US"/>
              </w:rPr>
            </w:pPr>
            <m:oMathPara>
              <m:oMath>
                <m:r>
                  <w:rPr>
                    <w:rFonts w:ascii="Cambria Math" w:hAnsi="Cambria Math" w:cstheme="minorHAnsi"/>
                  </w:rPr>
                  <m:t>NB</m:t>
                </m:r>
              </m:oMath>
            </m:oMathPara>
          </w:p>
        </w:tc>
        <w:tc>
          <w:tcPr>
            <w:tcW w:w="0" w:type="auto"/>
          </w:tcPr>
          <w:p w14:paraId="0F075D0D" w14:textId="3DD2CCD1" w:rsidR="006E7BA1" w:rsidRPr="00EC5461" w:rsidRDefault="006E7BA1" w:rsidP="00965DFC">
            <w:pPr>
              <w:jc w:val="center"/>
              <w:rPr>
                <w:rFonts w:cstheme="minorHAnsi"/>
                <w:bCs/>
              </w:rPr>
            </w:pPr>
            <m:oMathPara>
              <m:oMath>
                <m:r>
                  <w:rPr>
                    <w:rFonts w:ascii="Cambria Math" w:hAnsi="Cambria Math" w:cstheme="minorHAnsi"/>
                  </w:rPr>
                  <m:t>-</m:t>
                </m:r>
              </m:oMath>
            </m:oMathPara>
          </w:p>
        </w:tc>
        <w:tc>
          <w:tcPr>
            <w:tcW w:w="0" w:type="auto"/>
          </w:tcPr>
          <w:p w14:paraId="1D24E08C" w14:textId="3028245A" w:rsidR="006E7BA1" w:rsidRPr="00EC5461" w:rsidRDefault="006E7BA1" w:rsidP="00965DFC">
            <w:pPr>
              <w:jc w:val="center"/>
              <w:rPr>
                <w:rFonts w:cstheme="minorHAnsi"/>
                <w:bCs/>
                <w:lang w:val="en-US"/>
              </w:rPr>
            </w:pPr>
            <w:r w:rsidRPr="00EC5461">
              <w:rPr>
                <w:rFonts w:cstheme="minorHAnsi"/>
                <w:bCs/>
                <w:lang w:val="en-US"/>
              </w:rPr>
              <w:t>380</w:t>
            </w:r>
          </w:p>
        </w:tc>
      </w:tr>
      <w:tr w:rsidR="006E7BA1" w:rsidRPr="00EC5461" w14:paraId="327D43AB" w14:textId="77777777" w:rsidTr="007D7950">
        <w:trPr>
          <w:jc w:val="center"/>
        </w:trPr>
        <w:tc>
          <w:tcPr>
            <w:tcW w:w="0" w:type="auto"/>
          </w:tcPr>
          <w:p w14:paraId="31F0C5BE" w14:textId="79CA967B" w:rsidR="006E7BA1" w:rsidRPr="00EC5461" w:rsidRDefault="006E7BA1" w:rsidP="00965DFC">
            <w:pPr>
              <w:jc w:val="center"/>
              <w:rPr>
                <w:rFonts w:cstheme="minorHAnsi"/>
                <w:bCs/>
                <w:lang w:val="en-US"/>
              </w:rPr>
            </w:pPr>
            <m:oMathPara>
              <m:oMath>
                <m:r>
                  <w:rPr>
                    <w:rFonts w:ascii="Cambria Math" w:hAnsi="Cambria Math" w:cstheme="minorHAnsi"/>
                  </w:rPr>
                  <m:t>Alpha</m:t>
                </m:r>
              </m:oMath>
            </m:oMathPara>
          </w:p>
        </w:tc>
        <w:tc>
          <w:tcPr>
            <w:tcW w:w="0" w:type="auto"/>
          </w:tcPr>
          <w:p w14:paraId="25C7F921" w14:textId="43F2D67D" w:rsidR="006E7BA1" w:rsidRPr="00EC5461" w:rsidRDefault="006E7BA1" w:rsidP="00965DFC">
            <w:pPr>
              <w:jc w:val="center"/>
              <w:rPr>
                <w:rFonts w:cstheme="minorHAnsi"/>
                <w:bCs/>
              </w:rPr>
            </w:pPr>
            <m:oMathPara>
              <m:oMath>
                <m:r>
                  <w:rPr>
                    <w:rFonts w:ascii="Cambria Math" w:hAnsi="Cambria Math" w:cstheme="minorHAnsi"/>
                  </w:rPr>
                  <m:t>-</m:t>
                </m:r>
              </m:oMath>
            </m:oMathPara>
          </w:p>
        </w:tc>
        <w:tc>
          <w:tcPr>
            <w:tcW w:w="0" w:type="auto"/>
          </w:tcPr>
          <w:p w14:paraId="0C123B65" w14:textId="55CFF3C7" w:rsidR="006E7BA1" w:rsidRPr="00EC5461" w:rsidRDefault="006E7BA1" w:rsidP="00965DFC">
            <w:pPr>
              <w:jc w:val="center"/>
              <w:rPr>
                <w:rFonts w:cstheme="minorHAnsi"/>
                <w:bCs/>
                <w:lang w:val="en-US"/>
              </w:rPr>
            </w:pPr>
            <w:r w:rsidRPr="00EC5461">
              <w:rPr>
                <w:rFonts w:cstheme="minorHAnsi"/>
                <w:bCs/>
                <w:lang w:val="en-US"/>
              </w:rPr>
              <w:t>25</w:t>
            </w:r>
          </w:p>
        </w:tc>
      </w:tr>
      <w:tr w:rsidR="006E7BA1" w:rsidRPr="00EC5461" w14:paraId="7DBD406C" w14:textId="77777777" w:rsidTr="007D7950">
        <w:trPr>
          <w:jc w:val="center"/>
        </w:trPr>
        <w:tc>
          <w:tcPr>
            <w:tcW w:w="0" w:type="auto"/>
          </w:tcPr>
          <w:p w14:paraId="0A99D6E2" w14:textId="1E478C26" w:rsidR="006E7BA1" w:rsidRPr="00EC5461" w:rsidRDefault="006E7BA1" w:rsidP="00965DFC">
            <w:pPr>
              <w:jc w:val="center"/>
              <w:rPr>
                <w:rFonts w:cstheme="minorHAnsi"/>
                <w:bCs/>
                <w:lang w:val="en-US"/>
              </w:rPr>
            </w:pPr>
            <m:oMathPara>
              <m:oMath>
                <m:r>
                  <w:rPr>
                    <w:rFonts w:ascii="Cambria Math" w:hAnsi="Cambria Math" w:cstheme="minorHAnsi"/>
                  </w:rPr>
                  <m:t>Beta</m:t>
                </m:r>
              </m:oMath>
            </m:oMathPara>
          </w:p>
        </w:tc>
        <w:tc>
          <w:tcPr>
            <w:tcW w:w="0" w:type="auto"/>
          </w:tcPr>
          <w:p w14:paraId="22E7C8FA" w14:textId="22EB64F7" w:rsidR="006E7BA1" w:rsidRDefault="006E7BA1" w:rsidP="00965DFC">
            <w:pPr>
              <w:jc w:val="center"/>
              <w:rPr>
                <w:rFonts w:cstheme="minorHAnsi"/>
                <w:bCs/>
              </w:rPr>
            </w:pPr>
            <m:oMathPara>
              <m:oMath>
                <m:r>
                  <w:rPr>
                    <w:rFonts w:ascii="Cambria Math" w:hAnsi="Cambria Math" w:cstheme="minorHAnsi"/>
                  </w:rPr>
                  <m:t>-</m:t>
                </m:r>
              </m:oMath>
            </m:oMathPara>
          </w:p>
        </w:tc>
        <w:tc>
          <w:tcPr>
            <w:tcW w:w="0" w:type="auto"/>
          </w:tcPr>
          <w:p w14:paraId="7523E962" w14:textId="4DE69B7C" w:rsidR="006E7BA1" w:rsidRPr="00EC5461" w:rsidRDefault="006E7BA1" w:rsidP="00965DFC">
            <w:pPr>
              <w:jc w:val="center"/>
              <w:rPr>
                <w:rFonts w:cstheme="minorHAnsi"/>
                <w:bCs/>
                <w:lang w:val="en-US"/>
              </w:rPr>
            </w:pPr>
            <w:r>
              <w:rPr>
                <w:rFonts w:cstheme="minorHAnsi"/>
                <w:bCs/>
                <w:lang w:val="en-US"/>
              </w:rPr>
              <w:t>0.55</w:t>
            </w:r>
          </w:p>
        </w:tc>
      </w:tr>
      <w:tr w:rsidR="006E7BA1" w:rsidRPr="00EC5461" w14:paraId="2C7352C1" w14:textId="77777777" w:rsidTr="007D7950">
        <w:trPr>
          <w:jc w:val="center"/>
        </w:trPr>
        <w:tc>
          <w:tcPr>
            <w:tcW w:w="0" w:type="auto"/>
          </w:tcPr>
          <w:p w14:paraId="605D57C2" w14:textId="54A46305" w:rsidR="006E7BA1" w:rsidRPr="00EC5461" w:rsidRDefault="006E7BA1" w:rsidP="00965DFC">
            <w:pPr>
              <w:jc w:val="center"/>
              <w:rPr>
                <w:rFonts w:cstheme="minorHAnsi"/>
                <w:bCs/>
                <w:lang w:val="en-US"/>
              </w:rPr>
            </w:pPr>
            <m:oMathPara>
              <m:oMath>
                <m:r>
                  <w:rPr>
                    <w:rFonts w:ascii="Cambria Math" w:hAnsi="Cambria Math" w:cstheme="minorHAnsi"/>
                  </w:rPr>
                  <m:t>Repul</m:t>
                </m:r>
              </m:oMath>
            </m:oMathPara>
          </w:p>
        </w:tc>
        <w:tc>
          <w:tcPr>
            <w:tcW w:w="0" w:type="auto"/>
          </w:tcPr>
          <w:p w14:paraId="27C92CA3" w14:textId="7DCB9853" w:rsidR="006E7BA1" w:rsidRDefault="006E7BA1" w:rsidP="00965DFC">
            <w:pPr>
              <w:jc w:val="center"/>
              <w:rPr>
                <w:rFonts w:cstheme="minorHAnsi"/>
                <w:bCs/>
              </w:rPr>
            </w:pPr>
            <m:oMathPara>
              <m:oMath>
                <m:r>
                  <w:rPr>
                    <w:rFonts w:ascii="Cambria Math" w:hAnsi="Cambria Math" w:cstheme="minorHAnsi"/>
                  </w:rPr>
                  <m:t>-</m:t>
                </m:r>
              </m:oMath>
            </m:oMathPara>
          </w:p>
        </w:tc>
        <w:tc>
          <w:tcPr>
            <w:tcW w:w="0" w:type="auto"/>
          </w:tcPr>
          <w:p w14:paraId="301EE63C" w14:textId="1F44A70C" w:rsidR="006E7BA1" w:rsidRPr="00EC5461" w:rsidRDefault="006E7BA1" w:rsidP="00965DFC">
            <w:pPr>
              <w:jc w:val="center"/>
              <w:rPr>
                <w:rFonts w:cstheme="minorHAnsi"/>
                <w:bCs/>
                <w:lang w:val="en-US"/>
              </w:rPr>
            </w:pPr>
            <w:r>
              <w:rPr>
                <w:rFonts w:cstheme="minorHAnsi"/>
                <w:bCs/>
                <w:lang w:val="en-US"/>
              </w:rPr>
              <w:t>0.75</w:t>
            </w:r>
          </w:p>
        </w:tc>
      </w:tr>
      <w:tr w:rsidR="006E7BA1" w:rsidRPr="00EC5461" w14:paraId="1FFADCCA" w14:textId="77777777" w:rsidTr="007D7950">
        <w:trPr>
          <w:jc w:val="center"/>
        </w:trPr>
        <w:tc>
          <w:tcPr>
            <w:tcW w:w="0" w:type="auto"/>
          </w:tcPr>
          <w:p w14:paraId="5F3A907A" w14:textId="131FC346" w:rsidR="006E7BA1" w:rsidRPr="00EC5461" w:rsidRDefault="006E7BA1" w:rsidP="00965DFC">
            <w:pPr>
              <w:jc w:val="center"/>
              <w:rPr>
                <w:rFonts w:cstheme="minorHAnsi"/>
                <w:bCs/>
                <w:lang w:val="en-US"/>
              </w:rPr>
            </w:pPr>
            <m:oMathPara>
              <m:oMath>
                <m:r>
                  <w:rPr>
                    <w:rFonts w:ascii="Cambria Math" w:hAnsi="Cambria Math"/>
                  </w:rPr>
                  <m:t>R</m:t>
                </m:r>
              </m:oMath>
            </m:oMathPara>
          </w:p>
        </w:tc>
        <w:tc>
          <w:tcPr>
            <w:tcW w:w="0" w:type="auto"/>
          </w:tcPr>
          <w:p w14:paraId="00A37224" w14:textId="2A45AB46" w:rsidR="006E7BA1" w:rsidRDefault="003609F5" w:rsidP="00965DFC">
            <w:pPr>
              <w:jc w:val="center"/>
              <w:rPr>
                <w:rFonts w:cstheme="minorHAnsi"/>
                <w:bCs/>
              </w:rPr>
            </w:pPr>
            <m:oMathPara>
              <m:oMath>
                <m:r>
                  <w:rPr>
                    <w:rFonts w:ascii="Cambria Math" w:hAnsi="Cambria Math" w:cstheme="minorHAnsi"/>
                  </w:rPr>
                  <m:t>voxel</m:t>
                </m:r>
              </m:oMath>
            </m:oMathPara>
          </w:p>
        </w:tc>
        <w:tc>
          <w:tcPr>
            <w:tcW w:w="0" w:type="auto"/>
          </w:tcPr>
          <w:p w14:paraId="060F9CB1" w14:textId="6C1BC6B8" w:rsidR="006E7BA1" w:rsidRPr="00EC5461" w:rsidRDefault="006E7BA1" w:rsidP="00965DFC">
            <w:pPr>
              <w:jc w:val="center"/>
              <w:rPr>
                <w:rFonts w:cstheme="minorHAnsi"/>
                <w:bCs/>
                <w:lang w:val="en-US"/>
              </w:rPr>
            </w:pPr>
            <w:r>
              <w:rPr>
                <w:rFonts w:cstheme="minorHAnsi"/>
                <w:bCs/>
                <w:lang w:val="en-US"/>
              </w:rPr>
              <w:t>25</w:t>
            </w:r>
          </w:p>
        </w:tc>
      </w:tr>
      <w:tr w:rsidR="006E7BA1" w:rsidRPr="00EC5461" w14:paraId="579AE2C1" w14:textId="77777777" w:rsidTr="007D7950">
        <w:trPr>
          <w:jc w:val="center"/>
        </w:trPr>
        <w:tc>
          <w:tcPr>
            <w:tcW w:w="0" w:type="auto"/>
          </w:tcPr>
          <w:p w14:paraId="75F4E47B" w14:textId="4D04E8D7" w:rsidR="006E7BA1" w:rsidRPr="00EC5461" w:rsidRDefault="006E7BA1" w:rsidP="00965DFC">
            <w:pPr>
              <w:jc w:val="center"/>
              <w:rPr>
                <w:rFonts w:cstheme="minorHAnsi"/>
                <w:bCs/>
                <w:lang w:val="en-US"/>
              </w:rPr>
            </w:pPr>
            <m:oMathPara>
              <m:oMath>
                <m:r>
                  <w:rPr>
                    <w:rFonts w:ascii="Cambria Math" w:hAnsi="Cambria Math"/>
                  </w:rPr>
                  <m:t>W</m:t>
                </m:r>
              </m:oMath>
            </m:oMathPara>
          </w:p>
        </w:tc>
        <w:tc>
          <w:tcPr>
            <w:tcW w:w="0" w:type="auto"/>
          </w:tcPr>
          <w:p w14:paraId="10EE4F41" w14:textId="6B4E0571" w:rsidR="006E7BA1" w:rsidRDefault="003609F5" w:rsidP="00965DFC">
            <w:pPr>
              <w:jc w:val="center"/>
              <w:rPr>
                <w:rFonts w:cstheme="minorHAnsi"/>
                <w:bCs/>
              </w:rPr>
            </w:pPr>
            <m:oMathPara>
              <m:oMath>
                <m:r>
                  <w:rPr>
                    <w:rFonts w:ascii="Cambria Math" w:hAnsi="Cambria Math" w:cstheme="minorHAnsi"/>
                  </w:rPr>
                  <m:t>voxel</m:t>
                </m:r>
              </m:oMath>
            </m:oMathPara>
          </w:p>
        </w:tc>
        <w:tc>
          <w:tcPr>
            <w:tcW w:w="0" w:type="auto"/>
          </w:tcPr>
          <w:p w14:paraId="24D6983B" w14:textId="72C1D3FC" w:rsidR="006E7BA1" w:rsidRPr="00EC5461" w:rsidRDefault="006E7BA1" w:rsidP="00965DFC">
            <w:pPr>
              <w:jc w:val="center"/>
              <w:rPr>
                <w:rFonts w:cstheme="minorHAnsi"/>
                <w:bCs/>
                <w:lang w:val="en-US"/>
              </w:rPr>
            </w:pPr>
            <w:r>
              <w:rPr>
                <w:rFonts w:cstheme="minorHAnsi"/>
                <w:bCs/>
                <w:lang w:val="en-US"/>
              </w:rPr>
              <w:t>420</w:t>
            </w:r>
          </w:p>
        </w:tc>
      </w:tr>
      <w:tr w:rsidR="006E7BA1" w:rsidRPr="00EC5461" w14:paraId="14C47990" w14:textId="77777777" w:rsidTr="007D7950">
        <w:trPr>
          <w:jc w:val="center"/>
        </w:trPr>
        <w:tc>
          <w:tcPr>
            <w:tcW w:w="0" w:type="auto"/>
          </w:tcPr>
          <w:p w14:paraId="6BF9DF5A" w14:textId="664CA5C5" w:rsidR="006E7BA1" w:rsidRPr="00EC5461" w:rsidRDefault="006E7BA1" w:rsidP="00965DFC">
            <w:pPr>
              <w:jc w:val="center"/>
              <w:rPr>
                <w:rFonts w:cstheme="minorHAnsi"/>
                <w:bCs/>
                <w:lang w:val="en-US"/>
              </w:rPr>
            </w:pPr>
            <m:oMathPara>
              <m:oMath>
                <m:r>
                  <w:rPr>
                    <w:rFonts w:ascii="Cambria Math" w:hAnsi="Cambria Math"/>
                  </w:rPr>
                  <m:t>R_node</m:t>
                </m:r>
              </m:oMath>
            </m:oMathPara>
          </w:p>
        </w:tc>
        <w:tc>
          <w:tcPr>
            <w:tcW w:w="0" w:type="auto"/>
          </w:tcPr>
          <w:p w14:paraId="1757F51B" w14:textId="29D999C6" w:rsidR="006E7BA1" w:rsidRDefault="00F876CF" w:rsidP="00965DFC">
            <w:pPr>
              <w:jc w:val="center"/>
              <w:rPr>
                <w:rFonts w:cstheme="minorHAnsi"/>
                <w:bCs/>
              </w:rPr>
            </w:pPr>
            <m:oMathPara>
              <m:oMath>
                <m:r>
                  <w:rPr>
                    <w:rFonts w:ascii="Cambria Math" w:hAnsi="Cambria Math" w:cstheme="minorHAnsi"/>
                  </w:rPr>
                  <m:t>voxel</m:t>
                </m:r>
              </m:oMath>
            </m:oMathPara>
          </w:p>
        </w:tc>
        <w:tc>
          <w:tcPr>
            <w:tcW w:w="0" w:type="auto"/>
          </w:tcPr>
          <w:p w14:paraId="0035387B" w14:textId="301456F0" w:rsidR="006E7BA1" w:rsidRPr="00EC5461" w:rsidRDefault="006E7BA1" w:rsidP="00965DFC">
            <w:pPr>
              <w:jc w:val="center"/>
              <w:rPr>
                <w:rFonts w:cstheme="minorHAnsi"/>
                <w:bCs/>
                <w:lang w:val="en-US"/>
              </w:rPr>
            </w:pPr>
            <w:r>
              <w:rPr>
                <w:rFonts w:cstheme="minorHAnsi"/>
                <w:bCs/>
                <w:lang w:val="en-US"/>
              </w:rPr>
              <w:t>12</w:t>
            </w:r>
          </w:p>
        </w:tc>
      </w:tr>
      <w:tr w:rsidR="006E7BA1" w:rsidRPr="00EC5461" w14:paraId="6A8AC1D0" w14:textId="77777777" w:rsidTr="007D7950">
        <w:trPr>
          <w:jc w:val="center"/>
        </w:trPr>
        <w:tc>
          <w:tcPr>
            <w:tcW w:w="0" w:type="auto"/>
          </w:tcPr>
          <w:p w14:paraId="36208B52" w14:textId="549AC916" w:rsidR="006E7BA1" w:rsidRPr="00EC5461" w:rsidRDefault="006E7BA1" w:rsidP="00965DFC">
            <w:pPr>
              <w:jc w:val="center"/>
              <w:rPr>
                <w:rFonts w:cstheme="minorHAnsi"/>
                <w:bCs/>
              </w:rPr>
            </w:pPr>
            <m:oMathPara>
              <m:oMath>
                <m:r>
                  <w:rPr>
                    <w:rFonts w:ascii="Cambria Math" w:hAnsi="Cambria Math"/>
                    <w:lang w:val="de-DE"/>
                  </w:rPr>
                  <m:t>R_strut</m:t>
                </m:r>
              </m:oMath>
            </m:oMathPara>
          </w:p>
        </w:tc>
        <w:tc>
          <w:tcPr>
            <w:tcW w:w="0" w:type="auto"/>
          </w:tcPr>
          <w:p w14:paraId="34414EE4" w14:textId="52310F45" w:rsidR="006E7BA1" w:rsidRDefault="00F876CF" w:rsidP="00965DFC">
            <w:pPr>
              <w:jc w:val="center"/>
              <w:rPr>
                <w:rFonts w:cstheme="minorHAnsi"/>
                <w:bCs/>
              </w:rPr>
            </w:pPr>
            <m:oMathPara>
              <m:oMath>
                <m:r>
                  <w:rPr>
                    <w:rFonts w:ascii="Cambria Math" w:hAnsi="Cambria Math" w:cstheme="minorHAnsi"/>
                  </w:rPr>
                  <m:t>voxel</m:t>
                </m:r>
              </m:oMath>
            </m:oMathPara>
          </w:p>
        </w:tc>
        <w:tc>
          <w:tcPr>
            <w:tcW w:w="0" w:type="auto"/>
          </w:tcPr>
          <w:p w14:paraId="198DA8A0" w14:textId="58439894" w:rsidR="006E7BA1" w:rsidRPr="00EC5461" w:rsidRDefault="006E7BA1" w:rsidP="00965DFC">
            <w:pPr>
              <w:jc w:val="center"/>
              <w:rPr>
                <w:rFonts w:cstheme="minorHAnsi"/>
                <w:bCs/>
              </w:rPr>
            </w:pPr>
            <w:r>
              <w:rPr>
                <w:rFonts w:cstheme="minorHAnsi"/>
                <w:bCs/>
              </w:rPr>
              <w:t>4</w:t>
            </w:r>
          </w:p>
        </w:tc>
      </w:tr>
      <w:tr w:rsidR="006E7BA1" w:rsidRPr="00EC5461" w14:paraId="74A6F834" w14:textId="77777777" w:rsidTr="007D7950">
        <w:trPr>
          <w:jc w:val="center"/>
        </w:trPr>
        <w:tc>
          <w:tcPr>
            <w:tcW w:w="0" w:type="auto"/>
          </w:tcPr>
          <w:p w14:paraId="6009A00A" w14:textId="2FACA4DD" w:rsidR="006E7BA1" w:rsidRPr="00603F78" w:rsidRDefault="006E7BA1" w:rsidP="00965DFC">
            <w:pPr>
              <w:jc w:val="center"/>
              <w:rPr>
                <w:rFonts w:ascii="Calibri" w:eastAsia="Calibri" w:hAnsi="Calibri" w:cs="Calibri"/>
              </w:rPr>
            </w:pPr>
            <m:oMathPara>
              <m:oMath>
                <m:r>
                  <w:rPr>
                    <w:rFonts w:ascii="Cambria Math" w:hAnsi="Cambria Math"/>
                  </w:rPr>
                  <m:t>Operation</m:t>
                </m:r>
              </m:oMath>
            </m:oMathPara>
          </w:p>
        </w:tc>
        <w:tc>
          <w:tcPr>
            <w:tcW w:w="0" w:type="auto"/>
          </w:tcPr>
          <w:p w14:paraId="1B3C3885" w14:textId="7F7C1692" w:rsidR="006E7BA1" w:rsidRDefault="00F876CF" w:rsidP="00965DFC">
            <w:pPr>
              <w:jc w:val="center"/>
              <w:rPr>
                <w:rFonts w:cstheme="minorHAnsi"/>
                <w:bCs/>
              </w:rPr>
            </w:pPr>
            <m:oMathPara>
              <m:oMath>
                <m:r>
                  <w:rPr>
                    <w:rFonts w:ascii="Cambria Math" w:hAnsi="Cambria Math" w:cstheme="minorHAnsi"/>
                  </w:rPr>
                  <m:t>-</m:t>
                </m:r>
              </m:oMath>
            </m:oMathPara>
          </w:p>
        </w:tc>
        <w:tc>
          <w:tcPr>
            <w:tcW w:w="0" w:type="auto"/>
          </w:tcPr>
          <w:p w14:paraId="6C4D82FC" w14:textId="26B57AFE" w:rsidR="006E7BA1" w:rsidRDefault="006E7BA1" w:rsidP="00965DFC">
            <w:pPr>
              <w:jc w:val="center"/>
              <w:rPr>
                <w:rFonts w:cstheme="minorHAnsi"/>
                <w:bCs/>
              </w:rPr>
            </w:pPr>
            <w:r>
              <w:rPr>
                <w:rFonts w:cstheme="minorHAnsi"/>
                <w:bCs/>
              </w:rPr>
              <w:t>closing</w:t>
            </w:r>
          </w:p>
        </w:tc>
      </w:tr>
      <w:tr w:rsidR="006E7BA1" w:rsidRPr="00EC5461" w14:paraId="484828A9" w14:textId="77777777" w:rsidTr="007D7950">
        <w:trPr>
          <w:jc w:val="center"/>
        </w:trPr>
        <w:tc>
          <w:tcPr>
            <w:tcW w:w="0" w:type="auto"/>
          </w:tcPr>
          <w:p w14:paraId="683A3189" w14:textId="500179AB" w:rsidR="006E7BA1" w:rsidRPr="00EC5461" w:rsidRDefault="006E7BA1" w:rsidP="00965DFC">
            <w:pPr>
              <w:jc w:val="center"/>
              <w:rPr>
                <w:rFonts w:cstheme="minorHAnsi"/>
                <w:bCs/>
              </w:rPr>
            </w:pPr>
            <m:oMathPara>
              <m:oMath>
                <m:r>
                  <w:rPr>
                    <w:rFonts w:ascii="Cambria Math" w:hAnsi="Cambria Math"/>
                  </w:rPr>
                  <m:t>Iter</m:t>
                </m:r>
              </m:oMath>
            </m:oMathPara>
          </w:p>
        </w:tc>
        <w:tc>
          <w:tcPr>
            <w:tcW w:w="0" w:type="auto"/>
          </w:tcPr>
          <w:p w14:paraId="24AB8B9C" w14:textId="676CD28E" w:rsidR="006E7BA1" w:rsidRDefault="00F876CF" w:rsidP="00965DFC">
            <w:pPr>
              <w:jc w:val="center"/>
              <w:rPr>
                <w:rFonts w:cstheme="minorHAnsi"/>
                <w:bCs/>
              </w:rPr>
            </w:pPr>
            <m:oMathPara>
              <m:oMath>
                <m:r>
                  <w:rPr>
                    <w:rFonts w:ascii="Cambria Math" w:hAnsi="Cambria Math" w:cstheme="minorHAnsi"/>
                  </w:rPr>
                  <m:t>-</m:t>
                </m:r>
              </m:oMath>
            </m:oMathPara>
          </w:p>
        </w:tc>
        <w:tc>
          <w:tcPr>
            <w:tcW w:w="0" w:type="auto"/>
          </w:tcPr>
          <w:p w14:paraId="1B8B40F8" w14:textId="36E90682" w:rsidR="006E7BA1" w:rsidRPr="00EC5461" w:rsidRDefault="006E7BA1" w:rsidP="00965DFC">
            <w:pPr>
              <w:jc w:val="center"/>
              <w:rPr>
                <w:rFonts w:cstheme="minorHAnsi"/>
                <w:bCs/>
              </w:rPr>
            </w:pPr>
            <w:r>
              <w:rPr>
                <w:rFonts w:cstheme="minorHAnsi"/>
                <w:bCs/>
              </w:rPr>
              <w:t>1</w:t>
            </w:r>
          </w:p>
        </w:tc>
      </w:tr>
      <w:tr w:rsidR="006E7BA1" w:rsidRPr="00EC5461" w14:paraId="36243D76" w14:textId="77777777" w:rsidTr="007D7950">
        <w:trPr>
          <w:jc w:val="center"/>
        </w:trPr>
        <w:tc>
          <w:tcPr>
            <w:tcW w:w="0" w:type="auto"/>
          </w:tcPr>
          <w:p w14:paraId="134CA893" w14:textId="3D1AF5F3" w:rsidR="006E7BA1" w:rsidRPr="00EC5461" w:rsidRDefault="006E7BA1" w:rsidP="00965DFC">
            <w:pPr>
              <w:jc w:val="center"/>
              <w:rPr>
                <w:rFonts w:cstheme="minorHAnsi"/>
                <w:bCs/>
              </w:rPr>
            </w:pPr>
            <m:oMathPara>
              <m:oMath>
                <m:r>
                  <w:rPr>
                    <w:rFonts w:ascii="Cambria Math" w:hAnsi="Cambria Math"/>
                  </w:rPr>
                  <m:t>tv</m:t>
                </m:r>
              </m:oMath>
            </m:oMathPara>
          </w:p>
        </w:tc>
        <w:tc>
          <w:tcPr>
            <w:tcW w:w="0" w:type="auto"/>
          </w:tcPr>
          <w:p w14:paraId="08560ECC" w14:textId="54D6723E" w:rsidR="006E7BA1" w:rsidRDefault="00F876CF" w:rsidP="00965DFC">
            <w:pPr>
              <w:jc w:val="center"/>
              <w:rPr>
                <w:rFonts w:cstheme="minorHAnsi"/>
                <w:bCs/>
              </w:rPr>
            </w:pPr>
            <m:oMathPara>
              <m:oMath>
                <m:r>
                  <w:rPr>
                    <w:rFonts w:ascii="Cambria Math" w:hAnsi="Cambria Math" w:cstheme="minorHAnsi"/>
                  </w:rPr>
                  <m:t>voxel</m:t>
                </m:r>
              </m:oMath>
            </m:oMathPara>
          </w:p>
        </w:tc>
        <w:tc>
          <w:tcPr>
            <w:tcW w:w="0" w:type="auto"/>
          </w:tcPr>
          <w:p w14:paraId="7EEBC652" w14:textId="56EACA0C" w:rsidR="006E7BA1" w:rsidRPr="00EC5461" w:rsidRDefault="006E7BA1" w:rsidP="00965DFC">
            <w:pPr>
              <w:jc w:val="center"/>
              <w:rPr>
                <w:rFonts w:cstheme="minorHAnsi"/>
                <w:bCs/>
              </w:rPr>
            </w:pPr>
            <w:r>
              <w:rPr>
                <w:rFonts w:cstheme="minorHAnsi"/>
                <w:bCs/>
              </w:rPr>
              <w:t>18</w:t>
            </w:r>
          </w:p>
        </w:tc>
      </w:tr>
      <w:tr w:rsidR="006E7BA1" w:rsidRPr="00EC5461" w14:paraId="2FBDA25D" w14:textId="77777777" w:rsidTr="007D7950">
        <w:trPr>
          <w:jc w:val="center"/>
        </w:trPr>
        <w:tc>
          <w:tcPr>
            <w:tcW w:w="0" w:type="auto"/>
          </w:tcPr>
          <w:p w14:paraId="2756B382" w14:textId="7940AFF9" w:rsidR="006E7BA1" w:rsidRPr="00EC5461" w:rsidRDefault="006E7BA1" w:rsidP="00965DFC">
            <w:pPr>
              <w:jc w:val="center"/>
              <w:rPr>
                <w:rFonts w:cstheme="minorHAnsi"/>
                <w:bCs/>
              </w:rPr>
            </w:pPr>
            <m:oMathPara>
              <m:oMath>
                <m:r>
                  <w:rPr>
                    <w:rFonts w:ascii="Cambria Math" w:hAnsi="Cambria Math"/>
                  </w:rPr>
                  <m:t>vx_res</m:t>
                </m:r>
              </m:oMath>
            </m:oMathPara>
          </w:p>
        </w:tc>
        <w:tc>
          <w:tcPr>
            <w:tcW w:w="0" w:type="auto"/>
          </w:tcPr>
          <w:p w14:paraId="3B078DCF" w14:textId="2EE297D2" w:rsidR="006E7BA1" w:rsidRDefault="00F876CF" w:rsidP="00965DFC">
            <w:pPr>
              <w:jc w:val="center"/>
              <w:rPr>
                <w:rFonts w:cstheme="minorHAnsi"/>
                <w:bCs/>
              </w:rPr>
            </w:pPr>
            <m:oMathPara>
              <m:oMath>
                <m:r>
                  <w:rPr>
                    <w:rFonts w:ascii="Cambria Math" w:hAnsi="Cambria Math" w:cstheme="minorHAnsi"/>
                  </w:rPr>
                  <m:t>m/ voxel</m:t>
                </m:r>
              </m:oMath>
            </m:oMathPara>
          </w:p>
        </w:tc>
        <w:tc>
          <w:tcPr>
            <w:tcW w:w="0" w:type="auto"/>
          </w:tcPr>
          <w:p w14:paraId="44313B52" w14:textId="7E87CE70" w:rsidR="006E7BA1" w:rsidRPr="00EC5461" w:rsidRDefault="006E7BA1" w:rsidP="00965DFC">
            <w:pPr>
              <w:jc w:val="center"/>
              <w:rPr>
                <w:rFonts w:cstheme="minorHAnsi"/>
                <w:bCs/>
              </w:rPr>
            </w:pPr>
            <w:r>
              <w:rPr>
                <w:rFonts w:cstheme="minorHAnsi"/>
                <w:bCs/>
              </w:rPr>
              <w:t>*</w:t>
            </w:r>
          </w:p>
        </w:tc>
      </w:tr>
    </w:tbl>
    <w:p w14:paraId="69B0321C" w14:textId="16259F5F" w:rsidR="000A5BF2" w:rsidRDefault="00965DFC" w:rsidP="00D75B86">
      <w:pPr>
        <w:jc w:val="center"/>
      </w:pPr>
      <w:r>
        <w:t>* Depend</w:t>
      </w:r>
      <w:r w:rsidR="00CF1BFD">
        <w:t>ing</w:t>
      </w:r>
      <w:r>
        <w:t xml:space="preserve"> on</w:t>
      </w:r>
      <w:r w:rsidR="00BA25B2">
        <w:t xml:space="preserve"> desired resolution</w:t>
      </w:r>
    </w:p>
    <w:p w14:paraId="5AF08C87" w14:textId="77777777" w:rsidR="00E26629" w:rsidRDefault="00954E0A" w:rsidP="002E5AA0">
      <w:pPr>
        <w:ind w:left="720"/>
      </w:pPr>
      <w:r>
        <w:t>Ti</w:t>
      </w:r>
      <w:r w:rsidR="00E26629">
        <w:t>ps</w:t>
      </w:r>
      <w:r>
        <w:t xml:space="preserve">: </w:t>
      </w:r>
    </w:p>
    <w:p w14:paraId="0F844883" w14:textId="1E8123D2" w:rsidR="00EC5461" w:rsidRDefault="00C57A0C" w:rsidP="002E5AA0">
      <w:pPr>
        <w:pStyle w:val="ListParagraph"/>
        <w:numPr>
          <w:ilvl w:val="0"/>
          <w:numId w:val="8"/>
        </w:numPr>
        <w:ind w:left="1440"/>
      </w:pPr>
      <w:r>
        <w:t>F</w:t>
      </w:r>
      <w:r w:rsidR="00EC5461">
        <w:t xml:space="preserve">or some initial </w:t>
      </w:r>
      <w:r w:rsidR="002B7EEC">
        <w:t>tests</w:t>
      </w:r>
      <w:r w:rsidR="00EC5461">
        <w:t xml:space="preserve">, you </w:t>
      </w:r>
      <w:r w:rsidR="002B7EEC">
        <w:t>can fix</w:t>
      </w:r>
      <w:r w:rsidR="00EC5461">
        <w:t xml:space="preserve"> some parameters and change others. For example, </w:t>
      </w:r>
      <w:r w:rsidR="007A7CE9" w:rsidRPr="007A7CE9">
        <w:t>if you have the density of spheres within the volume, fix the number of spheres</w:t>
      </w:r>
      <w:r w:rsidR="00EA4750">
        <w:t>.</w:t>
      </w:r>
    </w:p>
    <w:p w14:paraId="2FD76D36" w14:textId="1E593DAF" w:rsidR="00FB6718" w:rsidRDefault="00C57A0C" w:rsidP="002E5AA0">
      <w:pPr>
        <w:pStyle w:val="ListParagraph"/>
        <w:numPr>
          <w:ilvl w:val="0"/>
          <w:numId w:val="8"/>
        </w:numPr>
        <w:ind w:left="1440"/>
      </w:pPr>
      <w:r>
        <w:t>I</w:t>
      </w:r>
      <w:r w:rsidR="00FB6718">
        <w:t xml:space="preserve">f you need to increase </w:t>
      </w:r>
      <w:r w:rsidR="00EC5461">
        <w:t xml:space="preserve">/ decrease </w:t>
      </w:r>
      <w:r w:rsidR="00FB6718">
        <w:t>the porosity</w:t>
      </w:r>
      <w:r w:rsidR="00830B72">
        <w:t xml:space="preserve"> </w:t>
      </w:r>
      <m:oMath>
        <m:r>
          <w:rPr>
            <w:rFonts w:ascii="Cambria Math" w:hAnsi="Cambria Math"/>
          </w:rPr>
          <m:t>ε</m:t>
        </m:r>
      </m:oMath>
      <w:r w:rsidR="00FB6718">
        <w:t>, you can p</w:t>
      </w:r>
      <w:r w:rsidR="00830B72">
        <w:t>l</w:t>
      </w:r>
      <w:r w:rsidR="00FB6718">
        <w:t xml:space="preserve">ay </w:t>
      </w:r>
      <w:r w:rsidR="00026CE8">
        <w:t>with</w:t>
      </w:r>
      <w:r w:rsidR="00FB6718">
        <w:t>:</w:t>
      </w:r>
    </w:p>
    <w:p w14:paraId="59338FB9" w14:textId="5B47F6B2" w:rsidR="008A1C41" w:rsidRPr="008A1C41" w:rsidRDefault="008A1C41" w:rsidP="002E5AA0">
      <w:pPr>
        <w:pStyle w:val="ListParagraph"/>
        <w:numPr>
          <w:ilvl w:val="0"/>
          <w:numId w:val="1"/>
        </w:numPr>
        <w:ind w:left="1890"/>
      </w:pPr>
      <m:oMath>
        <m:r>
          <w:rPr>
            <w:rFonts w:ascii="Cambria Math" w:hAnsi="Cambria Math"/>
          </w:rPr>
          <m:t>NB</m:t>
        </m:r>
      </m:oMath>
      <w:r w:rsidR="00244DAA">
        <w:rPr>
          <w:rFonts w:eastAsiaTheme="minorEastAsia"/>
        </w:rPr>
        <w:t xml:space="preserve"> with constant </w:t>
      </w:r>
      <m:oMath>
        <m:r>
          <w:rPr>
            <w:rFonts w:ascii="Cambria Math" w:eastAsiaTheme="minorEastAsia" w:hAnsi="Cambria Math"/>
          </w:rPr>
          <m:t>W</m:t>
        </m:r>
      </m:oMath>
      <w:r w:rsidR="00244DAA">
        <w:rPr>
          <w:rFonts w:eastAsiaTheme="minorEastAsia"/>
        </w:rPr>
        <w:t xml:space="preserve"> (</w:t>
      </w:r>
      <w:r w:rsidR="00026CE8">
        <w:rPr>
          <w:rFonts w:eastAsiaTheme="minorEastAsia"/>
        </w:rPr>
        <w:t xml:space="preserve">but </w:t>
      </w:r>
      <w:r w:rsidR="00244DAA">
        <w:rPr>
          <w:rFonts w:eastAsiaTheme="minorEastAsia"/>
        </w:rPr>
        <w:t xml:space="preserve">remind that the actual number of spheres can be lower than </w:t>
      </w:r>
      <m:oMath>
        <m:r>
          <w:rPr>
            <w:rFonts w:ascii="Cambria Math" w:eastAsiaTheme="minorEastAsia" w:hAnsi="Cambria Math"/>
          </w:rPr>
          <m:t>NB</m:t>
        </m:r>
      </m:oMath>
      <w:r w:rsidR="00244DAA">
        <w:rPr>
          <w:rFonts w:eastAsiaTheme="minorEastAsia"/>
        </w:rPr>
        <w:t>)</w:t>
      </w:r>
    </w:p>
    <w:p w14:paraId="4EAC7CBF" w14:textId="21D68C55" w:rsidR="00830B72" w:rsidRPr="00830B72" w:rsidRDefault="00603F78" w:rsidP="002E5AA0">
      <w:pPr>
        <w:pStyle w:val="ListParagraph"/>
        <w:numPr>
          <w:ilvl w:val="0"/>
          <w:numId w:val="1"/>
        </w:numPr>
        <w:ind w:left="1890"/>
      </w:pPr>
      <m:oMath>
        <m:r>
          <w:rPr>
            <w:rFonts w:ascii="Cambria Math" w:hAnsi="Cambria Math"/>
          </w:rPr>
          <m:t>R_node</m:t>
        </m:r>
      </m:oMath>
      <w:r w:rsidR="00604CD3" w:rsidRPr="00603F78">
        <w:rPr>
          <w:rFonts w:eastAsiaTheme="minorEastAsia"/>
        </w:rPr>
        <w:t xml:space="preserve">, </w:t>
      </w:r>
      <m:oMath>
        <m:r>
          <w:rPr>
            <w:rFonts w:ascii="Cambria Math" w:eastAsiaTheme="minorEastAsia" w:hAnsi="Cambria Math"/>
          </w:rPr>
          <m:t>R_strut</m:t>
        </m:r>
      </m:oMath>
      <w:r>
        <w:t xml:space="preserve">, </w:t>
      </w:r>
      <m:oMath>
        <m:r>
          <w:rPr>
            <w:rFonts w:ascii="Cambria Math" w:hAnsi="Cambria Math"/>
          </w:rPr>
          <m:t>tv</m:t>
        </m:r>
      </m:oMath>
      <w:r w:rsidR="00830B72" w:rsidRPr="00830B72">
        <w:t xml:space="preserve"> </w:t>
      </w:r>
    </w:p>
    <w:p w14:paraId="3366B463" w14:textId="155DD790" w:rsidR="000B4488" w:rsidRDefault="000B4488" w:rsidP="002E5AA0">
      <w:pPr>
        <w:pStyle w:val="ListParagraph"/>
        <w:numPr>
          <w:ilvl w:val="0"/>
          <w:numId w:val="8"/>
        </w:numPr>
        <w:ind w:left="1440"/>
      </w:pPr>
      <w:r>
        <w:t xml:space="preserve">An analysis on </w:t>
      </w:r>
      <w:r>
        <w:rPr>
          <w:rFonts w:eastAsiaTheme="minorEastAsia"/>
        </w:rPr>
        <w:t>Representative Elementary Volume (</w:t>
      </w:r>
      <m:oMath>
        <m:r>
          <w:rPr>
            <w:rFonts w:ascii="Cambria Math" w:hAnsi="Cambria Math"/>
          </w:rPr>
          <m:t>REV</m:t>
        </m:r>
      </m:oMath>
      <w:r>
        <w:rPr>
          <w:rFonts w:eastAsiaTheme="minorEastAsia"/>
        </w:rPr>
        <w:t>) should be performed</w:t>
      </w:r>
      <w:r w:rsidR="008308C0">
        <w:rPr>
          <w:rFonts w:eastAsiaTheme="minorEastAsia"/>
        </w:rPr>
        <w:t xml:space="preserve">; that is defined as a volume around a point in which </w:t>
      </w:r>
      <w:r w:rsidR="00BC422D">
        <w:rPr>
          <w:rFonts w:eastAsiaTheme="minorEastAsia"/>
        </w:rPr>
        <w:t xml:space="preserve">all averaged properties are independent on the size of the volume. </w:t>
      </w:r>
      <w:r w:rsidR="00BC422D">
        <w:rPr>
          <w:rFonts w:eastAsiaTheme="minorEastAsia"/>
        </w:rPr>
        <w:fldChar w:fldCharType="begin" w:fldLock="1"/>
      </w:r>
      <w:r w:rsidR="00FF56DA">
        <w:rPr>
          <w:rFonts w:eastAsiaTheme="minorEastAsia"/>
        </w:rPr>
        <w:instrText>ADDIN CSL_CITATION {"citationItems":[{"id":"ITEM-1","itemData":{"DOI":"10.1007/BF00238181","ISSN":"01693913","abstract":"This is the first of two papers presenting a systematic development of a continuum model of a porous medium and of transport processes occurring in it. The concept of a Representative Elementary Volume (REV) as opposed to any arbitrary volume of averaging quantities at the micro-scale, is quantified. A universal criterion for selecting the size of an REV as a function of measurable characteristics of a porous medium and selected tolerance levels of estimation errors, is developed. The rules of spatial averaging are extended by including the effects of both the configuration of the solid matrix and of interphase transfer phenomena within an REV. © 1986 D. Reidel Publishing Company.","author":[{"dropping-particle":"","family":"Bachmat","given":"Yehuda","non-dropping-particle":"","parse-names":false,"suffix":""},{"dropping-particle":"","family":"Bear","given":"Jacob","non-dropping-particle":"","parse-names":false,"suffix":""}],"container-title":"Transport in Porous Media","id":"ITEM-1","issue":"3","issued":{"date-parts":[["1986"]]},"page":"213-240","title":"Macroscopic modelling of transport phenomena in porous media. 1: The continuum approach","type":"article-journal","volume":"1"},"uris":["http://www.mendeley.com/documents/?uuid=10d0e617-3e2b-4b56-9546-b72b000841a0"]}],"mendeley":{"formattedCitation":"(Bachmat &amp; Bear, 1986)","plainTextFormattedCitation":"(Bachmat &amp; Bear, 1986)","previouslyFormattedCitation":"(Bachmat &amp; Bear, 1986)"},"properties":{"noteIndex":0},"schema":"https://github.com/citation-style-language/schema/raw/master/csl-citation.json"}</w:instrText>
      </w:r>
      <w:r w:rsidR="00BC422D">
        <w:rPr>
          <w:rFonts w:eastAsiaTheme="minorEastAsia"/>
        </w:rPr>
        <w:fldChar w:fldCharType="separate"/>
      </w:r>
      <w:r w:rsidR="00BC422D" w:rsidRPr="00BC422D">
        <w:rPr>
          <w:rFonts w:eastAsiaTheme="minorEastAsia"/>
          <w:noProof/>
        </w:rPr>
        <w:t>(Bachmat &amp; Bear, 1986)</w:t>
      </w:r>
      <w:r w:rsidR="00BC422D">
        <w:rPr>
          <w:rFonts w:eastAsiaTheme="minorEastAsia"/>
        </w:rPr>
        <w:fldChar w:fldCharType="end"/>
      </w:r>
      <w:r w:rsidR="00BC422D">
        <w:rPr>
          <w:rFonts w:eastAsiaTheme="minorEastAsia"/>
        </w:rPr>
        <w:t xml:space="preserve"> A </w:t>
      </w:r>
      <w:r w:rsidR="002C2A7A">
        <w:rPr>
          <w:rFonts w:eastAsiaTheme="minorEastAsia"/>
        </w:rPr>
        <w:t>box size of about</w:t>
      </w:r>
      <w:r w:rsidR="00EA5F16">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r>
          <w:rPr>
            <w:rFonts w:ascii="Cambria Math" w:eastAsiaTheme="minorEastAsia" w:hAnsi="Cambria Math"/>
          </w:rPr>
          <m:t>R</m:t>
        </m:r>
      </m:oMath>
      <w:r w:rsidR="00E600AE">
        <w:rPr>
          <w:rFonts w:eastAsiaTheme="minorEastAsia"/>
        </w:rPr>
        <w:t xml:space="preserve"> </w:t>
      </w:r>
      <w:r w:rsidR="002C2A7A">
        <w:rPr>
          <w:rFonts w:eastAsiaTheme="minorEastAsia"/>
        </w:rPr>
        <w:t>may</w:t>
      </w:r>
      <w:r w:rsidR="00E600AE">
        <w:rPr>
          <w:rFonts w:eastAsiaTheme="minorEastAsia"/>
        </w:rPr>
        <w:t xml:space="preserve"> be </w:t>
      </w:r>
      <w:r w:rsidR="005C331D">
        <w:rPr>
          <w:rFonts w:eastAsiaTheme="minorEastAsia"/>
        </w:rPr>
        <w:t>good</w:t>
      </w:r>
      <w:r w:rsidR="00E600AE">
        <w:rPr>
          <w:rFonts w:eastAsiaTheme="minorEastAsia"/>
        </w:rPr>
        <w:t>.</w:t>
      </w:r>
      <w:r w:rsidR="005C331D">
        <w:rPr>
          <w:rFonts w:eastAsiaTheme="minorEastAsia"/>
        </w:rPr>
        <w:t xml:space="preserve"> </w:t>
      </w:r>
      <w:r w:rsidR="00031F73">
        <w:rPr>
          <w:rFonts w:eastAsiaTheme="minorEastAsia"/>
        </w:rPr>
        <w:fldChar w:fldCharType="begin" w:fldLock="1"/>
      </w:r>
      <w:r w:rsidR="00031F73">
        <w:rPr>
          <w:rFonts w:eastAsiaTheme="minorEastAsia"/>
        </w:rPr>
        <w:instrText>ADDIN CSL_CITATION {"citationItems":[{"id":"ITEM-1","itemData":{"DOI":"10.1016/j.ces.2022.117583","ISSN":"00092509","abstract":"Open-cell foams are porous materials characterized by high porosity and large specific surface, industrially employed as catalyst supports or particulate filters. These materials can be modelled using periodic lattices, or with more complex approaches based on Voronoi tessellations. This work introduces, tests, and makes available an open-source workflow (Agostini, 2021) based on Blender that can reproduce great varieties of geometries with a limited cost for their modeling. An example of the exploration capabilities of this workflow is presented in the form of CFD simulations for flow field and mass transfer (performed with OpenFOAM) on the created geometries, eventually obtaining an effective particle deposition/filtration coefficient Kd. The results are interpreted using constitutive equations and other functional forms depending on geometric parameters which prove to be insufficient in explaining the variations in filtration performance, highlighting the need for more detailed exploration, the objective for which this workflow was developed.","author":[{"dropping-particle":"","family":"Agostini","given":"Enrico","non-dropping-particle":"","parse-names":false,"suffix":""},{"dropping-particle":"","family":"Boccardo","given":"Gianluca","non-dropping-particle":"","parse-names":false,"suffix":""},{"dropping-particle":"","family":"Marchisio","given":"Daniele","non-dropping-particle":"","parse-names":false,"suffix":""}],"container-title":"Chemical Engineering Science","id":"ITEM-1","issued":{"date-parts":[["2022"]]},"page":"117583","publisher":"Elsevier Ltd","title":"An open-source workflow for open-cell foams modelling: Geometry generation and CFD simulations for momentum and mass transport","type":"article-journal","volume":"255"},"uris":["http://www.mendeley.com/documents/?uuid=f067839f-ed60-47ca-9e28-2ce19d6e6df8"]}],"mendeley":{"formattedCitation":"(Agostini et al., 2022)","plainTextFormattedCitation":"(Agostini et al., 2022)"},"properties":{"noteIndex":0},"schema":"https://github.com/citation-style-language/schema/raw/master/csl-citation.json"}</w:instrText>
      </w:r>
      <w:r w:rsidR="00031F73">
        <w:rPr>
          <w:rFonts w:eastAsiaTheme="minorEastAsia"/>
        </w:rPr>
        <w:fldChar w:fldCharType="separate"/>
      </w:r>
      <w:r w:rsidR="00031F73" w:rsidRPr="00031F73">
        <w:rPr>
          <w:rFonts w:eastAsiaTheme="minorEastAsia"/>
          <w:noProof/>
        </w:rPr>
        <w:t>(Agostini et al., 2022)</w:t>
      </w:r>
      <w:r w:rsidR="00031F73">
        <w:rPr>
          <w:rFonts w:eastAsiaTheme="minorEastAsia"/>
        </w:rPr>
        <w:fldChar w:fldCharType="end"/>
      </w:r>
    </w:p>
    <w:p w14:paraId="226FFCA2" w14:textId="54D065FA" w:rsidR="00161AEA" w:rsidRDefault="00C57A0C" w:rsidP="002E5AA0">
      <w:pPr>
        <w:pStyle w:val="ListParagraph"/>
        <w:numPr>
          <w:ilvl w:val="0"/>
          <w:numId w:val="8"/>
        </w:numPr>
        <w:ind w:left="1440"/>
      </w:pPr>
      <w:r>
        <w:t>I</w:t>
      </w:r>
      <w:r w:rsidR="00161AEA">
        <w:t>f</w:t>
      </w:r>
      <w:r w:rsidR="00BB6D56">
        <w:t xml:space="preserve"> </w:t>
      </w:r>
      <w:r w:rsidR="006C0457">
        <w:t xml:space="preserve">you have </w:t>
      </w:r>
      <w:r w:rsidR="00BB6D56">
        <w:t xml:space="preserve">an idea of the pore size, the following equation can be used to evaluate the diameter of the cells / spheres for the initial aggregation </w:t>
      </w:r>
      <w:r w:rsidR="00BB6D56">
        <w:fldChar w:fldCharType="begin" w:fldLock="1"/>
      </w:r>
      <w:r w:rsidR="00BF43FC">
        <w:instrText>ADDIN CSL_CITATION {"citationItems":[{"id":"ITEM-1","itemData":{"author":[{"dropping-particle":"","family":"Inayat","given":"Amer","non-dropping-particle":"","parse-names":false,"suffix":""},{"dropping-particle":"","family":"Klumpp","given":"Michael","non-dropping-particle":"","parse-names":false,"suffix":""},{"dropping-particle":"","family":"Lammermann","given":"Markus","non-dropping-particle":"","parse-names":false,"suffix":""},{"dropping-particle":"","family":"Freund","given":"Hannsjorg","non-dropping-particle":"","parse-names":false,"suffix":""},{"dropping-particle":"","family":"Schwieger","given":"Wilhelm","non-dropping-particle":"","parse-names":false,"suffix":""}],"container-title":"Chemical Engineering Journal","id":"ITEM-1","issued":{"date-parts":[["2012"]]},"page":"704-719","title":"Development of a new pressure drop correlation for open-cell foams based completely on theoretical grounds: Taking into account strut shape and geometric tortuosity","type":"article-journal"},"uris":["http://www.mendeley.com/documents/?uuid=99916712-53fe-4036-9701-f2c9aa944b5e"]}],"mendeley":{"formattedCitation":"(Inayat et al., 2012)","plainTextFormattedCitation":"(Inayat et al., 2012)","previouslyFormattedCitation":"(Inayat et al., 2012)"},"properties":{"noteIndex":0},"schema":"https://github.com/citation-style-language/schema/raw/master/csl-citation.json"}</w:instrText>
      </w:r>
      <w:r w:rsidR="00BB6D56">
        <w:fldChar w:fldCharType="separate"/>
      </w:r>
      <w:r w:rsidR="00BB6D56" w:rsidRPr="00BB6D56">
        <w:rPr>
          <w:noProof/>
        </w:rPr>
        <w:t>(Inayat et al., 2012)</w:t>
      </w:r>
      <w:r w:rsidR="00BB6D56">
        <w:fldChar w:fldCharType="end"/>
      </w:r>
    </w:p>
    <w:p w14:paraId="2D5FD9CD" w14:textId="5E27A5D7" w:rsidR="00BB6D56" w:rsidRDefault="00000000" w:rsidP="002E5AA0">
      <w:pPr>
        <w:pStyle w:val="ListParagraph"/>
        <w:ind w:left="1440"/>
      </w:pPr>
      <m:oMathPara>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c</m:t>
                  </m:r>
                </m:sub>
              </m:sSub>
            </m:num>
            <m:den>
              <m:r>
                <w:rPr>
                  <w:rFonts w:ascii="Cambria Math" w:hAnsi="Cambria Math"/>
                </w:rPr>
                <m:t>2.3</m:t>
              </m:r>
            </m:den>
          </m:f>
        </m:oMath>
      </m:oMathPara>
    </w:p>
    <w:p w14:paraId="4D7896B5" w14:textId="11D4C5B1" w:rsidR="00691661" w:rsidRDefault="00685703" w:rsidP="002E5AA0">
      <w:pPr>
        <w:pStyle w:val="ListParagraph"/>
        <w:ind w:left="1440"/>
        <w:rPr>
          <w:rFonts w:eastAsiaTheme="minorEastAsia"/>
        </w:rPr>
      </w:pPr>
      <w:r>
        <w:t>w</w:t>
      </w:r>
      <w:r w:rsidR="00BB6D56">
        <w:t xml:space="preserve">here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rsidR="00BB6D56">
        <w:rPr>
          <w:rFonts w:eastAsiaTheme="minorEastAsia"/>
        </w:rPr>
        <w:t xml:space="preserve"> is the window diameter</w:t>
      </w:r>
      <w:r w:rsidR="00883742">
        <w:rPr>
          <w:rFonts w:eastAsiaTheme="minorEastAsia"/>
        </w:rPr>
        <w:t xml:space="preserve"> in </w:t>
      </w:r>
      <m:oMath>
        <m:r>
          <w:rPr>
            <w:rFonts w:ascii="Cambria Math" w:eastAsiaTheme="minorEastAsia" w:hAnsi="Cambria Math"/>
          </w:rPr>
          <m:t>[m]</m:t>
        </m:r>
      </m:oMath>
      <w:r w:rsidR="00BB6D56">
        <w:rPr>
          <w:rFonts w:eastAsiaTheme="minorEastAsia"/>
        </w:rPr>
        <w:t xml:space="preserve"> and </w:t>
      </w:r>
      <w:r w:rsidR="0033744C">
        <w:rPr>
          <w:rFonts w:eastAsiaTheme="minorEastAsia"/>
        </w:rPr>
        <w:t>is equivalent</w:t>
      </w:r>
      <w:r>
        <w:rPr>
          <w:rFonts w:eastAsiaTheme="minorEastAsia"/>
        </w:rPr>
        <w:t xml:space="preserve"> the pore size</w:t>
      </w:r>
      <w:r w:rsidR="000B4488">
        <w:rPr>
          <w:rFonts w:eastAsiaTheme="minorEastAsia"/>
        </w:rPr>
        <w:t xml:space="preserve">. </w:t>
      </w:r>
    </w:p>
    <w:p w14:paraId="29171563" w14:textId="4700C468" w:rsidR="00685703" w:rsidRDefault="00A56252" w:rsidP="002E5AA0">
      <w:pPr>
        <w:pStyle w:val="ListParagraph"/>
        <w:ind w:left="1440"/>
        <w:rPr>
          <w:rFonts w:eastAsiaTheme="minorEastAsia"/>
        </w:rPr>
      </w:pPr>
      <w:r>
        <w:rPr>
          <w:rFonts w:eastAsiaTheme="minorEastAsia"/>
        </w:rPr>
        <w:t>The</w:t>
      </w:r>
      <w:r w:rsidR="00756CF4">
        <w:rPr>
          <w:rFonts w:eastAsiaTheme="minorEastAsia"/>
        </w:rPr>
        <w:t>n</w:t>
      </w:r>
      <w:r w:rsidR="00691661">
        <w:rPr>
          <w:rFonts w:eastAsiaTheme="minorEastAsia"/>
        </w:rPr>
        <w:t xml:space="preserve"> the voxe</w:t>
      </w:r>
      <w:r w:rsidR="00060951">
        <w:rPr>
          <w:rFonts w:eastAsiaTheme="minorEastAsia"/>
        </w:rPr>
        <w:t>l resolution is assessed as</w:t>
      </w:r>
      <w:r>
        <w:rPr>
          <w:rFonts w:eastAsiaTheme="minorEastAsia"/>
        </w:rPr>
        <w:t>:</w:t>
      </w:r>
    </w:p>
    <w:p w14:paraId="19A7A3DE" w14:textId="036C6573" w:rsidR="00A56252" w:rsidRPr="00A91B3F" w:rsidRDefault="00756CF4" w:rsidP="002E5AA0">
      <w:pPr>
        <w:pStyle w:val="ListParagraph"/>
        <w:ind w:left="1440"/>
        <w:rPr>
          <w:rFonts w:eastAsiaTheme="minorEastAsia"/>
        </w:rPr>
      </w:pPr>
      <m:oMathPara>
        <m:oMath>
          <m:r>
            <w:rPr>
              <w:rFonts w:ascii="Cambria Math" w:hAnsi="Cambria Math"/>
            </w:rPr>
            <m:t>box_size=</m:t>
          </m:r>
          <m:sSub>
            <m:sSubPr>
              <m:ctrlPr>
                <w:rPr>
                  <w:rFonts w:ascii="Cambria Math" w:hAnsi="Cambria Math"/>
                  <w:i/>
                </w:rPr>
              </m:ctrlPr>
            </m:sSubPr>
            <m:e>
              <m:r>
                <w:rPr>
                  <w:rFonts w:ascii="Cambria Math" w:hAnsi="Cambria Math"/>
                </w:rPr>
                <m:t>5*d</m:t>
              </m:r>
            </m:e>
            <m:sub>
              <m:r>
                <w:rPr>
                  <w:rFonts w:ascii="Cambria Math" w:hAnsi="Cambria Math"/>
                </w:rPr>
                <m:t>c</m:t>
              </m:r>
            </m:sub>
          </m:sSub>
          <m:r>
            <w:rPr>
              <w:rFonts w:ascii="Cambria Math" w:eastAsiaTheme="minorEastAsia" w:hAnsi="Cambria Math"/>
            </w:rPr>
            <m:t>[m]</m:t>
          </m:r>
        </m:oMath>
      </m:oMathPara>
    </w:p>
    <w:p w14:paraId="30C1631D" w14:textId="77777777" w:rsidR="00A91B3F" w:rsidRDefault="00A91B3F" w:rsidP="002E5AA0">
      <w:pPr>
        <w:pStyle w:val="ListParagraph"/>
        <w:ind w:left="1440"/>
      </w:pPr>
    </w:p>
    <w:p w14:paraId="2BBB4EA2" w14:textId="40802111" w:rsidR="00A91B3F" w:rsidRPr="00A91B3F" w:rsidRDefault="00A91B3F" w:rsidP="002E5AA0">
      <w:pPr>
        <w:pStyle w:val="ListParagraph"/>
        <w:ind w:left="1440"/>
        <w:rPr>
          <w:rFonts w:eastAsiaTheme="minorEastAsia"/>
        </w:rPr>
      </w:pPr>
      <m:oMathPara>
        <m:oMath>
          <m:r>
            <w:rPr>
              <w:rFonts w:ascii="Cambria Math" w:hAnsi="Cambria Math"/>
            </w:rPr>
            <m:t>vx_res=</m:t>
          </m:r>
          <m:f>
            <m:fPr>
              <m:ctrlPr>
                <w:rPr>
                  <w:rFonts w:ascii="Cambria Math" w:hAnsi="Cambria Math"/>
                  <w:i/>
                </w:rPr>
              </m:ctrlPr>
            </m:fPr>
            <m:num>
              <m:r>
                <w:rPr>
                  <w:rFonts w:ascii="Cambria Math" w:hAnsi="Cambria Math"/>
                </w:rPr>
                <m:t>bo</m:t>
              </m:r>
              <m:sSub>
                <m:sSubPr>
                  <m:ctrlPr>
                    <w:rPr>
                      <w:rFonts w:ascii="Cambria Math" w:hAnsi="Cambria Math"/>
                      <w:i/>
                    </w:rPr>
                  </m:ctrlPr>
                </m:sSubPr>
                <m:e>
                  <m:r>
                    <w:rPr>
                      <w:rFonts w:ascii="Cambria Math" w:hAnsi="Cambria Math"/>
                    </w:rPr>
                    <m:t>x</m:t>
                  </m:r>
                </m:e>
                <m:sub>
                  <m:r>
                    <w:rPr>
                      <w:rFonts w:ascii="Cambria Math" w:hAnsi="Cambria Math"/>
                    </w:rPr>
                    <m:t>size</m:t>
                  </m:r>
                </m:sub>
              </m:sSub>
            </m:num>
            <m:den>
              <m:r>
                <w:rPr>
                  <w:rFonts w:ascii="Cambria Math" w:eastAsiaTheme="minorEastAsia" w:hAnsi="Cambria Math"/>
                </w:rPr>
                <m:t>W</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voxel</m:t>
                  </m:r>
                </m:den>
              </m:f>
            </m:e>
          </m:d>
        </m:oMath>
      </m:oMathPara>
    </w:p>
    <w:p w14:paraId="2D5653E9" w14:textId="7E4843D6" w:rsidR="0093338C" w:rsidRDefault="00EC40E2" w:rsidP="00EC40E2">
      <w:pPr>
        <w:pStyle w:val="ListParagraph"/>
        <w:jc w:val="center"/>
      </w:pPr>
      <w:r w:rsidRPr="00EC40E2">
        <w:rPr>
          <w:rFonts w:eastAsiaTheme="minorEastAsia"/>
          <w:noProof/>
        </w:rPr>
        <w:lastRenderedPageBreak/>
        <w:drawing>
          <wp:inline distT="0" distB="0" distL="0" distR="0" wp14:anchorId="2041DAC7" wp14:editId="5D91FA34">
            <wp:extent cx="2841001" cy="178505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6569" cy="1813684"/>
                    </a:xfrm>
                    <a:prstGeom prst="rect">
                      <a:avLst/>
                    </a:prstGeom>
                  </pic:spPr>
                </pic:pic>
              </a:graphicData>
            </a:graphic>
          </wp:inline>
        </w:drawing>
      </w:r>
    </w:p>
    <w:p w14:paraId="355F681F" w14:textId="788DBC2B" w:rsidR="00BF43FC" w:rsidRDefault="00BF43FC" w:rsidP="00EC40E2">
      <w:pPr>
        <w:pStyle w:val="ListParagraph"/>
        <w:jc w:val="center"/>
      </w:pPr>
      <w:r>
        <w:t xml:space="preserve">*taken from </w:t>
      </w:r>
      <w:r>
        <w:fldChar w:fldCharType="begin" w:fldLock="1"/>
      </w:r>
      <w:r w:rsidR="008E5DA5">
        <w:instrText>ADDIN CSL_CITATION {"citationItems":[{"id":"ITEM-1","itemData":{"author":[{"dropping-particle":"","family":"Inayat","given":"Amer","non-dropping-particle":"","parse-names":false,"suffix":""},{"dropping-particle":"","family":"Klumpp","given":"Michael","non-dropping-particle":"","parse-names":false,"suffix":""},{"dropping-particle":"","family":"Lammermann","given":"Markus","non-dropping-particle":"","parse-names":false,"suffix":""},{"dropping-particle":"","family":"Freund","given":"Hannsjorg","non-dropping-particle":"","parse-names":false,"suffix":""},{"dropping-particle":"","family":"Schwieger","given":"Wilhelm","non-dropping-particle":"","parse-names":false,"suffix":""}],"container-title":"Chemical Engineering Journal","id":"ITEM-1","issued":{"date-parts":[["2012"]]},"page":"704-719","title":"Development of a new pressure drop correlation for open-cell foams based completely on theoretical grounds: Taking into account strut shape and geometric tortuosity","type":"article-journal"},"uris":["http://www.mendeley.com/documents/?uuid=99916712-53fe-4036-9701-f2c9aa944b5e"]}],"mendeley":{"formattedCitation":"(Inayat et al., 2012)","plainTextFormattedCitation":"(Inayat et al., 2012)","previouslyFormattedCitation":"(Inayat et al., 2012)"},"properties":{"noteIndex":0},"schema":"https://github.com/citation-style-language/schema/raw/master/csl-citation.json"}</w:instrText>
      </w:r>
      <w:r>
        <w:fldChar w:fldCharType="separate"/>
      </w:r>
      <w:r w:rsidRPr="00BF43FC">
        <w:rPr>
          <w:noProof/>
        </w:rPr>
        <w:t>(Inayat et al., 2012)</w:t>
      </w:r>
      <w:r>
        <w:fldChar w:fldCharType="end"/>
      </w:r>
    </w:p>
    <w:p w14:paraId="33734192" w14:textId="77777777" w:rsidR="00EC40E2" w:rsidRDefault="00EC40E2" w:rsidP="00DA5A88">
      <w:pPr>
        <w:pStyle w:val="ListParagraph"/>
      </w:pPr>
    </w:p>
    <w:p w14:paraId="0E0C9173" w14:textId="6BA23F5D" w:rsidR="000A5BF2" w:rsidRDefault="007A3883" w:rsidP="005A2BDA">
      <w:pPr>
        <w:pStyle w:val="ListParagraph"/>
        <w:numPr>
          <w:ilvl w:val="0"/>
          <w:numId w:val="6"/>
        </w:numPr>
      </w:pPr>
      <w:r>
        <w:t xml:space="preserve"># </w:t>
      </w:r>
      <w:r w:rsidR="000A5BF2">
        <w:t xml:space="preserve">python geoGenArgPostTort.py </w:t>
      </w:r>
      <w:r w:rsidR="006444F9">
        <w:t>--</w:t>
      </w:r>
      <w:r w:rsidR="000A5BF2">
        <w:t xml:space="preserve">name </w:t>
      </w:r>
      <w:r w:rsidR="000A5BF2" w:rsidRPr="000A5BF2">
        <w:t>test.xml</w:t>
      </w:r>
      <w:r w:rsidR="00EC40E2">
        <w:t xml:space="preserve"> </w:t>
      </w:r>
    </w:p>
    <w:p w14:paraId="333FEC90" w14:textId="269E0FA4" w:rsidR="00D6379D" w:rsidRDefault="00410BD1" w:rsidP="00D6379D">
      <w:pPr>
        <w:pStyle w:val="ListParagraph"/>
      </w:pPr>
      <w:r>
        <w:t>Several postprocessing</w:t>
      </w:r>
      <w:r w:rsidR="00D6379D">
        <w:t xml:space="preserve"> operations are </w:t>
      </w:r>
      <w:r w:rsidR="00C26906">
        <w:t>performed</w:t>
      </w:r>
      <w:r>
        <w:t>, including</w:t>
      </w:r>
      <w:r w:rsidR="00D6379D">
        <w:t>:</w:t>
      </w:r>
    </w:p>
    <w:p w14:paraId="066577F4" w14:textId="00D9E633" w:rsidR="00B6307C" w:rsidRDefault="000C3A6E" w:rsidP="008D2877">
      <w:pPr>
        <w:pStyle w:val="ListParagraph"/>
        <w:numPr>
          <w:ilvl w:val="0"/>
          <w:numId w:val="1"/>
        </w:numPr>
      </w:pPr>
      <w:r>
        <w:t>padding operation</w:t>
      </w:r>
      <w:r w:rsidR="00C7158C">
        <w:t xml:space="preserve"> </w:t>
      </w:r>
      <w:r w:rsidR="00080C4C">
        <w:t>of the tiff file set</w:t>
      </w:r>
      <w:r w:rsidR="001A6F03">
        <w:t xml:space="preserve"> </w:t>
      </w:r>
      <w:r w:rsidR="008251C1">
        <w:t>(</w:t>
      </w:r>
      <w:r w:rsidR="009C08D6">
        <w:t xml:space="preserve">binarized, </w:t>
      </w:r>
      <w:r w:rsidR="00080C4C">
        <w:t>consisting</w:t>
      </w:r>
      <w:r w:rsidR="00C544F1">
        <w:t xml:space="preserve"> of </w:t>
      </w:r>
      <w:r w:rsidR="008251C1">
        <w:t xml:space="preserve">0 and </w:t>
      </w:r>
      <w:r w:rsidR="001A6F03">
        <w:t>1</w:t>
      </w:r>
      <w:r w:rsidR="008251C1">
        <w:t>)</w:t>
      </w:r>
      <w:r>
        <w:t xml:space="preserve">, </w:t>
      </w:r>
      <w:r w:rsidR="003C0C60">
        <w:t>via the</w:t>
      </w:r>
      <w:r>
        <w:t xml:space="preserve"> numpy.pad functio</w:t>
      </w:r>
      <w:r w:rsidR="00410BD1">
        <w:t>n</w:t>
      </w:r>
      <w:r w:rsidR="00B6307C">
        <w:t xml:space="preserve">: </w:t>
      </w:r>
      <w:r w:rsidR="00DD2AE5">
        <w:t xml:space="preserve">layers of 0 are added </w:t>
      </w:r>
      <w:r w:rsidR="003C0C60">
        <w:t>to</w:t>
      </w:r>
      <w:r w:rsidR="00DD2AE5">
        <w:t xml:space="preserve"> the edges </w:t>
      </w:r>
      <w:r w:rsidR="00C7158C">
        <w:t>(</w:t>
      </w:r>
      <w:r w:rsidR="00DD2AE5">
        <w:t xml:space="preserve">for </w:t>
      </w:r>
      <w:r w:rsidR="007B6E2F">
        <w:t>simulation</w:t>
      </w:r>
      <w:r w:rsidR="00DD2AE5">
        <w:t xml:space="preserve"> </w:t>
      </w:r>
      <w:r w:rsidR="003C0C60">
        <w:t>needs</w:t>
      </w:r>
      <w:r w:rsidR="00C7158C">
        <w:t>)</w:t>
      </w:r>
      <w:r w:rsidR="00DD2AE5">
        <w:t xml:space="preserve"> </w:t>
      </w:r>
    </w:p>
    <w:p w14:paraId="373C0D45" w14:textId="07288E44" w:rsidR="00990BE9" w:rsidRDefault="00990BE9" w:rsidP="00D6379D">
      <w:pPr>
        <w:pStyle w:val="ListParagraph"/>
        <w:numPr>
          <w:ilvl w:val="0"/>
          <w:numId w:val="1"/>
        </w:numPr>
      </w:pPr>
      <w:r>
        <w:t xml:space="preserve">exclusion of </w:t>
      </w:r>
      <w:r w:rsidR="003C0C60">
        <w:t>box edges</w:t>
      </w:r>
      <w:r>
        <w:t xml:space="preserve">, where </w:t>
      </w:r>
      <w:r w:rsidR="003C0C60">
        <w:t>a lot</w:t>
      </w:r>
      <w:r>
        <w:t xml:space="preserve"> of </w:t>
      </w:r>
      <w:r w:rsidR="00320874">
        <w:t>material</w:t>
      </w:r>
      <w:r w:rsidR="003C0C60">
        <w:t xml:space="preserve"> accumulates </w:t>
      </w:r>
      <w:r w:rsidR="00320874">
        <w:t xml:space="preserve">after </w:t>
      </w:r>
      <w:r w:rsidR="009C08D6">
        <w:t>t</w:t>
      </w:r>
      <w:r w:rsidR="00171B2B">
        <w:t>h</w:t>
      </w:r>
      <w:r w:rsidR="009C08D6">
        <w:t xml:space="preserve">e </w:t>
      </w:r>
      <w:r w:rsidR="00320874">
        <w:t>Voronoi tessellation (</w:t>
      </w:r>
      <w:r w:rsidR="009C08D6">
        <w:t xml:space="preserve">this </w:t>
      </w:r>
      <w:r w:rsidR="00320874">
        <w:t xml:space="preserve">should give a more realistic </w:t>
      </w:r>
      <w:r w:rsidR="00194F7C">
        <w:t>physical</w:t>
      </w:r>
      <w:r w:rsidR="003C0C60">
        <w:t xml:space="preserve"> image</w:t>
      </w:r>
      <w:r w:rsidR="00320874">
        <w:t>)</w:t>
      </w:r>
    </w:p>
    <w:p w14:paraId="20FD5589" w14:textId="5A8E0D7B" w:rsidR="00D6379D" w:rsidRDefault="006D416B" w:rsidP="00D6379D">
      <w:pPr>
        <w:pStyle w:val="ListParagraph"/>
        <w:numPr>
          <w:ilvl w:val="0"/>
          <w:numId w:val="1"/>
        </w:numPr>
      </w:pPr>
      <w:r>
        <w:t xml:space="preserve">exclusion of the loose points </w:t>
      </w:r>
      <w:r w:rsidR="003C0C60">
        <w:t>via</w:t>
      </w:r>
      <w:r>
        <w:t xml:space="preserve"> </w:t>
      </w:r>
      <w:r w:rsidR="003C0C60">
        <w:t>B</w:t>
      </w:r>
      <w:r>
        <w:t>lender</w:t>
      </w:r>
      <w:r w:rsidR="00B21BC3">
        <w:t xml:space="preserve"> </w:t>
      </w:r>
      <w:r w:rsidR="00C7158C">
        <w:t>(</w:t>
      </w:r>
      <w:r w:rsidR="00B21BC3">
        <w:t xml:space="preserve">for </w:t>
      </w:r>
      <w:r w:rsidR="003C0C60">
        <w:t>simulation</w:t>
      </w:r>
      <w:r w:rsidR="00B21BC3">
        <w:t xml:space="preserve"> </w:t>
      </w:r>
      <w:r w:rsidR="003C0C60">
        <w:t>needs</w:t>
      </w:r>
      <w:r w:rsidR="00C7158C">
        <w:t>)</w:t>
      </w:r>
      <w:r w:rsidR="009C08D6">
        <w:t xml:space="preserve"> – see file separate_loose.py</w:t>
      </w:r>
    </w:p>
    <w:p w14:paraId="3B03C64C" w14:textId="557D17E9" w:rsidR="00990BE9" w:rsidRDefault="00990BE9" w:rsidP="00320874">
      <w:pPr>
        <w:pStyle w:val="ListParagraph"/>
        <w:ind w:left="1170"/>
      </w:pPr>
    </w:p>
    <w:p w14:paraId="2EECC3EF" w14:textId="5F53E5C1" w:rsidR="00220CD3" w:rsidRDefault="005901BA" w:rsidP="00D94D2C">
      <w:pPr>
        <w:pStyle w:val="ListParagraph"/>
      </w:pPr>
      <w:r>
        <w:t>if you want to analyze the pores</w:t>
      </w:r>
      <w:r w:rsidR="00530C6D">
        <w:t>,</w:t>
      </w:r>
      <w:r>
        <w:t xml:space="preserve"> you can run the</w:t>
      </w:r>
      <w:r w:rsidR="00530C6D">
        <w:t xml:space="preserve"> file </w:t>
      </w:r>
      <w:r w:rsidR="00525652">
        <w:t>pore_size</w:t>
      </w:r>
      <w:r w:rsidR="00FA3B46">
        <w:t>.ipynb</w:t>
      </w:r>
      <w:r w:rsidR="00746B93">
        <w:t xml:space="preserve">. It </w:t>
      </w:r>
      <w:r>
        <w:t>must</w:t>
      </w:r>
      <w:r w:rsidR="00746B93">
        <w:t xml:space="preserve"> be manually added to </w:t>
      </w:r>
      <w:r w:rsidR="00220CD3">
        <w:t>the test folder.</w:t>
      </w:r>
      <w:r w:rsidR="00D94D2C" w:rsidRPr="00D94D2C">
        <w:t xml:space="preserve"> </w:t>
      </w:r>
      <w:r w:rsidR="00D94D2C">
        <w:t xml:space="preserve">Anaconda console is </w:t>
      </w:r>
      <w:r>
        <w:t>required</w:t>
      </w:r>
      <w:r w:rsidR="00D94D2C">
        <w:t>!</w:t>
      </w:r>
    </w:p>
    <w:p w14:paraId="4626F3F5" w14:textId="34F4D06D" w:rsidR="0081797E" w:rsidRDefault="001D5C4E" w:rsidP="00220CD3">
      <w:pPr>
        <w:pStyle w:val="ListParagraph"/>
      </w:pPr>
      <w:r>
        <w:t># jupyter notebook pore_size.ipynb</w:t>
      </w:r>
    </w:p>
    <w:p w14:paraId="4AB7C1DB" w14:textId="77777777" w:rsidR="00B21BC3" w:rsidRDefault="00B21BC3" w:rsidP="00B21BC3">
      <w:pPr>
        <w:pStyle w:val="ListParagraph"/>
      </w:pPr>
    </w:p>
    <w:p w14:paraId="0F1E7453" w14:textId="12EE3B14" w:rsidR="003F48BB" w:rsidRPr="003F48BB" w:rsidRDefault="002A4BF7" w:rsidP="00A1040C">
      <w:pPr>
        <w:pStyle w:val="ListParagraph"/>
        <w:numPr>
          <w:ilvl w:val="0"/>
          <w:numId w:val="6"/>
        </w:numPr>
      </w:pPr>
      <w:r>
        <w:t>Additionally,</w:t>
      </w:r>
      <w:r w:rsidR="00942F1B">
        <w:t xml:space="preserve"> </w:t>
      </w:r>
      <w:r w:rsidR="005901BA">
        <w:t>you can mesh</w:t>
      </w:r>
      <w:r w:rsidR="00942F1B">
        <w:t xml:space="preserve"> through</w:t>
      </w:r>
      <w:r w:rsidR="00CB3085">
        <w:t xml:space="preserve"> snappyHexMesh </w:t>
      </w:r>
      <w:r w:rsidR="00194F7C">
        <w:t>(</w:t>
      </w:r>
      <w:r w:rsidR="007A3883">
        <w:t xml:space="preserve">generally </w:t>
      </w:r>
      <w:r w:rsidR="009F7932">
        <w:t>two parameters are varie</w:t>
      </w:r>
      <w:r w:rsidR="00942F1B">
        <w:t>d</w:t>
      </w:r>
      <w:r w:rsidR="009F7932">
        <w:t xml:space="preserve">: number of cells </w:t>
      </w:r>
      <w:r w:rsidR="00BC60CF">
        <w:t>in</w:t>
      </w:r>
      <w:r w:rsidR="009F7932">
        <w:t xml:space="preserve"> initial background grid and levels of refinement</w:t>
      </w:r>
      <w:r w:rsidR="00942F1B">
        <w:t xml:space="preserve">, no </w:t>
      </w:r>
      <w:r w:rsidR="00E26B4D">
        <w:t>layers at the wall are needed</w:t>
      </w:r>
      <w:r w:rsidR="009F7932">
        <w:t>)</w:t>
      </w:r>
      <w:r w:rsidR="00E538CA">
        <w:t xml:space="preserve">. </w:t>
      </w:r>
      <w:r w:rsidR="00E538CA" w:rsidRPr="003F48BB">
        <w:rPr>
          <w:b/>
          <w:bCs/>
        </w:rPr>
        <w:t>Tip</w:t>
      </w:r>
      <w:r w:rsidR="00E538CA">
        <w:t xml:space="preserve">: </w:t>
      </w:r>
      <w:r w:rsidR="00BC60CF">
        <w:t xml:space="preserve">If you are dealing with small pore sizes, keep the mesh in the </w:t>
      </w:r>
      <w:r w:rsidR="003F48BB">
        <w:t>default</w:t>
      </w:r>
      <w:r w:rsidR="00BC60CF">
        <w:t xml:space="preserve"> units</w:t>
      </w:r>
      <w:r w:rsidR="00F431C8">
        <w:t xml:space="preserve"> (after checking them in paraview)</w:t>
      </w:r>
      <w:r w:rsidR="00BC60CF">
        <w:t xml:space="preserve"> and then use this command to scale the size once the mesh is finished, where </w:t>
      </w:r>
      <m:oMath>
        <m:r>
          <w:rPr>
            <w:rFonts w:ascii="Cambria Math" w:hAnsi="Cambria Math"/>
          </w:rPr>
          <m:t>vx_res</m:t>
        </m:r>
      </m:oMath>
      <w:r w:rsidR="004814F8">
        <w:t xml:space="preserve"> </w:t>
      </w:r>
      <w:r w:rsidR="00BC60CF">
        <w:t>has been calculated previously</w:t>
      </w:r>
    </w:p>
    <w:p w14:paraId="69BCFAFB" w14:textId="7A2B3019" w:rsidR="0003441E" w:rsidRPr="0003441E" w:rsidRDefault="00BC60CF" w:rsidP="003F48BB">
      <w:pPr>
        <w:pStyle w:val="ListParagraph"/>
        <w:rPr>
          <w:lang w:val="fr-FR"/>
        </w:rPr>
      </w:pPr>
      <w:r w:rsidRPr="003F48BB">
        <w:rPr>
          <w:lang w:val="fr-FR"/>
        </w:rPr>
        <w:t># transformPoints "scale=(</w:t>
      </w:r>
      <w:r w:rsidR="0003441E">
        <w:rPr>
          <w:rFonts w:ascii="Cambria Math" w:eastAsiaTheme="minorEastAsia" w:hAnsi="Cambria Math"/>
          <w:iCs/>
          <w:lang w:val="fr-FR"/>
        </w:rPr>
        <w:t>$</w:t>
      </w:r>
      <m:oMath>
        <m:r>
          <w:rPr>
            <w:rFonts w:ascii="Cambria Math" w:hAnsi="Cambria Math"/>
          </w:rPr>
          <m:t>vx</m:t>
        </m:r>
        <m:r>
          <w:rPr>
            <w:rFonts w:ascii="Cambria Math" w:hAnsi="Cambria Math"/>
            <w:lang w:val="fr-FR"/>
          </w:rPr>
          <m:t>_</m:t>
        </m:r>
        <m:r>
          <w:rPr>
            <w:rFonts w:ascii="Cambria Math" w:hAnsi="Cambria Math"/>
          </w:rPr>
          <m:t>res</m:t>
        </m:r>
      </m:oMath>
      <w:r w:rsidRPr="003F48BB">
        <w:rPr>
          <w:lang w:val="fr-FR"/>
        </w:rPr>
        <w:t xml:space="preserve"> </w:t>
      </w:r>
      <w:r w:rsidR="0003441E">
        <w:rPr>
          <w:rFonts w:ascii="Cambria Math" w:eastAsiaTheme="minorEastAsia" w:hAnsi="Cambria Math"/>
          <w:iCs/>
          <w:lang w:val="fr-FR"/>
        </w:rPr>
        <w:t>$</w:t>
      </w:r>
      <m:oMath>
        <m:r>
          <w:rPr>
            <w:rFonts w:ascii="Cambria Math" w:hAnsi="Cambria Math"/>
          </w:rPr>
          <m:t>vx</m:t>
        </m:r>
        <m:r>
          <w:rPr>
            <w:rFonts w:ascii="Cambria Math" w:hAnsi="Cambria Math"/>
            <w:lang w:val="fr-FR"/>
          </w:rPr>
          <m:t>_</m:t>
        </m:r>
        <m:r>
          <w:rPr>
            <w:rFonts w:ascii="Cambria Math" w:hAnsi="Cambria Math"/>
          </w:rPr>
          <m:t>res</m:t>
        </m:r>
      </m:oMath>
      <w:r w:rsidR="0096780D">
        <w:rPr>
          <w:rFonts w:ascii="Cambria Math" w:eastAsiaTheme="minorEastAsia" w:hAnsi="Cambria Math"/>
          <w:lang w:val="fr-FR"/>
        </w:rPr>
        <w:t xml:space="preserve"> </w:t>
      </w:r>
      <w:r w:rsidR="0096780D">
        <w:rPr>
          <w:rFonts w:ascii="Cambria Math" w:eastAsiaTheme="minorEastAsia" w:hAnsi="Cambria Math"/>
          <w:iCs/>
          <w:lang w:val="fr-FR"/>
        </w:rPr>
        <w:t>$</w:t>
      </w:r>
      <m:oMath>
        <m:r>
          <w:rPr>
            <w:rFonts w:ascii="Cambria Math" w:hAnsi="Cambria Math"/>
          </w:rPr>
          <m:t>vx</m:t>
        </m:r>
        <m:r>
          <w:rPr>
            <w:rFonts w:ascii="Cambria Math" w:hAnsi="Cambria Math"/>
            <w:lang w:val="fr-FR"/>
          </w:rPr>
          <m:t>_</m:t>
        </m:r>
        <m:r>
          <w:rPr>
            <w:rFonts w:ascii="Cambria Math" w:hAnsi="Cambria Math"/>
          </w:rPr>
          <m:t>res</m:t>
        </m:r>
      </m:oMath>
      <w:r w:rsidR="0003441E">
        <w:rPr>
          <w:lang w:val="fr-FR"/>
        </w:rPr>
        <w:t>)</w:t>
      </w:r>
      <w:r w:rsidR="004814F8" w:rsidRPr="003F48BB">
        <w:rPr>
          <w:lang w:val="fr-FR"/>
        </w:rPr>
        <w:t>"</w:t>
      </w:r>
    </w:p>
    <w:p w14:paraId="70271A77" w14:textId="11F5516C" w:rsidR="00FF56DA" w:rsidRPr="00C33B27" w:rsidRDefault="00FF56DA" w:rsidP="0003441E">
      <w:pPr>
        <w:rPr>
          <w:lang w:val="it-IT"/>
        </w:rPr>
      </w:pPr>
      <w:r w:rsidRPr="00C33B27">
        <w:rPr>
          <w:b/>
          <w:bCs/>
          <w:lang w:val="it-IT"/>
        </w:rPr>
        <w:t>References</w:t>
      </w:r>
      <w:r w:rsidRPr="00C33B27">
        <w:rPr>
          <w:lang w:val="it-IT"/>
        </w:rPr>
        <w:t>:</w:t>
      </w:r>
    </w:p>
    <w:p w14:paraId="315B1804" w14:textId="55C0F56D" w:rsidR="00031F73" w:rsidRPr="00031F73" w:rsidRDefault="00FF56DA" w:rsidP="00031F73">
      <w:pPr>
        <w:widowControl w:val="0"/>
        <w:autoSpaceDE w:val="0"/>
        <w:autoSpaceDN w:val="0"/>
        <w:adjustRightInd w:val="0"/>
        <w:spacing w:line="240" w:lineRule="auto"/>
        <w:ind w:left="480" w:hanging="480"/>
        <w:rPr>
          <w:rFonts w:ascii="Calibri" w:hAnsi="Calibri" w:cs="Calibri"/>
          <w:noProof/>
          <w:szCs w:val="24"/>
        </w:rPr>
      </w:pPr>
      <w:r>
        <w:fldChar w:fldCharType="begin" w:fldLock="1"/>
      </w:r>
      <w:r w:rsidRPr="006A1072">
        <w:rPr>
          <w:lang w:val="it-IT"/>
        </w:rPr>
        <w:instrText xml:space="preserve">ADDIN Mendeley Bibliography CSL_BIBLIOGRAPHY </w:instrText>
      </w:r>
      <w:r>
        <w:fldChar w:fldCharType="separate"/>
      </w:r>
      <w:r w:rsidR="00031F73" w:rsidRPr="006A1072">
        <w:rPr>
          <w:rFonts w:ascii="Calibri" w:hAnsi="Calibri" w:cs="Calibri"/>
          <w:noProof/>
          <w:szCs w:val="24"/>
          <w:lang w:val="it-IT"/>
        </w:rPr>
        <w:t xml:space="preserve">Agostini, E., Boccardo, G., &amp; Marchisio, D. (2022). </w:t>
      </w:r>
      <w:r w:rsidR="00031F73" w:rsidRPr="00031F73">
        <w:rPr>
          <w:rFonts w:ascii="Calibri" w:hAnsi="Calibri" w:cs="Calibri"/>
          <w:noProof/>
          <w:szCs w:val="24"/>
        </w:rPr>
        <w:t xml:space="preserve">An open-source workflow for open-cell foams modelling: Geometry generation and CFD simulations for momentum and mass transport. </w:t>
      </w:r>
      <w:r w:rsidR="00031F73" w:rsidRPr="00031F73">
        <w:rPr>
          <w:rFonts w:ascii="Calibri" w:hAnsi="Calibri" w:cs="Calibri"/>
          <w:i/>
          <w:iCs/>
          <w:noProof/>
          <w:szCs w:val="24"/>
        </w:rPr>
        <w:t>Chemical Engineering Science</w:t>
      </w:r>
      <w:r w:rsidR="00031F73" w:rsidRPr="00031F73">
        <w:rPr>
          <w:rFonts w:ascii="Calibri" w:hAnsi="Calibri" w:cs="Calibri"/>
          <w:noProof/>
          <w:szCs w:val="24"/>
        </w:rPr>
        <w:t xml:space="preserve">, </w:t>
      </w:r>
      <w:r w:rsidR="00031F73" w:rsidRPr="00031F73">
        <w:rPr>
          <w:rFonts w:ascii="Calibri" w:hAnsi="Calibri" w:cs="Calibri"/>
          <w:i/>
          <w:iCs/>
          <w:noProof/>
          <w:szCs w:val="24"/>
        </w:rPr>
        <w:t>255</w:t>
      </w:r>
      <w:r w:rsidR="00031F73" w:rsidRPr="00031F73">
        <w:rPr>
          <w:rFonts w:ascii="Calibri" w:hAnsi="Calibri" w:cs="Calibri"/>
          <w:noProof/>
          <w:szCs w:val="24"/>
        </w:rPr>
        <w:t>, 117583. https://doi.org/10.1016/j.ces.2022.117583</w:t>
      </w:r>
    </w:p>
    <w:p w14:paraId="0EB525E7" w14:textId="77777777" w:rsidR="00031F73" w:rsidRPr="00031F73" w:rsidRDefault="00031F73" w:rsidP="00031F73">
      <w:pPr>
        <w:widowControl w:val="0"/>
        <w:autoSpaceDE w:val="0"/>
        <w:autoSpaceDN w:val="0"/>
        <w:adjustRightInd w:val="0"/>
        <w:spacing w:line="240" w:lineRule="auto"/>
        <w:ind w:left="480" w:hanging="480"/>
        <w:rPr>
          <w:rFonts w:ascii="Calibri" w:hAnsi="Calibri" w:cs="Calibri"/>
          <w:noProof/>
          <w:szCs w:val="24"/>
        </w:rPr>
      </w:pPr>
      <w:r w:rsidRPr="00031F73">
        <w:rPr>
          <w:rFonts w:ascii="Calibri" w:hAnsi="Calibri" w:cs="Calibri"/>
          <w:noProof/>
          <w:szCs w:val="24"/>
        </w:rPr>
        <w:t xml:space="preserve">Bachmat, Y., &amp; Bear, J. (1986). Macroscopic modelling of transport phenomena in porous media. 1: The continuum approach. </w:t>
      </w:r>
      <w:r w:rsidRPr="00031F73">
        <w:rPr>
          <w:rFonts w:ascii="Calibri" w:hAnsi="Calibri" w:cs="Calibri"/>
          <w:i/>
          <w:iCs/>
          <w:noProof/>
          <w:szCs w:val="24"/>
        </w:rPr>
        <w:t>Transport in Porous Media</w:t>
      </w:r>
      <w:r w:rsidRPr="00031F73">
        <w:rPr>
          <w:rFonts w:ascii="Calibri" w:hAnsi="Calibri" w:cs="Calibri"/>
          <w:noProof/>
          <w:szCs w:val="24"/>
        </w:rPr>
        <w:t xml:space="preserve">, </w:t>
      </w:r>
      <w:r w:rsidRPr="00031F73">
        <w:rPr>
          <w:rFonts w:ascii="Calibri" w:hAnsi="Calibri" w:cs="Calibri"/>
          <w:i/>
          <w:iCs/>
          <w:noProof/>
          <w:szCs w:val="24"/>
        </w:rPr>
        <w:t>1</w:t>
      </w:r>
      <w:r w:rsidRPr="00031F73">
        <w:rPr>
          <w:rFonts w:ascii="Calibri" w:hAnsi="Calibri" w:cs="Calibri"/>
          <w:noProof/>
          <w:szCs w:val="24"/>
        </w:rPr>
        <w:t>(3), 213–240. https://doi.org/10.1007/BF00238181</w:t>
      </w:r>
    </w:p>
    <w:p w14:paraId="567BB73A" w14:textId="77777777" w:rsidR="00031F73" w:rsidRPr="00031F73" w:rsidRDefault="00031F73" w:rsidP="00031F73">
      <w:pPr>
        <w:widowControl w:val="0"/>
        <w:autoSpaceDE w:val="0"/>
        <w:autoSpaceDN w:val="0"/>
        <w:adjustRightInd w:val="0"/>
        <w:spacing w:line="240" w:lineRule="auto"/>
        <w:ind w:left="480" w:hanging="480"/>
        <w:rPr>
          <w:rFonts w:ascii="Calibri" w:hAnsi="Calibri" w:cs="Calibri"/>
          <w:noProof/>
          <w:szCs w:val="24"/>
        </w:rPr>
      </w:pPr>
      <w:r w:rsidRPr="00031F73">
        <w:rPr>
          <w:rFonts w:ascii="Calibri" w:hAnsi="Calibri" w:cs="Calibri"/>
          <w:noProof/>
          <w:szCs w:val="24"/>
        </w:rPr>
        <w:t xml:space="preserve">Ferri, G., Humbert, S., Digne, M., Schweitzer, J. M., &amp; Moreaud, M. (2021). Simulation Of Large Aggregate Particles System With A New Morphological Model. In </w:t>
      </w:r>
      <w:r w:rsidRPr="00031F73">
        <w:rPr>
          <w:rFonts w:ascii="Calibri" w:hAnsi="Calibri" w:cs="Calibri"/>
          <w:i/>
          <w:iCs/>
          <w:noProof/>
          <w:szCs w:val="24"/>
        </w:rPr>
        <w:t>Image Analysis and Stereology</w:t>
      </w:r>
      <w:r w:rsidRPr="00031F73">
        <w:rPr>
          <w:rFonts w:ascii="Calibri" w:hAnsi="Calibri" w:cs="Calibri"/>
          <w:noProof/>
          <w:szCs w:val="24"/>
        </w:rPr>
        <w:t xml:space="preserve"> (Vol. 40, Issue 2, pp. 71–84). https://doi.org/10.5566/ias.2488</w:t>
      </w:r>
    </w:p>
    <w:p w14:paraId="5DC6C7C0" w14:textId="678644B6" w:rsidR="005C31C6" w:rsidRPr="008544DD" w:rsidRDefault="00031F73" w:rsidP="00031F73">
      <w:pPr>
        <w:widowControl w:val="0"/>
        <w:autoSpaceDE w:val="0"/>
        <w:autoSpaceDN w:val="0"/>
        <w:adjustRightInd w:val="0"/>
        <w:spacing w:line="240" w:lineRule="auto"/>
        <w:ind w:left="480" w:hanging="480"/>
      </w:pPr>
      <w:r w:rsidRPr="006A1072">
        <w:rPr>
          <w:rFonts w:ascii="Calibri" w:hAnsi="Calibri" w:cs="Calibri"/>
          <w:noProof/>
          <w:szCs w:val="24"/>
          <w:lang w:val="de-DE"/>
        </w:rPr>
        <w:t xml:space="preserve">Inayat, A., Klumpp, M., Lammermann, M., Freund, H., &amp; Schwieger, W. (2012). </w:t>
      </w:r>
      <w:r w:rsidRPr="00031F73">
        <w:rPr>
          <w:rFonts w:ascii="Calibri" w:hAnsi="Calibri" w:cs="Calibri"/>
          <w:noProof/>
          <w:szCs w:val="24"/>
        </w:rPr>
        <w:t xml:space="preserve">Development of a new pressure drop correlation for open-cell foams based completely on theoretical grounds: Taking into account strut shape and geometric tortuosity. </w:t>
      </w:r>
      <w:r w:rsidRPr="00031F73">
        <w:rPr>
          <w:rFonts w:ascii="Calibri" w:hAnsi="Calibri" w:cs="Calibri"/>
          <w:i/>
          <w:iCs/>
          <w:noProof/>
          <w:szCs w:val="24"/>
        </w:rPr>
        <w:t>Chemical Engineering Journal</w:t>
      </w:r>
      <w:r w:rsidRPr="00031F73">
        <w:rPr>
          <w:rFonts w:ascii="Calibri" w:hAnsi="Calibri" w:cs="Calibri"/>
          <w:noProof/>
          <w:szCs w:val="24"/>
        </w:rPr>
        <w:t>, 704–719.</w:t>
      </w:r>
      <w:r w:rsidR="00FF56DA">
        <w:fldChar w:fldCharType="end"/>
      </w:r>
    </w:p>
    <w:sectPr w:rsidR="005C31C6" w:rsidRPr="00854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370EE"/>
    <w:multiLevelType w:val="hybridMultilevel"/>
    <w:tmpl w:val="F464411A"/>
    <w:lvl w:ilvl="0" w:tplc="706444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871D9"/>
    <w:multiLevelType w:val="hybridMultilevel"/>
    <w:tmpl w:val="78AE1416"/>
    <w:lvl w:ilvl="0" w:tplc="183648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C5BD0"/>
    <w:multiLevelType w:val="hybridMultilevel"/>
    <w:tmpl w:val="07EE8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E8188E"/>
    <w:multiLevelType w:val="hybridMultilevel"/>
    <w:tmpl w:val="5F50E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F07878"/>
    <w:multiLevelType w:val="hybridMultilevel"/>
    <w:tmpl w:val="F440C5B6"/>
    <w:lvl w:ilvl="0" w:tplc="AB86B9FE">
      <w:numFmt w:val="bullet"/>
      <w:lvlText w:val="-"/>
      <w:lvlJc w:val="left"/>
      <w:pPr>
        <w:ind w:left="117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9E5DC8"/>
    <w:multiLevelType w:val="hybridMultilevel"/>
    <w:tmpl w:val="F7342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9976F8"/>
    <w:multiLevelType w:val="hybridMultilevel"/>
    <w:tmpl w:val="19BED9AE"/>
    <w:lvl w:ilvl="0" w:tplc="A7DAF596">
      <w:numFmt w:val="bullet"/>
      <w:lvlText w:val=""/>
      <w:lvlJc w:val="left"/>
      <w:pPr>
        <w:ind w:left="1530" w:hanging="360"/>
      </w:pPr>
      <w:rPr>
        <w:rFonts w:ascii="Symbol" w:eastAsiaTheme="minorHAnsi" w:hAnsi="Symbol"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77D32508"/>
    <w:multiLevelType w:val="hybridMultilevel"/>
    <w:tmpl w:val="F99443F0"/>
    <w:lvl w:ilvl="0" w:tplc="E64220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E50DC8"/>
    <w:multiLevelType w:val="hybridMultilevel"/>
    <w:tmpl w:val="C5445754"/>
    <w:lvl w:ilvl="0" w:tplc="8610BD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2D3B27"/>
    <w:multiLevelType w:val="hybridMultilevel"/>
    <w:tmpl w:val="CAA81FDC"/>
    <w:lvl w:ilvl="0" w:tplc="B46289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4286257">
    <w:abstractNumId w:val="4"/>
  </w:num>
  <w:num w:numId="2" w16cid:durableId="695424674">
    <w:abstractNumId w:val="8"/>
  </w:num>
  <w:num w:numId="3" w16cid:durableId="1237741012">
    <w:abstractNumId w:val="0"/>
  </w:num>
  <w:num w:numId="4" w16cid:durableId="1661037534">
    <w:abstractNumId w:val="7"/>
  </w:num>
  <w:num w:numId="5" w16cid:durableId="1844473526">
    <w:abstractNumId w:val="1"/>
  </w:num>
  <w:num w:numId="6" w16cid:durableId="114100275">
    <w:abstractNumId w:val="3"/>
  </w:num>
  <w:num w:numId="7" w16cid:durableId="1112624623">
    <w:abstractNumId w:val="2"/>
  </w:num>
  <w:num w:numId="8" w16cid:durableId="1841775349">
    <w:abstractNumId w:val="5"/>
  </w:num>
  <w:num w:numId="9" w16cid:durableId="617570435">
    <w:abstractNumId w:val="6"/>
  </w:num>
  <w:num w:numId="10" w16cid:durableId="6633224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BF2"/>
    <w:rsid w:val="00003BDC"/>
    <w:rsid w:val="00014415"/>
    <w:rsid w:val="00024F7D"/>
    <w:rsid w:val="00026CE8"/>
    <w:rsid w:val="00031F73"/>
    <w:rsid w:val="0003441E"/>
    <w:rsid w:val="00060951"/>
    <w:rsid w:val="00080C4C"/>
    <w:rsid w:val="000A5BF2"/>
    <w:rsid w:val="000B4488"/>
    <w:rsid w:val="000B7529"/>
    <w:rsid w:val="000C3A6E"/>
    <w:rsid w:val="000D0E3D"/>
    <w:rsid w:val="000F73D6"/>
    <w:rsid w:val="00126625"/>
    <w:rsid w:val="001378A4"/>
    <w:rsid w:val="00151D1A"/>
    <w:rsid w:val="00161AEA"/>
    <w:rsid w:val="00171B2B"/>
    <w:rsid w:val="00174D2B"/>
    <w:rsid w:val="001754D2"/>
    <w:rsid w:val="001930EC"/>
    <w:rsid w:val="00194F7C"/>
    <w:rsid w:val="001A6F03"/>
    <w:rsid w:val="001D5C4E"/>
    <w:rsid w:val="001E4C37"/>
    <w:rsid w:val="00220CD3"/>
    <w:rsid w:val="00235E6D"/>
    <w:rsid w:val="00244DAA"/>
    <w:rsid w:val="002A2759"/>
    <w:rsid w:val="002A3650"/>
    <w:rsid w:val="002A4BF7"/>
    <w:rsid w:val="002B7EEC"/>
    <w:rsid w:val="002C2A7A"/>
    <w:rsid w:val="002E5AA0"/>
    <w:rsid w:val="002F6564"/>
    <w:rsid w:val="00320874"/>
    <w:rsid w:val="003305B7"/>
    <w:rsid w:val="0033744C"/>
    <w:rsid w:val="00344C7E"/>
    <w:rsid w:val="00355D25"/>
    <w:rsid w:val="003609F5"/>
    <w:rsid w:val="003C0C60"/>
    <w:rsid w:val="003F48BB"/>
    <w:rsid w:val="00410BD1"/>
    <w:rsid w:val="00471590"/>
    <w:rsid w:val="004814F8"/>
    <w:rsid w:val="004B2294"/>
    <w:rsid w:val="004D1049"/>
    <w:rsid w:val="004D15E7"/>
    <w:rsid w:val="004D27B7"/>
    <w:rsid w:val="0052059D"/>
    <w:rsid w:val="00525652"/>
    <w:rsid w:val="00530C6D"/>
    <w:rsid w:val="00554301"/>
    <w:rsid w:val="00577C38"/>
    <w:rsid w:val="005901BA"/>
    <w:rsid w:val="005A2BDA"/>
    <w:rsid w:val="005B6450"/>
    <w:rsid w:val="005C31C6"/>
    <w:rsid w:val="005C331D"/>
    <w:rsid w:val="005E04AB"/>
    <w:rsid w:val="00603F78"/>
    <w:rsid w:val="00604CD3"/>
    <w:rsid w:val="00611573"/>
    <w:rsid w:val="00627878"/>
    <w:rsid w:val="00631276"/>
    <w:rsid w:val="00632326"/>
    <w:rsid w:val="006444F9"/>
    <w:rsid w:val="006614FF"/>
    <w:rsid w:val="00685703"/>
    <w:rsid w:val="00691661"/>
    <w:rsid w:val="006A1072"/>
    <w:rsid w:val="006C0457"/>
    <w:rsid w:val="006D416B"/>
    <w:rsid w:val="006E602D"/>
    <w:rsid w:val="006E7BA1"/>
    <w:rsid w:val="006F7F5A"/>
    <w:rsid w:val="0070575D"/>
    <w:rsid w:val="00740E42"/>
    <w:rsid w:val="00742DDB"/>
    <w:rsid w:val="00746B93"/>
    <w:rsid w:val="00756CF4"/>
    <w:rsid w:val="00764ED0"/>
    <w:rsid w:val="00782F25"/>
    <w:rsid w:val="00784449"/>
    <w:rsid w:val="007A3883"/>
    <w:rsid w:val="007A4259"/>
    <w:rsid w:val="007A7CE9"/>
    <w:rsid w:val="007B6E2F"/>
    <w:rsid w:val="007E3199"/>
    <w:rsid w:val="007E3623"/>
    <w:rsid w:val="00802252"/>
    <w:rsid w:val="0081797E"/>
    <w:rsid w:val="008251C1"/>
    <w:rsid w:val="008308C0"/>
    <w:rsid w:val="00830B72"/>
    <w:rsid w:val="00831F02"/>
    <w:rsid w:val="00846F04"/>
    <w:rsid w:val="008544DD"/>
    <w:rsid w:val="008635BB"/>
    <w:rsid w:val="00873991"/>
    <w:rsid w:val="00883742"/>
    <w:rsid w:val="008874C2"/>
    <w:rsid w:val="00894840"/>
    <w:rsid w:val="008A1C41"/>
    <w:rsid w:val="008D2877"/>
    <w:rsid w:val="008E5DA5"/>
    <w:rsid w:val="00900E46"/>
    <w:rsid w:val="00902D24"/>
    <w:rsid w:val="00902D37"/>
    <w:rsid w:val="0093338C"/>
    <w:rsid w:val="00942F1B"/>
    <w:rsid w:val="00954E0A"/>
    <w:rsid w:val="0096196C"/>
    <w:rsid w:val="00965DFC"/>
    <w:rsid w:val="0096780D"/>
    <w:rsid w:val="00975EB9"/>
    <w:rsid w:val="00990BE9"/>
    <w:rsid w:val="0099336F"/>
    <w:rsid w:val="009A45BB"/>
    <w:rsid w:val="009C08D6"/>
    <w:rsid w:val="009C4AA5"/>
    <w:rsid w:val="009D43B8"/>
    <w:rsid w:val="009D507A"/>
    <w:rsid w:val="009E054C"/>
    <w:rsid w:val="009F7932"/>
    <w:rsid w:val="009F7D7A"/>
    <w:rsid w:val="00A0586B"/>
    <w:rsid w:val="00A46893"/>
    <w:rsid w:val="00A56252"/>
    <w:rsid w:val="00A91B3F"/>
    <w:rsid w:val="00AA0170"/>
    <w:rsid w:val="00AB49E8"/>
    <w:rsid w:val="00B21BC3"/>
    <w:rsid w:val="00B56BFD"/>
    <w:rsid w:val="00B6013B"/>
    <w:rsid w:val="00B6307C"/>
    <w:rsid w:val="00B7582A"/>
    <w:rsid w:val="00B90656"/>
    <w:rsid w:val="00BA25B2"/>
    <w:rsid w:val="00BB3E49"/>
    <w:rsid w:val="00BB6D56"/>
    <w:rsid w:val="00BC02C1"/>
    <w:rsid w:val="00BC422D"/>
    <w:rsid w:val="00BC60CF"/>
    <w:rsid w:val="00BD3E2A"/>
    <w:rsid w:val="00BD3FC3"/>
    <w:rsid w:val="00BE4252"/>
    <w:rsid w:val="00BF43FC"/>
    <w:rsid w:val="00C00EAC"/>
    <w:rsid w:val="00C04C9D"/>
    <w:rsid w:val="00C05D88"/>
    <w:rsid w:val="00C26906"/>
    <w:rsid w:val="00C33B27"/>
    <w:rsid w:val="00C35A06"/>
    <w:rsid w:val="00C412B3"/>
    <w:rsid w:val="00C544F1"/>
    <w:rsid w:val="00C57A0C"/>
    <w:rsid w:val="00C7158C"/>
    <w:rsid w:val="00CB3085"/>
    <w:rsid w:val="00CB3FC0"/>
    <w:rsid w:val="00CE7487"/>
    <w:rsid w:val="00CF061B"/>
    <w:rsid w:val="00CF1BFD"/>
    <w:rsid w:val="00D07967"/>
    <w:rsid w:val="00D126B9"/>
    <w:rsid w:val="00D13D63"/>
    <w:rsid w:val="00D6379D"/>
    <w:rsid w:val="00D75B86"/>
    <w:rsid w:val="00D94D2C"/>
    <w:rsid w:val="00DA5A88"/>
    <w:rsid w:val="00DD2AE5"/>
    <w:rsid w:val="00DD7D48"/>
    <w:rsid w:val="00E26629"/>
    <w:rsid w:val="00E26B4D"/>
    <w:rsid w:val="00E27226"/>
    <w:rsid w:val="00E538CA"/>
    <w:rsid w:val="00E574A7"/>
    <w:rsid w:val="00E600AE"/>
    <w:rsid w:val="00E91786"/>
    <w:rsid w:val="00E94AA5"/>
    <w:rsid w:val="00EA4750"/>
    <w:rsid w:val="00EA5F16"/>
    <w:rsid w:val="00EB4995"/>
    <w:rsid w:val="00EB6A21"/>
    <w:rsid w:val="00EC3209"/>
    <w:rsid w:val="00EC40E2"/>
    <w:rsid w:val="00EC5461"/>
    <w:rsid w:val="00EF4579"/>
    <w:rsid w:val="00EF64BC"/>
    <w:rsid w:val="00F41289"/>
    <w:rsid w:val="00F431C8"/>
    <w:rsid w:val="00F46163"/>
    <w:rsid w:val="00F67D6E"/>
    <w:rsid w:val="00F876CF"/>
    <w:rsid w:val="00FA3B46"/>
    <w:rsid w:val="00FB6718"/>
    <w:rsid w:val="00FC6C0D"/>
    <w:rsid w:val="00FD3BE4"/>
    <w:rsid w:val="00FD7ABC"/>
    <w:rsid w:val="00FE51B3"/>
    <w:rsid w:val="00FF3E95"/>
    <w:rsid w:val="00FF5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E69BD"/>
  <w15:docId w15:val="{0D684F8A-D2B4-42EF-837A-262E35FE9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BF2"/>
    <w:pPr>
      <w:ind w:left="720"/>
      <w:contextualSpacing/>
    </w:pPr>
  </w:style>
  <w:style w:type="paragraph" w:styleId="HTMLPreformatted">
    <w:name w:val="HTML Preformatted"/>
    <w:basedOn w:val="Normal"/>
    <w:link w:val="HTMLPreformattedChar"/>
    <w:uiPriority w:val="99"/>
    <w:semiHidden/>
    <w:unhideWhenUsed/>
    <w:rsid w:val="000A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5BF2"/>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5BF2"/>
    <w:rPr>
      <w:rFonts w:ascii="Courier New" w:eastAsia="Times New Roman" w:hAnsi="Courier New" w:cs="Courier New"/>
      <w:sz w:val="20"/>
      <w:szCs w:val="20"/>
    </w:rPr>
  </w:style>
  <w:style w:type="character" w:styleId="PlaceholderText">
    <w:name w:val="Placeholder Text"/>
    <w:basedOn w:val="DefaultParagraphFont"/>
    <w:uiPriority w:val="99"/>
    <w:semiHidden/>
    <w:rsid w:val="00BB6D56"/>
    <w:rPr>
      <w:color w:val="808080"/>
    </w:rPr>
  </w:style>
  <w:style w:type="table" w:styleId="TableGrid">
    <w:name w:val="Table Grid"/>
    <w:basedOn w:val="TableNormal"/>
    <w:uiPriority w:val="39"/>
    <w:rsid w:val="006F7F5A"/>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293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88B186FB2403049B53A9F122EFE6A49" ma:contentTypeVersion="2" ma:contentTypeDescription="Create a new document." ma:contentTypeScope="" ma:versionID="5d5da385484094c5589b56f39e604bd1">
  <xsd:schema xmlns:xsd="http://www.w3.org/2001/XMLSchema" xmlns:xs="http://www.w3.org/2001/XMLSchema" xmlns:p="http://schemas.microsoft.com/office/2006/metadata/properties" xmlns:ns3="1d0bc497-6ee1-4a4e-befc-87b9b76315cd" targetNamespace="http://schemas.microsoft.com/office/2006/metadata/properties" ma:root="true" ma:fieldsID="845b6fa2a479c092c17a3b49522e6b73" ns3:_="">
    <xsd:import namespace="1d0bc497-6ee1-4a4e-befc-87b9b76315c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0bc497-6ee1-4a4e-befc-87b9b76315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DA866-2C4C-41A8-A35C-D67CB10B18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82BDFA-A98B-444C-9406-313419C3EE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0bc497-6ee1-4a4e-befc-87b9b76315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0A5FA0-DC60-443A-8656-B7BCE2EC2676}">
  <ds:schemaRefs>
    <ds:schemaRef ds:uri="http://schemas.microsoft.com/sharepoint/v3/contenttype/forms"/>
  </ds:schemaRefs>
</ds:datastoreItem>
</file>

<file path=customXml/itemProps4.xml><?xml version="1.0" encoding="utf-8"?>
<ds:datastoreItem xmlns:ds="http://schemas.openxmlformats.org/officeDocument/2006/customXml" ds:itemID="{3DED3435-2506-48FF-84DF-F057E8CAD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2382</Words>
  <Characters>13581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Moino</dc:creator>
  <cp:keywords/>
  <dc:description/>
  <cp:lastModifiedBy>MARCATO AGNESE</cp:lastModifiedBy>
  <cp:revision>2</cp:revision>
  <dcterms:created xsi:type="dcterms:W3CDTF">2023-02-15T09:39:00Z</dcterms:created>
  <dcterms:modified xsi:type="dcterms:W3CDTF">2023-02-15T09:39:00Z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0x010100A88B186FB2403049B53A9F122EFE6A49</vt:lpwstr>
  </property>
  <property fmtid="{D5CDD505-2E9C-101B-9397-08002B2CF9AE}" pid="3" name="Mendeley Document_1">
    <vt:lpwstr>True</vt:lpwstr>
  </property>
  <property fmtid="{D5CDD505-2E9C-101B-9397-08002B2CF9AE}" pid="4" name="Mendeley Unique User Id_1">
    <vt:lpwstr>888db00b-58ed-3379-9e09-a3c069d47faa</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