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p>
      <w:pPr>
        <w:pStyle w:val="Author"/>
      </w:pPr>
      <w:r>
        <w:t>Sri Tulasi Aeloori</w:t>
      </w:r>
      <w:r>
        <w:rPr>
          <w:vertAlign w:val="superscript"/>
        </w:rPr>
        <w:t>1</w:t>
      </w:r>
      <w:r>
        <w:t xml:space="preserve">, </w:t>
      </w:r>
      <w:r>
        <w:t>A. Manigreeva</w:t>
      </w:r>
      <w:r>
        <w:rPr>
          <w:vertAlign w:val="superscript"/>
        </w:rPr>
        <w:t>2</w:t>
      </w:r>
      <w:r>
        <w:t xml:space="preserve">, </w:t>
      </w:r>
      <w:r>
        <w:t>D. Nayaneesh</w:t>
      </w:r>
      <w:r>
        <w:rPr>
          <w:vertAlign w:val="superscript"/>
        </w:rPr>
        <w:t>3</w:t>
      </w:r>
      <w:r>
        <w:t xml:space="preserve">, </w:t>
      </w:r>
      <w:r>
        <w:t>Kantam Pavan Sai Reddy</w:t>
      </w:r>
      <w:r>
        <w:rPr>
          <w:vertAlign w:val="superscript"/>
        </w:rPr>
        <w:t>4</w:t>
      </w:r>
      <w:r>
        <w:t xml:space="preserve">, </w:t>
      </w:r>
      <w:r>
        <w:t>Kura Vignesh Reddy</w:t>
      </w:r>
      <w:r>
        <w:rPr>
          <w:vertAlign w:val="superscript"/>
        </w:rPr>
        <w:t>5</w:t>
      </w:r>
      <w:r>
        <w:t>*</w:t>
      </w:r>
      <w:r>
        <w:t xml:space="preserve">, </w:t>
      </w:r>
      <w:r>
        <w:t>Vitta Karthikeya</w:t>
      </w:r>
      <w:r>
        <w:rPr>
          <w:vertAlign w:val="superscript"/>
        </w:rPr>
        <w:t>6</w:t>
      </w:r>
    </w:p>
    <w:p>
      <w:pPr>
        <w:pStyle w:val="Affiliation"/>
      </w:pPr>
      <w:r>
        <w:t>1 CSE (AI &amp; ML); 2–6 Department of Computer Science and Engineering</w:t>
        <w:br/>
        <w:t>Keshav Memorial Institute of Technology</w:t>
        <w:br/>
        <w:t>3-5-1026, Narayanguda, Hyderabad, Telangana 500029, India</w:t>
      </w:r>
    </w:p>
    <w:p>
      <w:pPr>
        <w:pStyle w:val="Affiliation"/>
      </w:pPr>
      <w:r>
        <w:t>1 sritulasi447@gmail.com;  2 a.manigreeva@gmail.com</w:t>
      </w:r>
    </w:p>
    <w:p>
      <w:pPr>
        <w:pStyle w:val="Affiliation"/>
      </w:pPr>
      <w:r>
        <w:t>3 nayaneesh6607@gmail.com;  4 kantampavansaireddy30@gmail.com</w:t>
      </w:r>
    </w:p>
    <w:p>
      <w:pPr>
        <w:pStyle w:val="Affiliation"/>
      </w:pPr>
      <w:r>
        <w:t>5 kvigneshreddy963@gmail.com;  6 vittakarthikeya@gmail.com</w:t>
      </w:r>
    </w:p>
    <w:p>
      <w:pPr>
        <w:pStyle w:val="Affiliation"/>
      </w:pPr>
      <w:r>
        <w:t>*Corresponding author: Kura Vignesh Reddy, kvigneshreddy963@gmail.com</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baseline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baseline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At the frozen baseline, 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The baseline product and quadratic labels map to the same scoring bucket, so this discrepancy alone does not demonstrate a wrong grade. The original output remains in the frozen evidence.</w:t>
      </w:r>
    </w:p>
    <w:p>
      <w:pPr>
        <w:pStyle w:val="BodyText"/>
      </w:pPr>
      <w:r>
        <w:t>A follow-up repair at commit 752c0d0 resolves direct traversal, range(len(a)), enumerate(a), and simple stable aliases by source identity. It also prevents the substring total += 1 from being mistaken for the pointer update l += 1, which had incorrectly collapsed some nested scans to linear time. Selected unresolved Python cases—opaque iterator bounds or loop-call costs, rebound size aliases, shadowed iteration builtins, and mutation of a traversed collection—now block finalized complexity marks. Confidence, runtime agreement, and model agreement cannot override this structural block; the existing rubric reports an incomplete total without redistributing the missing weights. Thus mitigation includes deterministic identity checks, abstention, and scoring enforcement rather than model fallback alone.</w:t>
      </w:r>
    </w:p>
    <w:p>
      <w:pPr>
        <w:pStyle w:val="BodyText"/>
      </w:pPr>
      <w:r>
        <w:t>The follow-up passed 359 backend tests, including 23 new regressions, and nine frontend checks, lint, and build. It matched all 20 AI label proposals on rerun. This is a post-hoc repair on a known diagnostic set, not held-out validation. These narrow safeguards do not cover arbitrary aliasing, custom iterators, interprocedural costs, or all languages; heuristic false positives and false negatives remain possible.</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9"/>
        <w:gridCol w:w="835"/>
        <w:gridCol w:w="1066"/>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74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835"/>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06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Q &gt; C</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74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835"/>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06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baseline symbolic-bound failure and separately identified post-hoc repair remain distinguishable; the new tests do not establish robustness on unconstrained student code.</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Further evaluation can compare complexity estimates with independently adjudicated labels on problem-level holdouts and compare grading policies against blinded instructor judgments. Feedback factuality, relevance, actionability, and disclosure, together with warm/cold latency distributions and provider failures, are separate evaluation targets.</w:t>
      </w:r>
    </w:p>
    <w:p>
      <w:pPr>
        <w:pStyle w:val="BodyText"/>
      </w:pPr>
      <w:r>
        <w:t>The reported evaluation uses synthetic fixtures and supplied AI review artifacts; it does not analyze identifiable learner records or report participant outcomes. The published package excludes credentials, private course data, and real judge secrets. Imported public problem collections are not redistributed as the publication dataset.</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Sri Tulasi Aeloori; 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