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Correctness-Bounded Scoring</w:t>
      </w:r>
    </w:p>
    <w:tbl>
      <w:tblPr>
        <w:tblW w:type="auto" w:w="0"/>
        <w:tblLayout w:type="fixed"/>
        <w:tblLook w:firstColumn="1" w:firstRow="1" w:lastColumn="0" w:lastRow="0" w:noHBand="0" w:noVBand="1" w:val="04A0"/>
      </w:tblPr>
      <w:tblGrid>
        <w:gridCol w:w="3364"/>
        <w:gridCol w:w="3364"/>
        <w:gridCol w:w="3364"/>
      </w:tblGrid>
      <w:tr>
        <w:tc>
          <w:tcPr>
            <w:tcW w:type="dxa" w:w="3283"/>
          </w:tcPr>
          <w:p>
            <w:pPr>
              <w:keepNext/>
              <w:spacing w:before="0" w:after="0" w:line="240" w:lineRule="auto"/>
              <w:ind w:firstLine="0"/>
              <w:jc w:val="center"/>
            </w:pPr>
            <w:r>
              <w:rPr>
                <w:rFonts w:ascii="Times New Roman" w:hAnsi="Times New Roman"/>
                <w:i w:val="0"/>
                <w:sz w:val="20"/>
              </w:rPr>
              <w:t>Sri Tulasi Aeloori</w:t>
            </w:r>
          </w:p>
          <w:p>
            <w:pPr>
              <w:keepNext/>
              <w:spacing w:before="0" w:after="0" w:line="240" w:lineRule="auto"/>
              <w:ind w:firstLine="0"/>
              <w:jc w:val="center"/>
            </w:pPr>
            <w:r>
              <w:rPr>
                <w:rFonts w:ascii="Times New Roman" w:hAnsi="Times New Roman"/>
                <w:i/>
                <w:sz w:val="17"/>
              </w:rPr>
              <w:t>CSE (AI &amp; ML)</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sritulasi447@gmail.com</w:t>
            </w:r>
          </w:p>
        </w:tc>
        <w:tc>
          <w:tcPr>
            <w:tcW w:type="dxa" w:w="3283"/>
          </w:tcPr>
          <w:p>
            <w:pPr>
              <w:keepNext/>
              <w:spacing w:before="0" w:after="0" w:line="240" w:lineRule="auto"/>
              <w:ind w:firstLine="0"/>
              <w:jc w:val="center"/>
            </w:pPr>
            <w:r>
              <w:rPr>
                <w:rFonts w:ascii="Times New Roman" w:hAnsi="Times New Roman"/>
                <w:i w:val="0"/>
                <w:sz w:val="20"/>
              </w:rPr>
              <w:t>A. Manigreeva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a.manigreeva@gmail.com</w:t>
            </w:r>
          </w:p>
        </w:tc>
        <w:tc>
          <w:tcPr>
            <w:tcW w:type="dxa" w:w="3283"/>
          </w:tcPr>
          <w:p>
            <w:pPr>
              <w:keepNext/>
              <w:spacing w:before="0" w:after="0" w:line="240" w:lineRule="auto"/>
              <w:ind w:firstLine="0"/>
              <w:jc w:val="center"/>
            </w:pPr>
            <w:r>
              <w:rPr>
                <w:rFonts w:ascii="Times New Roman" w:hAnsi="Times New Roman"/>
                <w:i w:val="0"/>
                <w:sz w:val="20"/>
              </w:rPr>
              <w:t>D. Nayaneesh</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nayaneesh6607@gmail.com</w:t>
            </w:r>
          </w:p>
        </w:tc>
      </w:tr>
      <w:tr>
        <w:tc>
          <w:tcPr>
            <w:tcW w:type="dxa" w:w="3283"/>
          </w:tcPr>
          <w:p>
            <w:pPr>
              <w:keepNext/>
              <w:spacing w:before="0" w:after="0" w:line="240" w:lineRule="auto"/>
              <w:ind w:firstLine="0"/>
              <w:jc w:val="center"/>
            </w:pPr>
            <w:r>
              <w:rPr>
                <w:rFonts w:ascii="Times New Roman" w:hAnsi="Times New Roman"/>
                <w:i w:val="0"/>
                <w:sz w:val="20"/>
              </w:rPr>
              <w:t>Kantam Pavan Sai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kantampavansaireddy30@gmail.com</w:t>
            </w:r>
          </w:p>
        </w:tc>
        <w:tc>
          <w:tcPr>
            <w:tcW w:type="dxa" w:w="3283"/>
          </w:tcPr>
          <w:p>
            <w:pPr>
              <w:keepNext/>
              <w:spacing w:before="0" w:after="0" w:line="240" w:lineRule="auto"/>
              <w:ind w:firstLine="0"/>
              <w:jc w:val="center"/>
            </w:pPr>
            <w:r>
              <w:rPr>
                <w:rFonts w:ascii="Times New Roman" w:hAnsi="Times New Roman"/>
                <w:i w:val="0"/>
                <w:sz w:val="20"/>
              </w:rPr>
              <w:t>Kura Vignesh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kvigneshreddy963@gmail.com</w:t>
            </w:r>
          </w:p>
        </w:tc>
        <w:tc>
          <w:tcPr>
            <w:tcW w:type="dxa" w:w="3283"/>
          </w:tcPr>
          <w:p>
            <w:pPr>
              <w:keepNext/>
              <w:spacing w:before="0" w:after="0" w:line="240" w:lineRule="auto"/>
              <w:ind w:firstLine="0"/>
              <w:jc w:val="center"/>
            </w:pPr>
            <w:r>
              <w:rPr>
                <w:rFonts w:ascii="Times New Roman" w:hAnsi="Times New Roman"/>
                <w:i w:val="0"/>
                <w:sz w:val="20"/>
              </w:rPr>
              <w:t>Vitta Karthikeya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vittakarthikeya@gmail.com</w:t>
            </w:r>
          </w:p>
        </w:tc>
      </w:tr>
    </w:tbl>
    <w:p>
      <w:pPr>
        <w:pStyle w:val="Affiliation"/>
      </w:pPr>
      <w:r>
        <w:t>*Corresponding author: Kura Vignesh Reddy, kvigneshreddy963@gmail.com</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assessments can reward an efficient program even when it returns wrong answers, while AI feedback can promise gains that have never been tested. CodeVedha addresses both problems by separating observed correctness, inferred complexity, and advice. It combines isolated code execution with a versioned rubric whose final mark cannot exceed the percentage of evaluated cases passed. Instructors can change component weights without removing this constraint. An optional projection route executes a private candidate implementing the displayed guidance and scores it under the saved rubric. On 84 synthetic configurations per rule, weighted aggregation exceeded observed correctness in 49 cases and a fixed failure cap did so in 43; multiplication and the proposed ceiling had no unrounded violations. All eight live execution contracts met their expected outcomes, and candidate scores matched fresh assessments under two rubrics. A diagnostic set of 20 synthetic snippets exposed a failure to recognize equal loop dimensions. These findings support implementation consistency, not expert grading accuracy, optimal weights, or improved student learning.</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Setting correctness to 100% would enforce a correctness-only grade, but it would give equally correct solutions the same mark regardless of their time, storage, or source quality. A complexity-focused course needs to distinguish those solutions. We therefore separate a mandatory correctness bound from the instructor's allocation of quality credit. The bound applies to every valid weight configuration, including zero internal correctness weight; changing weights through the supported interface cannot remove it. Efficiency can reduce the grade of a correct solution, but cannot lift an incorrect solution above its observed correctness. This is a policy distinction, not a claim that the minimum operator is a new mathematical result.</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Assignment access and due dates are enforced separately from independent practice.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BodyText"/>
      </w:pPr>
      <w:r>
        <w:t>SPEED derives symbolic execution bounds using instrumentation and invariants [7]. Multivariate amortized resource analysis relates several input dimensions through a type-based framework with a soundness argument [8]. CodeVedha instead uses structural heuristics and optional model review; it does not claim comparable soundness or replace these inference methods. Its contribution concerns how uncertain estimates, execution evidence, and candidate scores enter an assessment.</w:t>
      </w:r>
    </w:p>
    <w:p>
      <w:pPr>
        <w:pStyle w:val="BodyText"/>
      </w:pPr>
      <w:r>
        <w:t>Jonsson and Svingby distinguish scoring reliability from validity and educational consequences [9]. Their review motivates explicit criteria and independent validation, not our exact numerical weights. Thus formal resource analysis addresses bound derivation, programming-feedback systems address learner advice, and CodeVedha studies the consistency of the grading and projection contract connecting these outputs. This positioning is conceptual; no comparative superiority experiment was conducted.</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official assessment from optional projection. A React frontend communicates with a FastAPI backend and PostgreSQL storage; a separate container service executes Python, C, C++, Java, and JavaScript. The report persists execution results, complexity evidence, component scores, and the rubric used for that submission. Specialized workflow steps do not themselves establish superiority over a single model.</w:t>
      </w:r>
    </w:p>
    <w:p>
      <w:pPr>
        <w:pStyle w:val="BodyText"/>
      </w:pPr>
      <w:r>
        <w:t>Students must pass public examples before submission. The server rechecks eligibility against the exact submitted source, so a browser flag or an earlier successful run cannot authorize changed code. Full assessment evaluates configured public and private cases; passing all determines acceptance. Service outages are distinguished from student compilation or execution failures. Enrollment, instructor policy, and due dates are checked before course execution.</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Human-readable labels and nested arrays must be serialized into a documented executable input format. Our nested-list fixtures use an outer count followed by each row's width and values. Thus four interval pairs arrive as count four and four width-two rows. A parser expecting only successive pairs consumes those widths as data. Serialization and parser agreement are prerequisites to judging the algorithm.</w:t>
      </w:r>
    </w:p>
    <w:p>
      <w:pPr>
        <w:pStyle w:val="BodyText"/>
      </w:pPr>
      <w:r>
        <w:t>The service compiles the requested source in a disposable workspace and supplies each case through standard input. Results retain compilation status, exit behavior, stdout, stderr, and resource-limit outcomes. Comparison normalizes line endings and trailing whitespace, accepts structurally equal JSON, and otherwise compares whitespace-delimited tokens. It does not generally sort output or apply numeric tolerances; some tasks need dedicated comparators.</w:t>
      </w:r>
    </w:p>
    <w:p>
      <w:pPr>
        <w:pStyle w:val="BodyText"/>
      </w:pPr>
      <w:r>
        <w:t>Runtime containers restrict user privileges, networking, filesystem writes, processes, CPU, and memory using Docker controls [10]. These precautions are not a formal security guarantee. Compilation and container overhead are not algorithmic complexity evidence.</w:t>
      </w:r>
    </w:p>
    <w:p>
      <w:pPr>
        <w:pStyle w:val="Heading2"/>
        <w:numPr>
          <w:numId w:val="0"/>
        </w:numPr>
      </w:pPr>
      <w:r>
        <w:t>C. Complexity and Style Evidence</w:t>
      </w:r>
    </w:p>
    <w:p>
      <w:pPr>
        <w:pStyle w:val="BodyText"/>
      </w:pPr>
      <w:r>
        <w:t>The analyzer uses Tree-sitter syntax [11], loop bounds, nesting, recognized operations, and allocation patterns. It records expressions, heuristic confidence, method, status, and supporting signals. Complete structural results at the default direct threshold of 0.85 can proceed without optional model review. This confidence is not a calibrated probability of correctness. For weaker evidence, observational runtime growth and enabled AI review may contribute; sparse timings do not establish asymptotic bounds. Conflicting AI estimates do not silently replace existing structural expressions. Private target complexities stay in backend scoring, and missing estimates do not receive invented full marks.</w:t>
      </w:r>
    </w:p>
    <w:p>
      <w:pPr>
        <w:pStyle w:val="BodyText"/>
      </w:pPr>
      <w:r>
        <w:t>Time and space percentages compare inferred expressions with curated target ranks on ten ordered buckets: constant, logarithmic, square-root, linear, linearithmic, quadratic, cubic, fourth-degree-or-higher polynomial, exponential, and factorial. Multivariate expressions remain visible, although scoring projects them onto this finite ladder. This is a grading convention, not universal equivalence of complexity functions; incorrect targets or dimension assumptions can bias marks.</w:t>
      </w:r>
    </w:p>
    <w:p>
      <w:pPr>
        <w:pStyle w:val="BodyText"/>
      </w:pPr>
      <w:r>
        <w:t>For submitted rank rₛ, target rank rₜ, and L buckets, the penalty is 25 max(0, rₛ − rₜ) / max(1, L − rₜ). Subtracting it from 25, clipping to [0, 25], and rounding to three decimals gives component marks; multiplying by four gives the percentage. Both resource components follow this rule. Unmappable expressions require review.</w:t>
      </w:r>
    </w:p>
    <w:p>
      <w:pPr>
        <w:pStyle w:val="BodyText"/>
      </w:pPr>
      <w:r>
        <w:t>Storage conventions depend on the interface: a supplied function input is excluded from auxiliary space, whereas an input-sized container allocated by a submitted standard-input program counts under the platform policy. Deterministic style checks cover naming, readability, modularity, and maintainability, each contributing up to 25 percentage points. Comments are removed before checking, so missing comments alone do not reduce style. These findings are heuristics, not expert aesthetic judgments.</w:t>
      </w:r>
    </w:p>
    <w:p>
      <w:pPr>
        <w:pStyle w:val="Heading1"/>
        <w:numPr>
          <w:numId w:val="0"/>
        </w:numPr>
      </w:pPr>
      <w:r>
        <w:t>IV. Versioned Scoring Policy</w:t>
      </w:r>
    </w:p>
    <w:p>
      <w:pPr>
        <w:pStyle w:val="Heading2"/>
        <w:numPr>
          <w:numId w:val="0"/>
        </w:numPr>
      </w:pPr>
      <w:r>
        <w:t>A. Components and Weights</w:t>
      </w:r>
    </w:p>
    <w:p>
      <w:pPr>
        <w:pStyle w:val="BodyText"/>
      </w:pPr>
      <w:r>
        <w:t>Let N be the total required test cases, E the cases with valid execution verdicts, and p the accepted cases. Equation (1) applies only when E = N &gt; 0. If E &lt; N or any case has an infrastructure error, correctness is unknown and the final assessment remains incomplete. Thus five passes with fifteen cases unavailable in a twenty-case suite do not yield 100% correctness. Student-caused runtime errors and timeouts are evaluated failures; service outages are not. Confirmed compilation failure yields zero correctness. Passing a finite suite does not prove correctness for all valid inputs. Cases receive equal weight, so diversity and duplicates affect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before efficiency or style. The report can show a failed public case or intentionally reveal one failed private case as a learning example; remaining private details are redacted. Repeated submissions can disclose additional cases, a deployment tradeoff rather than a secrecy guarantee. Guided stages ask the learner to implement one scoped repair or improvement; instructor policy may restrict assistance.</w:t>
      </w:r>
    </w:p>
    <w:p>
      <w:pPr>
        <w:pStyle w:val="BodyText"/>
      </w:pPr>
      <w:r>
        <w:t>Projection is a separate, optional measurement. A private candidate generator receives source, public context, stage, and exact displayed guidance. An AI-assisted review checks whether the advice is supported, the candidate implements its material actions, and the stage scope is preserved. This is model judgment, not a proof of equivalence. Table II summarizes the eligibility gates and observable outcomes.</w:t>
      </w:r>
    </w:p>
    <w:p>
      <w:pPr>
        <w:pStyle w:val="tablehead"/>
        <w:keepNext/>
        <w:numPr>
          <w:numId w:val="0"/>
        </w:numPr>
        <w:spacing w:before="100" w:after="80"/>
      </w:pPr>
      <w:r>
        <w:t>TABLE II. CANDIDATE PROJECTION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1872"/>
      </w:tblGrid>
      <w:tr>
        <w:trPr>
          <w:tblHeader/>
          <w:cantSplit/>
        </w:trPr>
        <w:tc>
          <w:tcPr>
            <w:tcW w:type="dxa" w:w="2938"/>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Condition</w:t>
            </w:r>
          </w:p>
        </w:tc>
        <w:tc>
          <w:tcPr>
            <w:tcW w:type="dxa" w:w="1872"/>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Outcome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Missing, unsupported, or misaligned guidance/candidate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Withhold measured projection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Alignment passes; execution or assessment incomplete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Checking or unavailable; no promised gain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All cases pass; complete evidence; saved rubric matches</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Measure candidate score and difference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Measured difference is zero or negative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Keep verified no increase</w:t>
            </w:r>
          </w:p>
        </w:tc>
      </w:tr>
      <w:tr>
        <w:trPr>
          <w:cantSplit/>
        </w:trPr>
        <w:tc>
          <w:tcPr>
            <w:tcW w:type="dxa" w:w="2938"/>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Learner submits a later implementation</w:t>
            </w:r>
          </w:p>
        </w:tc>
        <w:tc>
          <w:tcPr>
            <w:tcW w:type="dxa" w:w="1872"/>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Execute and assess it afresh</w:t>
            </w:r>
          </w:p>
        </w:tc>
      </w:tr>
    </w:tbl>
    <w:p>
      <w:pPr>
        <w:pStyle w:val="BodyText"/>
        <w:spacing w:after="20"/>
      </w:pPr>
    </w:p>
    <w:p>
      <w:pPr>
        <w:pStyle w:val="BodyText"/>
      </w:pPr>
      <w:r>
        <w:t>Only an eligible candidate that passes every configured case and has complete weighted evidence receives a measured score under the original saved rubric. Equation (4) gives the displayed difference. The number belongs to that candidate; it does not guarantee a gain for the learner's later implementation, which is assessed afresh.</w:t>
      </w:r>
    </w:p>
    <w:p>
      <w:pPr>
        <w:pStyle w:val="BodyText"/>
        <w:ind w:firstLine="0"/>
        <w:jc w:val="center"/>
      </w:pPr>
      <m:oMath>
        <m:r>
          <m:t xml:space="preserve">Δ = S(candidate) − S(saved submission).</m:t>
        </m:r>
      </m:oMath>
      <w:r>
        <w:rPr>
          <w:sz w:val="18"/>
        </w:rPr>
        <w:t xml:space="preserve">   (4)</w:t>
      </w:r>
    </w:p>
    <w:p>
      <w:pPr>
        <w:pStyle w:val="BodyText"/>
      </w:pPr>
      <w:r>
        <w:t>Zero or negative differences are retained rather than replaced with positive gains. Saved status distinguishes checking, slower verification, paused refresh, and unavailable results. Bounded retries and request identifiers prevent stale work replacing a newer stage. Candidate source and private metadata stay server-side; matching includes source, rubric, and test context. No real-provider latency or success-rate claim follows from the controlled tests.</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baseline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baseline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Diagnostic Complexity Case Study</w:t>
      </w:r>
    </w:p>
    <w:p>
      <w:pPr>
        <w:pStyle w:val="BodyText"/>
      </w:pPr>
      <w:r>
        <w:t>We use 20 original AI-assisted synthetic function snippets across Python, C, C++, Java, and JavaScript: direct summation, repeated summation, linear search, and binary search. There are only two problem groups, not 20 independent problems. Search inputs are sorted; the convention is worst-case time and auxiliary space excluding caller-supplied inputs, with unit-cost arithmetic.</w:t>
      </w:r>
    </w:p>
    <w:p>
      <w:pPr>
        <w:pStyle w:val="BodyText"/>
      </w:pPr>
      <w:r>
        <w:t>Two supplied AI label files agreed on all 20 time and space labels. Their identities, prompts, settings, and independence were not verified; they are not expert ground truth. With the optional provider disabled, the analyzer answered all 20 snippets and matched 19 time labels, 20 space labels, and 19 joint labels. All disagreement was in python-S02, reproduced in Listing 1. These descriptive counts locate a diagnostic discrepancy; they do not validate grading accuracy or generalization.</w:t>
      </w:r>
    </w:p>
    <w:p>
      <w:pPr>
        <w:pStyle w:val="tablehead"/>
        <w:keepNext/>
        <w:numPr>
          <w:numId w:val="0"/>
        </w:numPr>
        <w:spacing w:before="100" w:after="80"/>
      </w:pPr>
      <w:r>
        <w:t>Listing 1. Original diagnostic fixture python-S02.</w:t>
      </w:r>
    </w:p>
    <w:p>
      <w:pPr>
        <w:pStyle w:val="BodyText"/>
        <w:keepLines/>
        <w:ind w:firstLine="0" w:left="144"/>
        <w:jc w:val="left"/>
      </w:pPr>
      <w:r>
        <w:rPr>
          <w:sz w:val="18"/>
        </w:rPr>
        <w:t>def solve(a):</w:t>
        <w:br/>
        <w:t xml:space="preserve">    total = 0</w:t>
        <w:br/>
        <w:t xml:space="preserve">    for i in range(len(a)):</w:t>
        <w:br/>
        <w:t xml:space="preserve">        total = 0</w:t>
        <w:br/>
        <w:t xml:space="preserve">        for value in a:</w:t>
        <w:br/>
        <w:t xml:space="preserve">            total += value</w:t>
        <w:br/>
        <w:t xml:space="preserve">    return total</w:t>
      </w:r>
    </w:p>
    <w:p>
      <w:pPr>
        <w:pStyle w:val="BodyText"/>
      </w:pPr>
      <w:r>
        <w:t>At the frozen baseline, the recorded output was O(m*n) time and O(1) space, with heuristic confidence 0.95. Both AI proposals gave O(n²) and O(1). Here the outer range and inner traversal both use a: for n = len(a), the inner addition executes n² times. The matching mathematical specialization is m = n, not an independent dimension. Thus this is a lost size relation and a strict-label mismatch, not evidence that every product bound is incorrect. The reset of total also makes the algorithm functionally wasteful: for nonempty input, only the last recomputed sum is returned.</w:t>
      </w:r>
    </w:p>
    <w:p>
      <w:pPr>
        <w:pStyle w:val="BodyText"/>
      </w:pPr>
      <w:r>
        <w:t>The issue can arise when separate syntactic traversals, aliases, or helper results refer to the same collection size without carrying that relation into the bound. Conversely, independent arrays of lengths m and n require O(m*n). Replacing every product with O(n²) would erase genuine multivariate costs, whose importance is established in [8]. The baseline product and quadratic labels map to the same scoring bucket, so this discrepancy alone does not demonstrate a wrong grade. The original output remains in the frozen evidence.</w:t>
      </w:r>
    </w:p>
    <w:p>
      <w:pPr>
        <w:pStyle w:val="BodyText"/>
      </w:pPr>
      <w:r>
        <w:t>A follow-up repair at commit 752c0d0 resolves direct traversal, range(len(a)), enumerate(a), and simple stable aliases by source identity. It also prevents the substring total += 1 from being mistaken for the pointer update l += 1, which had incorrectly collapsed some nested scans to linear time. Selected unresolved Python cases—opaque iterator bounds or loop-call costs, rebound size aliases, shadowed iteration builtins, and mutation of a traversed collection—now block finalized complexity marks. Confidence, runtime agreement, and model agreement cannot override this structural block; the existing rubric reports an incomplete total without redistributing the missing weights. Thus mitigation includes deterministic identity checks, abstention, and scoring enforcement rather than model fallback alone.</w:t>
      </w:r>
    </w:p>
    <w:p>
      <w:pPr>
        <w:pStyle w:val="BodyText"/>
      </w:pPr>
      <w:r>
        <w:t>The follow-up passed 359 backend tests, including 23 new regressions, and nine frontend checks, lint, and build. It matched all 20 AI label proposals on rerun. This is a post-hoc repair on a known diagnostic set, not held-out validation. These narrow safeguards do not cover arbitrary aliasing, custom iterators, interprocedural costs, or all languages; heuristic false positives and false negatives remain possible.</w:t>
      </w:r>
    </w:p>
    <w:p>
      <w:pPr>
        <w:pStyle w:val="BodyText"/>
      </w:pPr>
      <w:r>
        <w:t>Coverage is answered cases divided by eligible cases; exact agreement uses the answered-case denominator, separately for time, space, and joint labels. Both denominators happen to be 20 here. Related cross-language variants and AI proposals preclude an independent-sample accuracy interpretation.</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Table V summarizes the final unrounded ceiling scores for the same 28 vectors under each profile. The grid is synthetic and equally weighted, so its mean and median describe policy sensitivity, not a student grade distribution. At C = 100, T = M = 50, Y = 80, scores are 68.0, 70.0, and 73.0. None identifies the best rubric without independent instructor judgments.</w:t>
      </w:r>
    </w:p>
    <w:p>
      <w:pPr>
        <w:pStyle w:val="tablehead"/>
        <w:keepNext/>
        <w:numPr>
          <w:numId w:val="0"/>
        </w:numPr>
        <w:spacing w:before="100" w:after="80"/>
      </w:pPr>
      <w:r>
        <w:t>TABLE V. WEIGHT SENSITIVITY ON THE SAME SYNTHETIC GRID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648"/>
        <w:gridCol w:w="706"/>
        <w:gridCol w:w="1584"/>
      </w:tblGrid>
      <w:tr>
        <w:trPr>
          <w:tblHeader/>
          <w:cantSplit/>
        </w:trPr>
        <w:tc>
          <w:tcPr>
            <w:tcW w:type="dxa" w:w="1872"/>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 profile</w:t>
            </w:r>
          </w:p>
        </w:tc>
        <w:tc>
          <w:tcPr>
            <w:tcW w:type="dxa" w:w="64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Mean</w:t>
            </w:r>
          </w:p>
        </w:tc>
        <w:tc>
          <w:tcPr>
            <w:tcW w:type="dxa" w:w="70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Median</w:t>
            </w:r>
          </w:p>
        </w:tc>
        <w:tc>
          <w:tcPr>
            <w:tcW w:type="dxa" w:w="1584"/>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Raw weighted score exceeds correctness (Q &gt; C)</w:t>
            </w:r>
          </w:p>
        </w:tc>
      </w:tr>
      <w:tr>
        <w:trPr>
          <w:cantSplit/>
        </w:trPr>
        <w:tc>
          <w:tcPr>
            <w:tcW w:type="dxa" w:w="1872"/>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Default 30/35/25/10</w:t>
            </w:r>
          </w:p>
        </w:tc>
        <w:tc>
          <w:tcPr>
            <w:tcW w:type="dxa" w:w="64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55.88</w:t>
            </w:r>
          </w:p>
        </w:tc>
        <w:tc>
          <w:tcPr>
            <w:tcW w:type="dxa" w:w="70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66.35</w:t>
            </w:r>
          </w:p>
        </w:tc>
        <w:tc>
          <w:tcPr>
            <w:tcW w:type="dxa" w:w="1584"/>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16/28</w:t>
            </w:r>
          </w:p>
        </w:tc>
      </w:tr>
      <w:tr>
        <w:trPr>
          <w:cantSplit/>
        </w:trPr>
        <w:tc>
          <w:tcPr>
            <w:tcW w:type="dxa" w:w="1872"/>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Equal 25/25/25/25</w:t>
            </w:r>
          </w:p>
        </w:tc>
        <w:tc>
          <w:tcPr>
            <w:tcW w:type="dxa" w:w="64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56.23</w:t>
            </w:r>
          </w:p>
        </w:tc>
        <w:tc>
          <w:tcPr>
            <w:tcW w:type="dxa" w:w="70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68.62</w:t>
            </w:r>
          </w:p>
        </w:tc>
        <w:tc>
          <w:tcPr>
            <w:tcW w:type="dxa" w:w="1584"/>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17/28</w:t>
            </w:r>
          </w:p>
        </w:tc>
      </w:tr>
      <w:tr>
        <w:trPr>
          <w:cantSplit/>
        </w:trPr>
        <w:tc>
          <w:tcPr>
            <w:tcW w:type="dxa" w:w="1872"/>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40/30/20/10</w:t>
            </w:r>
          </w:p>
        </w:tc>
        <w:tc>
          <w:tcPr>
            <w:tcW w:type="dxa" w:w="64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56.92</w:t>
            </w:r>
          </w:p>
        </w:tc>
        <w:tc>
          <w:tcPr>
            <w:tcW w:type="dxa" w:w="70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70.80</w:t>
            </w:r>
          </w:p>
        </w:tc>
        <w:tc>
          <w:tcPr>
            <w:tcW w:type="dxa" w:w="1584"/>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16/28</w:t>
            </w:r>
          </w:p>
        </w:tc>
      </w:tr>
    </w:tbl>
    <w:p>
      <w:pPr>
        <w:pStyle w:val="BodyText"/>
        <w:spacing w:after="20"/>
      </w:pPr>
    </w:p>
    <w:p>
      <w:pPr>
        <w:pStyle w:val="BodyText"/>
      </w:pPr>
      <w:r>
        <w:t>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Heading2"/>
        <w:numPr>
          <w:numId w:val="0"/>
        </w:numPr>
      </w:pPr>
      <w:r>
        <w:t>E. Reproducibility and Data Availability</w:t>
      </w:r>
    </w:p>
    <w:p>
      <w:pPr>
        <w:pStyle w:val="BodyText"/>
      </w:pPr>
      <w:r>
        <w:t>The tagged artifact release [12]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baseline symbolic-bound failure and separately identified post-hoc repair remain distinguishable; the new tests do not establish robustness on unconstrained student code.</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Future evaluation should compare complexity estimates with independently adjudicated labels on problem-held-out data, compare grades with blinded instructor judgments, and measure feedback quality, latency, and provider failures.</w:t>
      </w:r>
    </w:p>
    <w:p>
      <w:pPr>
        <w:pStyle w:val="BodyText"/>
      </w:pPr>
      <w:r>
        <w:t>The evaluation uses synthetic fixtures and supplied AI artifacts, without identifiable learner data or participant outcomes. The public package excludes credentials, private course data, real judge secrets, and imported problem collections.</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 diagnostic case study exposes a missing symbolic size relation.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assisted with preparing and revising the abstract and Sections I–VIII, verification scripts, synthetic fixtures, and the architecture illustration. The pilot labels were AI-assisted proposals, not human expert judgments. The authors take responsibility for the paper’s content.</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S. Gulwani, K. K. Mehra, and T. Chilimbi, “SPEED: Precise and efficient static estimation of program computational complexity,” in Proceedings of the 36th ACM SIGPLAN-SIGACT Symposium on Principles of Programming Languages, 2009. [Online]. Available: https://www.microsoft.com/en-us/research/wp-content/uploads/2016/02/popl09_speed.pdf</w:t>
      </w:r>
    </w:p>
    <w:p>
      <w:pPr>
        <w:pStyle w:val="references"/>
        <w:numPr>
          <w:numId w:val="0"/>
        </w:numPr>
        <w:ind w:hanging="216" w:left="216"/>
        <w:jc w:val="left"/>
      </w:pPr>
      <w:r>
        <w:t>[8] J. Hoffmann, K. Aehlig, and M. Hofmann, “Multivariate amortized resource analysis,” in Proceedings of the 38th ACM SIGPLAN-SIGACT Symposium on Principles of Programming Languages, 2011, pp. 357–370, doi: 10.1145/1926385.1926427.</w:t>
      </w:r>
    </w:p>
    <w:p>
      <w:pPr>
        <w:pStyle w:val="references"/>
        <w:numPr>
          <w:numId w:val="0"/>
        </w:numPr>
        <w:ind w:hanging="216" w:left="216"/>
        <w:jc w:val="left"/>
      </w:pPr>
      <w:r>
        <w:t>[9] A. Jonsson and G. Svingby, “The use of scoring rubrics: Reliability, validity and educational consequences,” Educational Research Review, vol. 2, no. 2, pp. 130–144, 2007, doi: 10.1016/j.edurev.2007.05.002.</w:t>
      </w:r>
    </w:p>
    <w:p>
      <w:pPr>
        <w:pStyle w:val="references"/>
        <w:numPr>
          <w:numId w:val="0"/>
        </w:numPr>
        <w:ind w:hanging="216" w:left="216"/>
        <w:jc w:val="left"/>
      </w:pPr>
      <w:r>
        <w:t>[10] Docker, Inc., “docker container run,” Docker Documentation. Accessed: Oct. 30, 2026. [Online]. Available: https://docs.docker.com/reference/cli/docker/container/run/</w:t>
      </w:r>
    </w:p>
    <w:p>
      <w:pPr>
        <w:pStyle w:val="references"/>
        <w:numPr>
          <w:numId w:val="0"/>
        </w:numPr>
        <w:ind w:hanging="216" w:left="216"/>
        <w:jc w:val="left"/>
      </w:pPr>
      <w:r>
        <w:t>[11] Tree-sitter Contributors, “Tree-sitter: An incremental parsing system for programming tools.” Accessed: Oct. 30, 2026. [Online]. Available: https://github.com/tree-sitter/tree-sitter</w:t>
      </w:r>
    </w:p>
    <w:p>
      <w:pPr>
        <w:pStyle w:val="references"/>
        <w:numPr>
          <w:numId w:val="0"/>
        </w:numPr>
        <w:ind w:hanging="216" w:left="216"/>
        <w:jc w:val="left"/>
      </w:pPr>
      <w:r>
        <w:t>[12]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Correctness-Bounded Scoring</dc:title>
  <dc:subject>EmergIN 2027 systems paper and reproducible pilot evaluation</dc:subject>
  <dc:creator>Sri Tulasi Aeloori; 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