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明澜科技项目交付协同平台需求说明</w:t>
      </w:r>
    </w:p>
    <w:p>
      <w:pPr/>
      <w:r>
        <w:t>本文面向业务负责人、项目经理和信息化团队，明确首期范围、业务规则、确定性指标、验收边界和待确认事项。所有数据均为合成样例。</w:t>
      </w:r>
    </w:p>
    <w:p>
      <w:pPr>
        <w:pStyle w:val="Heading1"/>
      </w:pPr>
      <w:r>
        <w:t>1 项目目标与范围</w:t>
      </w:r>
    </w:p>
    <w:p>
      <w:pPr>
        <w:pStyle w:val="ListBullet"/>
      </w:pPr>
      <w:r>
        <w:t>统一客户需求、方案评审、工作量估算、报价、计划和交付成果。</w:t>
      </w:r>
    </w:p>
    <w:p>
      <w:pPr>
        <w:pStyle w:val="ListBullet"/>
      </w:pPr>
      <w:r>
        <w:t>首期服务销售顾问、方案架构师、项目经理和商务人员，共 260 名注册用户。</w:t>
      </w:r>
    </w:p>
    <w:p>
      <w:pPr>
        <w:pStyle w:val="ListBullet"/>
      </w:pPr>
      <w:r>
        <w:t>不建设通用 CRM、财务核算、合同电子签章或公共模板交易市场。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AC-01-01</w:t>
            </w:r>
          </w:p>
        </w:tc>
        <w:tc>
          <w:tcPr>
            <w:tcW w:type="dxa" w:w="3312"/>
            <w:vAlign w:val="center"/>
          </w:tcPr>
          <w:p>
            <w:r>
              <w:t>统一客户需求、方案评审、工作量估算、报价、计划和交付成果。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AC-01-02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首期服务销售顾问、方案架构师、项目经理和商务人员，共 260 名注册用户。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AC-01-03</w:t>
            </w:r>
          </w:p>
        </w:tc>
        <w:tc>
          <w:tcPr>
            <w:tcW w:type="dxa" w:w="3312"/>
            <w:vAlign w:val="center"/>
          </w:tcPr>
          <w:p>
            <w:r>
              <w:t>不建设通用 CRM、财务核算、合同电子签章或公共模板交易市场。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p>
      <w:pPr>
        <w:pStyle w:val="Heading1"/>
      </w:pPr>
      <w:r>
        <w:t>2 角色与权限</w:t>
      </w:r>
    </w:p>
    <w:p>
      <w:pPr>
        <w:pStyle w:val="ListBullet"/>
      </w:pPr>
      <w:r>
        <w:t>销售顾问可创建项目和上传客户材料，但不能查看内部成本。</w:t>
      </w:r>
    </w:p>
    <w:p>
      <w:pPr>
        <w:pStyle w:val="ListBullet"/>
      </w:pPr>
      <w:r>
        <w:t>方案架构师维护需求、功能和方案章节，可锁定已确认对象。</w:t>
      </w:r>
    </w:p>
    <w:p>
      <w:pPr>
        <w:pStyle w:val="ListBullet"/>
      </w:pPr>
      <w:r>
        <w:t>商务人员维护角色单价和税率，只能发布经确认的报价版本。</w:t>
      </w:r>
    </w:p>
    <w:p>
      <w:pPr>
        <w:pStyle w:val="ListBullet"/>
      </w:pPr>
      <w:r>
        <w:t>客户访客仅可访问短期分享链接中的客户可见成果。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AC-02-01</w:t>
            </w:r>
          </w:p>
        </w:tc>
        <w:tc>
          <w:tcPr>
            <w:tcW w:type="dxa" w:w="3312"/>
            <w:vAlign w:val="center"/>
          </w:tcPr>
          <w:p>
            <w:r>
              <w:t>销售顾问可创建项目和上传客户材料，但不能查看内部成本。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AC-02-02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方案架构师维护需求、功能和方案章节，可锁定已确认对象。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AC-02-03</w:t>
            </w:r>
          </w:p>
        </w:tc>
        <w:tc>
          <w:tcPr>
            <w:tcW w:type="dxa" w:w="3312"/>
            <w:vAlign w:val="center"/>
          </w:tcPr>
          <w:p>
            <w:r>
              <w:t>商务人员维护角色单价和税率，只能发布经确认的报价版本。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p>
      <w:pPr>
        <w:pStyle w:val="Heading1"/>
      </w:pPr>
      <w:r>
        <w:t>3 材料与模板</w:t>
      </w:r>
    </w:p>
    <w:p>
      <w:pPr>
        <w:pStyle w:val="ListBullet"/>
      </w:pPr>
      <w:r>
        <w:t>项目材料支持 DOCX、PDF、PPTX、XLSX、CSV、TXT 和图片。</w:t>
      </w:r>
    </w:p>
    <w:p>
      <w:pPr>
        <w:pStyle w:val="ListBullet"/>
      </w:pPr>
      <w:r>
        <w:t>企业模板支持 DOCX、XLSX 和 PPTX，系统只提取品牌颜色、字体和兼容页面尺寸。</w:t>
      </w:r>
    </w:p>
    <w:p>
      <w:pPr>
        <w:pStyle w:val="ListBullet"/>
      </w:pPr>
      <w:r>
        <w:t>模板正文、宏、外部链接和嵌入对象不得复制到项目成果。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AC-03-01</w:t>
            </w:r>
          </w:p>
        </w:tc>
        <w:tc>
          <w:tcPr>
            <w:tcW w:type="dxa" w:w="3312"/>
            <w:vAlign w:val="center"/>
          </w:tcPr>
          <w:p>
            <w:r>
              <w:t>项目材料支持 DOCX、PDF、PPTX、XLSX、CSV、TXT 和图片。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AC-03-02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企业模板支持 DOCX、XLSX 和 PPTX，系统只提取品牌颜色、字体和兼容页面尺寸。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AC-03-03</w:t>
            </w:r>
          </w:p>
        </w:tc>
        <w:tc>
          <w:tcPr>
            <w:tcW w:type="dxa" w:w="3312"/>
            <w:vAlign w:val="center"/>
          </w:tcPr>
          <w:p>
            <w:r>
              <w:t>模板正文、宏、外部链接和嵌入对象不得复制到项目成果。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p>
      <w:pPr>
        <w:pStyle w:val="Heading1"/>
      </w:pPr>
      <w:r>
        <w:t>4 七类成果</w:t>
      </w:r>
    </w:p>
    <w:p>
      <w:pPr>
        <w:pStyle w:val="ListBullet"/>
      </w:pPr>
      <w:r>
        <w:t>系统形成需求分析、功能清单、工作量估算、实施计划、项目报价、整体解决方案和汇报演示。</w:t>
      </w:r>
    </w:p>
    <w:p>
      <w:pPr>
        <w:pStyle w:val="ListBullet"/>
      </w:pPr>
      <w:r>
        <w:t>七类成果必须引用同一项目内容版本，并保持需求、功能、工作量、日期和金额一致。</w:t>
      </w:r>
    </w:p>
    <w:p>
      <w:pPr>
        <w:pStyle w:val="ListBullet"/>
      </w:pPr>
      <w:r>
        <w:t>客户交付包不得包含内部成本、利润、原始材料或内部备注。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AC-04-01</w:t>
            </w:r>
          </w:p>
        </w:tc>
        <w:tc>
          <w:tcPr>
            <w:tcW w:type="dxa" w:w="3312"/>
            <w:vAlign w:val="center"/>
          </w:tcPr>
          <w:p>
            <w:r>
              <w:t>系统形成需求分析、功能清单、工作量估算、实施计划、项目报价、整体解决方案和汇报演示。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AC-04-02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七类成果必须引用同一项目内容版本，并保持需求、功能、工作量、日期和金额一致。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AC-04-03</w:t>
            </w:r>
          </w:p>
        </w:tc>
        <w:tc>
          <w:tcPr>
            <w:tcW w:type="dxa" w:w="3312"/>
            <w:vAlign w:val="center"/>
          </w:tcPr>
          <w:p>
            <w:r>
              <w:t>客户交付包不得包含内部成本、利润、原始材料或内部备注。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p>
      <w:pPr>
        <w:pStyle w:val="Heading1"/>
      </w:pPr>
      <w:r>
        <w:t>5 确定性计算</w:t>
      </w:r>
    </w:p>
    <w:p>
      <w:pPr>
        <w:pStyle w:val="ListBullet"/>
      </w:pPr>
      <w:r>
        <w:t>标准角色日单价为产品经理 1800 元、架构师 2200 元、后端工程师 1600 元、前端工程师 1500 元、测试工程师 1200 元。</w:t>
      </w:r>
    </w:p>
    <w:p>
      <w:pPr>
        <w:pStyle w:val="ListBullet"/>
      </w:pPr>
      <w:r>
        <w:t>基准工作量为 324 人天，风险储备率 12%，税率 6%。</w:t>
      </w:r>
    </w:p>
    <w:p>
      <w:pPr>
        <w:pStyle w:val="ListBullet"/>
      </w:pPr>
      <w:r>
        <w:t>未税实施金额等于各角色人天乘以日单价后求和，再乘以 1 加风险储备率；含税总额等于未税金额乘以 1 加税率。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AC-05-01</w:t>
            </w:r>
          </w:p>
        </w:tc>
        <w:tc>
          <w:tcPr>
            <w:tcW w:type="dxa" w:w="3312"/>
            <w:vAlign w:val="center"/>
          </w:tcPr>
          <w:p>
            <w:r>
              <w:t>标准角色日单价为产品经理 1800 元、架构师 2200 元、后端工程师 1600 元、前端工程师 1500 元、测试工程师 1200 元。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AC-05-02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基准工作量为 324 人天，风险储备率 12%，税率 6%。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AC-05-03</w:t>
            </w:r>
          </w:p>
        </w:tc>
        <w:tc>
          <w:tcPr>
            <w:tcW w:type="dxa" w:w="3312"/>
            <w:vAlign w:val="center"/>
          </w:tcPr>
          <w:p>
            <w:r>
              <w:t>未税实施金额等于各角色人天乘以日单价后求和，再乘以 1 加风险储备率；含税总额等于未税金额乘以 1 加税率。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p>
      <w:pPr>
        <w:pStyle w:val="Heading1"/>
      </w:pPr>
      <w:r>
        <w:t>6 计划与里程碑</w:t>
      </w:r>
    </w:p>
    <w:p>
      <w:pPr>
        <w:pStyle w:val="ListBullet"/>
      </w:pPr>
      <w:r>
        <w:t>计划从 2027 年 11 月 1 日开始，目标上线日期为 2028 年 5 月 31 日。</w:t>
      </w:r>
    </w:p>
    <w:p>
      <w:pPr>
        <w:pStyle w:val="ListBullet"/>
      </w:pPr>
      <w:r>
        <w:t>里程碑依次为需求基线、方案评审、开发完成、试运行和正式上线。</w:t>
      </w:r>
    </w:p>
    <w:p>
      <w:pPr>
        <w:pStyle w:val="ListBullet"/>
      </w:pPr>
      <w:r>
        <w:t>需求基线未确认时不得进入正式报价和上线承诺。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AC-06-01</w:t>
            </w:r>
          </w:p>
        </w:tc>
        <w:tc>
          <w:tcPr>
            <w:tcW w:type="dxa" w:w="3312"/>
            <w:vAlign w:val="center"/>
          </w:tcPr>
          <w:p>
            <w:r>
              <w:t>计划从 2027 年 11 月 1 日开始，目标上线日期为 2028 年 5 月 31 日。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AC-06-02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里程碑依次为需求基线、方案评审、开发完成、试运行和正式上线。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AC-06-03</w:t>
            </w:r>
          </w:p>
        </w:tc>
        <w:tc>
          <w:tcPr>
            <w:tcW w:type="dxa" w:w="3312"/>
            <w:vAlign w:val="center"/>
          </w:tcPr>
          <w:p>
            <w:r>
              <w:t>需求基线未确认时不得进入正式报价和上线承诺。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p>
      <w:pPr>
        <w:pStyle w:val="Heading1"/>
      </w:pPr>
      <w:r>
        <w:t>7 修改与版本</w:t>
      </w:r>
    </w:p>
    <w:p>
      <w:pPr>
        <w:pStyle w:val="ListBullet"/>
      </w:pPr>
      <w:r>
        <w:t>渲染变更只更新版式版本，不改变内容版本。</w:t>
      </w:r>
    </w:p>
    <w:p>
      <w:pPr>
        <w:pStyle w:val="ListBullet"/>
      </w:pPr>
      <w:r>
        <w:t>内容变更必须生成影响计划，锁定对象不得被自动覆盖。</w:t>
      </w:r>
    </w:p>
    <w:p>
      <w:pPr>
        <w:pStyle w:val="ListBullet"/>
      </w:pPr>
      <w:r>
        <w:t>回退必须恢复项目模型和受影响成果，并保留审计记录。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AC-07-01</w:t>
            </w:r>
          </w:p>
        </w:tc>
        <w:tc>
          <w:tcPr>
            <w:tcW w:type="dxa" w:w="3312"/>
            <w:vAlign w:val="center"/>
          </w:tcPr>
          <w:p>
            <w:r>
              <w:t>渲染变更只更新版式版本，不改变内容版本。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AC-07-02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内容变更必须生成影响计划，锁定对象不得被自动覆盖。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AC-07-03</w:t>
            </w:r>
          </w:p>
        </w:tc>
        <w:tc>
          <w:tcPr>
            <w:tcW w:type="dxa" w:w="3312"/>
            <w:vAlign w:val="center"/>
          </w:tcPr>
          <w:p>
            <w:r>
              <w:t>回退必须恢复项目模型和受影响成果，并保留审计记录。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p>
      <w:pPr>
        <w:pStyle w:val="Heading1"/>
      </w:pPr>
      <w:r>
        <w:t>8 安全与部署</w:t>
      </w:r>
    </w:p>
    <w:p>
      <w:pPr>
        <w:pStyle w:val="ListBullet"/>
      </w:pPr>
      <w:r>
        <w:t>生产使用私有 PostgreSQL 和私有 MinIO，文件不得进入公共 Bucket。</w:t>
      </w:r>
    </w:p>
    <w:p>
      <w:pPr>
        <w:pStyle w:val="ListBullet"/>
      </w:pPr>
      <w:r>
        <w:t>下载链接有效期 10 分钟，跨用户访问返回 404。</w:t>
      </w:r>
    </w:p>
    <w:p>
      <w:pPr>
        <w:pStyle w:val="ListBullet"/>
      </w:pPr>
      <w:r>
        <w:t>上传文件先进入隔离区，扫描通过后才能进入正式对象存储。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AC-08-01</w:t>
            </w:r>
          </w:p>
        </w:tc>
        <w:tc>
          <w:tcPr>
            <w:tcW w:type="dxa" w:w="3312"/>
            <w:vAlign w:val="center"/>
          </w:tcPr>
          <w:p>
            <w:r>
              <w:t>生产使用私有 PostgreSQL 和私有 MinIO，文件不得进入公共 Bucket。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AC-08-02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下载链接有效期 10 分钟，跨用户访问返回 404。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AC-08-03</w:t>
            </w:r>
          </w:p>
        </w:tc>
        <w:tc>
          <w:tcPr>
            <w:tcW w:type="dxa" w:w="3312"/>
            <w:vAlign w:val="center"/>
          </w:tcPr>
          <w:p>
            <w:r>
              <w:t>上传文件先进入隔离区，扫描通过后才能进入正式对象存储。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p>
      <w:pPr>
        <w:pStyle w:val="Heading1"/>
      </w:pPr>
      <w:r>
        <w:t>9 服务目标</w:t>
      </w:r>
    </w:p>
    <w:p>
      <w:pPr>
        <w:pStyle w:val="ListBullet"/>
      </w:pPr>
      <w:r>
        <w:t>正常容量排队 P95 不超过 5 秒，突发容量不超过 30 秒。</w:t>
      </w:r>
    </w:p>
    <w:p>
      <w:pPr>
        <w:pStyle w:val="ListBullet"/>
      </w:pPr>
      <w:r>
        <w:t>正式生成任务失败后自动重试，连续失败必须保留原因并停止伪健康心跳。</w:t>
      </w:r>
    </w:p>
    <w:p>
      <w:pPr>
        <w:pStyle w:val="ListBullet"/>
      </w:pPr>
      <w:r>
        <w:t>单个项目完整生成时间目标为 30 分钟以内。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AC-09-01</w:t>
            </w:r>
          </w:p>
        </w:tc>
        <w:tc>
          <w:tcPr>
            <w:tcW w:type="dxa" w:w="3312"/>
            <w:vAlign w:val="center"/>
          </w:tcPr>
          <w:p>
            <w:r>
              <w:t>正常容量排队 P95 不超过 5 秒，突发容量不超过 30 秒。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AC-09-02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正式生成任务失败后自动重试，连续失败必须保留原因并停止伪健康心跳。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AC-09-03</w:t>
            </w:r>
          </w:p>
        </w:tc>
        <w:tc>
          <w:tcPr>
            <w:tcW w:type="dxa" w:w="3312"/>
            <w:vAlign w:val="center"/>
          </w:tcPr>
          <w:p>
            <w:r>
              <w:t>单个项目完整生成时间目标为 30 分钟以内。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p>
      <w:pPr>
        <w:pStyle w:val="Heading1"/>
      </w:pPr>
      <w:r>
        <w:t>10 验收与排除</w:t>
      </w:r>
    </w:p>
    <w:p>
      <w:pPr>
        <w:pStyle w:val="ListBullet"/>
      </w:pPr>
      <w:r>
        <w:t>验收要求七类成果和成果包均可打开、可编辑、可下载且来源可追溯。</w:t>
      </w:r>
    </w:p>
    <w:p>
      <w:pPr>
        <w:pStyle w:val="ListBullet"/>
      </w:pPr>
      <w:r>
        <w:t>关键数字错误、跨项目泄漏、文件无法打开或客户包泄漏内部成本均为阻断项。</w:t>
      </w:r>
    </w:p>
    <w:p>
      <w:pPr>
        <w:pStyle w:val="ListBullet"/>
      </w:pPr>
      <w:r>
        <w:t>首期不包含 AWS S3、人工代写交付、自动购买基础设施或无人确认的外部动作。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验收编号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结果要求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AC-10-01</w:t>
            </w:r>
          </w:p>
        </w:tc>
        <w:tc>
          <w:tcPr>
            <w:tcW w:type="dxa" w:w="3312"/>
            <w:vAlign w:val="center"/>
          </w:tcPr>
          <w:p>
            <w:r>
              <w:t>验收要求七类成果和成果包均可打开、可编辑、可下载且来源可追溯。</w:t>
            </w:r>
          </w:p>
        </w:tc>
        <w:tc>
          <w:tcPr>
            <w:tcW w:type="dxa" w:w="3312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shd w:fill="EAF3F7"/>
            <w:vAlign w:val="center"/>
          </w:tcPr>
          <w:p>
            <w:r>
              <w:t>AC-10-02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关键数字错误、跨项目泄漏、文件无法打开或客户包泄漏内部成本均为阻断项。</w:t>
            </w:r>
          </w:p>
        </w:tc>
        <w:tc>
          <w:tcPr>
            <w:tcW w:type="dxa" w:w="3312"/>
            <w:shd w:fill="EAF3F7"/>
            <w:vAlign w:val="center"/>
          </w:tcPr>
          <w:p>
            <w:r>
              <w:t>自动检查并保留来源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AC-10-03</w:t>
            </w:r>
          </w:p>
        </w:tc>
        <w:tc>
          <w:tcPr>
            <w:tcW w:type="dxa" w:w="3312"/>
            <w:vAlign w:val="center"/>
          </w:tcPr>
          <w:p>
            <w:r>
              <w:t>首期不包含 AWS S3、人工代写交付、自动购买基础设施或无人确认的外部动作。</w:t>
            </w:r>
          </w:p>
        </w:tc>
        <w:tc>
          <w:tcPr>
            <w:tcW w:type="dxa" w:w="3312"/>
            <w:vAlign w:val="center"/>
          </w:tcPr>
          <w:p>
            <w:r>
              <w:t>失败时阻止发布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Ningyi synthetic benchmark</dc:creator>
  <cp:keywords/>
  <dc:description>generated by python-docx</dc:description>
  <cp:lastModifiedBy/>
  <cp:revision>1</cp:revision>
  <dcterms:created xsi:type="dcterms:W3CDTF">2026-09-29T00:00:00Z</dcterms:created>
  <dcterms:modified xsi:type="dcterms:W3CDTF">2026-09-29T00:00:00Z</dcterms:modified>
  <cp:category/>
</cp:coreProperties>
</file>