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spacing w:after="320"/>
      </w:pPr>
    </w:p>
    <w:p>
      <w:pPr>
        <w:spacing w:after="160"/>
      </w:pPr>
      <w:r>
        <w:rPr>
          <w:rFonts w:ascii="Heiti SC" w:hAnsi="Heiti SC" w:eastAsia="Heiti SC"/>
          <w:b/>
          <w:color w:val="4BD7E8"/>
          <w:sz w:val="19"/>
        </w:rPr>
        <w:t>PRODUCT REQUIREMENTS &amp; OVERALL DESIGN</w:t>
      </w:r>
    </w:p>
    <w:p>
      <w:pPr>
        <w:spacing w:after="160"/>
      </w:pPr>
      <w:r>
        <w:rPr>
          <w:rFonts w:ascii="Heiti SC" w:hAnsi="Heiti SC" w:eastAsia="Heiti SC"/>
          <w:b/>
          <w:color w:val="071B33"/>
          <w:sz w:val="60"/>
        </w:rPr>
        <w:t>AI企业方案服务平台</w:t>
      </w:r>
    </w:p>
    <w:p>
      <w:pPr>
        <w:spacing w:after="360"/>
      </w:pPr>
      <w:r>
        <w:rPr>
          <w:rFonts w:ascii="Heiti SC" w:hAnsi="Heiti SC" w:eastAsia="Heiti SC"/>
          <w:b/>
          <w:color w:val="1F6FFF"/>
          <w:sz w:val="38"/>
        </w:rPr>
        <w:t>V1产品需求与总体设计说明</w:t>
      </w:r>
    </w:p>
    <w:p>
      <w:pPr>
        <w:spacing w:after="440"/>
        <w:pBdr>
          <w:bottom w:val="single" w:sz="20" w:space="12" w:color="4BD7E8"/>
        </w:pBdr>
      </w:pPr>
      <w:r>
        <w:rPr>
          <w:rFonts w:ascii="Heiti SC" w:hAnsi="Heiti SC" w:eastAsia="Heiti SC"/>
          <w:color w:val="637083"/>
          <w:sz w:val="25"/>
        </w:rPr>
        <w:t>从零散项目材料到七类可交付成果的无人化闭环设计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文档版本</w:t>
            </w:r>
          </w:p>
        </w:tc>
        <w:tc>
          <w:tcPr>
            <w:tcW w:type="dxa" w:w="72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21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文档状态</w:t>
            </w:r>
          </w:p>
        </w:tc>
        <w:tc>
          <w:tcPr>
            <w:tcW w:type="dxa" w:w="72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讨论基线 / 待评审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编制日期</w:t>
            </w:r>
          </w:p>
        </w:tc>
        <w:tc>
          <w:tcPr>
            <w:tcW w:type="dxa" w:w="72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2026年8月14日</w:t>
            </w:r>
          </w:p>
        </w:tc>
      </w:tr>
      <w:tr>
        <w:trPr>
          <w:cantSplit/>
        </w:trPr>
        <w:tc>
          <w:tcPr>
            <w:tcW w:type="dxa" w:w="21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适用阶段</w:t>
            </w:r>
          </w:p>
        </w:tc>
        <w:tc>
          <w:tcPr>
            <w:tcW w:type="dxa" w:w="72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产品流程验证与V1实施准备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参考输入</w:t>
            </w:r>
          </w:p>
        </w:tc>
        <w:tc>
          <w:tcPr>
            <w:tcW w:type="dxa" w:w="72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原整体解决方案V1.1（数据安全增强版）及本轮产品讨论确认记录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FFF3E6" w:val="clear"/>
          </w:tcPr>
          <w:p>
            <w:pPr>
              <w:spacing w:after="40"/>
            </w:pPr>
            <w:r>
              <w:rPr>
                <w:rFonts w:ascii="Heiti SC" w:hAnsi="Heiti SC" w:eastAsia="Heiti SC"/>
                <w:b/>
                <w:color w:val="D97917"/>
                <w:sz w:val="20"/>
              </w:rPr>
              <w:t>当前阶段核心约束</w:t>
            </w:r>
          </w:p>
          <w:p>
            <w:pPr>
              <w:spacing w:before="0" w:after="0"/>
            </w:pPr>
            <w:r>
              <w:rPr>
                <w:rFonts w:ascii="Heiti SC" w:hAnsi="Heiti SC" w:eastAsia="Heiti SC"/>
                <w:color w:val="172335"/>
                <w:sz w:val="20"/>
              </w:rPr>
              <w:t>先跑通从输入、解析、项目模型、七类成果、多格式导出、修改联动到数据删除的完整流程；支付、订单、套餐和计费均后置。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文档控制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500"/>
        <w:gridCol w:w="1500"/>
        <w:gridCol w:w="5160"/>
      </w:tblGrid>
      <w:tr>
        <w:trPr>
          <w:tblHeader w:val="true"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V1.0</w:t>
            </w:r>
          </w:p>
        </w:tc>
        <w:tc>
          <w:tcPr>
            <w:tcW w:type="dxa" w:w="15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2026-08-14</w:t>
            </w:r>
          </w:p>
        </w:tc>
        <w:tc>
          <w:tcPr>
            <w:tcW w:type="dxa" w:w="15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讨论基线</w:t>
            </w:r>
          </w:p>
        </w:tc>
        <w:tc>
          <w:tcPr>
            <w:tcW w:type="dxa" w:w="51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整合已确认的产品、交互、架构、数据安全、验证及实施顺序。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阅读说明</w:t>
      </w:r>
    </w:p>
    <w:p>
      <w:pPr/>
      <w:r>
        <w:rPr>
          <w:rFonts w:ascii="Heiti SC" w:hAnsi="Heiti SC" w:eastAsia="Heiti SC"/>
          <w:color w:val="172335"/>
        </w:rPr>
        <w:t>本文档是V1产品与总体设计的统一基线，用于后续评审、原型设计、技术验证和实施拆解。文中“项目”是系统内部的数据容器，用户界面不要求用户先创建项目或任务。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EAF1FF" w:val="clear"/>
          </w:tcPr>
          <w:p>
            <w:pPr>
              <w:spacing w:after="40"/>
            </w:pPr>
            <w:r>
              <w:rPr>
                <w:rFonts w:ascii="Heiti SC" w:hAnsi="Heiti SC" w:eastAsia="Heiti SC"/>
                <w:b/>
                <w:color w:val="1F6FFF"/>
                <w:sz w:val="20"/>
              </w:rPr>
              <w:t>决策优先级</w:t>
            </w:r>
          </w:p>
          <w:p>
            <w:pPr>
              <w:spacing w:before="0" w:after="0"/>
            </w:pPr>
            <w:r>
              <w:rPr>
                <w:rFonts w:ascii="Heiti SC" w:hAnsi="Heiti SC" w:eastAsia="Heiti SC"/>
                <w:color w:val="172335"/>
                <w:sz w:val="20"/>
              </w:rPr>
              <w:t>已确认原则高于暂定参数；暂定参数应通过基准项目和无人值守运行数据校准。涉及支付的内容不在本轮实现范围内。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目录</w:t>
      </w:r>
    </w:p>
    <w:p>
      <w:pPr>
        <w:spacing w:before="0" w:after="0" w:line="202" w:lineRule="auto"/>
      </w:pPr>
      <w:r>
        <w:rPr>
          <w:rFonts w:ascii="Heiti SC" w:hAnsi="Heiti SC" w:eastAsia="Heiti SC"/>
          <w:b/>
          <w:color w:val="172335"/>
          <w:sz w:val="17"/>
        </w:rPr>
        <w:t>执行摘要</w:t>
      </w:r>
    </w:p>
    <w:p>
      <w:pPr>
        <w:spacing w:before="0" w:after="0" w:line="202" w:lineRule="auto"/>
      </w:pPr>
      <w:r>
        <w:rPr>
          <w:rFonts w:ascii="Heiti SC" w:hAnsi="Heiti SC" w:eastAsia="Heiti SC"/>
          <w:b/>
          <w:color w:val="1F6FFF"/>
          <w:sz w:val="17"/>
        </w:rPr>
        <w:t xml:space="preserve">01  </w:t>
      </w:r>
      <w:r>
        <w:rPr>
          <w:rFonts w:ascii="Heiti SC" w:hAnsi="Heiti SC" w:eastAsia="Heiti SC"/>
          <w:b w:val="0"/>
          <w:color w:val="172335"/>
          <w:sz w:val="17"/>
        </w:rPr>
        <w:t>产品定位与目标</w:t>
      </w:r>
    </w:p>
    <w:p>
      <w:pPr>
        <w:spacing w:before="0" w:after="0" w:line="202" w:lineRule="auto"/>
      </w:pPr>
      <w:r>
        <w:rPr>
          <w:rFonts w:ascii="Heiti SC" w:hAnsi="Heiti SC" w:eastAsia="Heiti SC"/>
          <w:b/>
          <w:color w:val="1F6FFF"/>
          <w:sz w:val="17"/>
        </w:rPr>
        <w:t xml:space="preserve">02  </w:t>
      </w:r>
      <w:r>
        <w:rPr>
          <w:rFonts w:ascii="Heiti SC" w:hAnsi="Heiti SC" w:eastAsia="Heiti SC"/>
          <w:b w:val="0"/>
          <w:color w:val="172335"/>
          <w:sz w:val="17"/>
        </w:rPr>
        <w:t>产品原则</w:t>
      </w:r>
    </w:p>
    <w:p>
      <w:pPr>
        <w:spacing w:before="0" w:after="0" w:line="202" w:lineRule="auto"/>
      </w:pPr>
      <w:r>
        <w:rPr>
          <w:rFonts w:ascii="Heiti SC" w:hAnsi="Heiti SC" w:eastAsia="Heiti SC"/>
          <w:b/>
          <w:color w:val="1F6FFF"/>
          <w:sz w:val="17"/>
        </w:rPr>
        <w:t xml:space="preserve">03  </w:t>
      </w:r>
      <w:r>
        <w:rPr>
          <w:rFonts w:ascii="Heiti SC" w:hAnsi="Heiti SC" w:eastAsia="Heiti SC"/>
          <w:b w:val="0"/>
          <w:color w:val="172335"/>
          <w:sz w:val="17"/>
        </w:rPr>
        <w:t>目标用户、使用场景与边界</w:t>
      </w:r>
    </w:p>
    <w:p>
      <w:pPr>
        <w:spacing w:before="0" w:after="0" w:line="202" w:lineRule="auto"/>
      </w:pPr>
      <w:r>
        <w:rPr>
          <w:rFonts w:ascii="Heiti SC" w:hAnsi="Heiti SC" w:eastAsia="Heiti SC"/>
          <w:b/>
          <w:color w:val="1F6FFF"/>
          <w:sz w:val="17"/>
        </w:rPr>
        <w:t xml:space="preserve">04  </w:t>
      </w:r>
      <w:r>
        <w:rPr>
          <w:rFonts w:ascii="Heiti SC" w:hAnsi="Heiti SC" w:eastAsia="Heiti SC"/>
          <w:b w:val="0"/>
          <w:color w:val="172335"/>
          <w:sz w:val="17"/>
        </w:rPr>
        <w:t>用户主流程与页面结构</w:t>
      </w:r>
    </w:p>
    <w:p>
      <w:pPr>
        <w:spacing w:before="0" w:after="0" w:line="202" w:lineRule="auto"/>
      </w:pPr>
      <w:r>
        <w:rPr>
          <w:rFonts w:ascii="Heiti SC" w:hAnsi="Heiti SC" w:eastAsia="Heiti SC"/>
          <w:b/>
          <w:color w:val="1F6FFF"/>
          <w:sz w:val="17"/>
        </w:rPr>
        <w:t xml:space="preserve">05  </w:t>
      </w:r>
      <w:r>
        <w:rPr>
          <w:rFonts w:ascii="Heiti SC" w:hAnsi="Heiti SC" w:eastAsia="Heiti SC"/>
          <w:b w:val="0"/>
          <w:color w:val="172335"/>
          <w:sz w:val="17"/>
        </w:rPr>
        <w:t>结构化需求采集（Intake Brief）</w:t>
      </w:r>
    </w:p>
    <w:p>
      <w:pPr>
        <w:spacing w:before="0" w:after="0" w:line="202" w:lineRule="auto"/>
      </w:pPr>
      <w:r>
        <w:rPr>
          <w:rFonts w:ascii="Heiti SC" w:hAnsi="Heiti SC" w:eastAsia="Heiti SC"/>
          <w:b/>
          <w:color w:val="1F6FFF"/>
          <w:sz w:val="17"/>
        </w:rPr>
        <w:t xml:space="preserve">06  </w:t>
      </w:r>
      <w:r>
        <w:rPr>
          <w:rFonts w:ascii="Heiti SC" w:hAnsi="Heiti SC" w:eastAsia="Heiti SC"/>
          <w:b w:val="0"/>
          <w:color w:val="172335"/>
          <w:sz w:val="17"/>
        </w:rPr>
        <w:t>项目理解与启动确认</w:t>
      </w:r>
    </w:p>
    <w:p>
      <w:pPr>
        <w:spacing w:before="0" w:after="0" w:line="202" w:lineRule="auto"/>
      </w:pPr>
      <w:r>
        <w:rPr>
          <w:rFonts w:ascii="Heiti SC" w:hAnsi="Heiti SC" w:eastAsia="Heiti SC"/>
          <w:b/>
          <w:color w:val="1F6FFF"/>
          <w:sz w:val="17"/>
        </w:rPr>
        <w:t xml:space="preserve">07  </w:t>
      </w:r>
      <w:r>
        <w:rPr>
          <w:rFonts w:ascii="Heiti SC" w:hAnsi="Heiti SC" w:eastAsia="Heiti SC"/>
          <w:b w:val="0"/>
          <w:color w:val="172335"/>
          <w:sz w:val="17"/>
        </w:rPr>
        <w:t>多格式材料接入与统一处理</w:t>
      </w:r>
    </w:p>
    <w:p>
      <w:pPr>
        <w:spacing w:before="0" w:after="0" w:line="202" w:lineRule="auto"/>
      </w:pPr>
      <w:r>
        <w:rPr>
          <w:rFonts w:ascii="Heiti SC" w:hAnsi="Heiti SC" w:eastAsia="Heiti SC"/>
          <w:b/>
          <w:color w:val="1F6FFF"/>
          <w:sz w:val="17"/>
        </w:rPr>
        <w:t xml:space="preserve">08  </w:t>
      </w:r>
      <w:r>
        <w:rPr>
          <w:rFonts w:ascii="Heiti SC" w:hAnsi="Heiti SC" w:eastAsia="Heiti SC"/>
          <w:b w:val="0"/>
          <w:color w:val="172335"/>
          <w:sz w:val="17"/>
        </w:rPr>
        <w:t>总体技术架构与技术栈</w:t>
      </w:r>
    </w:p>
    <w:p>
      <w:pPr>
        <w:spacing w:before="0" w:after="0" w:line="202" w:lineRule="auto"/>
      </w:pPr>
      <w:r>
        <w:rPr>
          <w:rFonts w:ascii="Heiti SC" w:hAnsi="Heiti SC" w:eastAsia="Heiti SC"/>
          <w:b/>
          <w:color w:val="1F6FFF"/>
          <w:sz w:val="17"/>
        </w:rPr>
        <w:t xml:space="preserve">09  </w:t>
      </w:r>
      <w:r>
        <w:rPr>
          <w:rFonts w:ascii="Heiti SC" w:hAnsi="Heiti SC" w:eastAsia="Heiti SC"/>
          <w:b w:val="0"/>
          <w:color w:val="172335"/>
          <w:sz w:val="17"/>
        </w:rPr>
        <w:t>模型分层、成本控制与任务编排</w:t>
      </w:r>
    </w:p>
    <w:p>
      <w:pPr>
        <w:spacing w:before="0" w:after="0" w:line="202" w:lineRule="auto"/>
      </w:pPr>
      <w:r>
        <w:rPr>
          <w:rFonts w:ascii="Heiti SC" w:hAnsi="Heiti SC" w:eastAsia="Heiti SC"/>
          <w:b/>
          <w:color w:val="1F6FFF"/>
          <w:sz w:val="17"/>
        </w:rPr>
        <w:t xml:space="preserve">10  </w:t>
      </w:r>
      <w:r>
        <w:rPr>
          <w:rFonts w:ascii="Heiti SC" w:hAnsi="Heiti SC" w:eastAsia="Heiti SC"/>
          <w:b w:val="0"/>
          <w:color w:val="172335"/>
          <w:sz w:val="17"/>
        </w:rPr>
        <w:t>统一项目模型与证据体系</w:t>
      </w:r>
    </w:p>
    <w:p>
      <w:pPr>
        <w:spacing w:before="0" w:after="0" w:line="202" w:lineRule="auto"/>
      </w:pPr>
      <w:r>
        <w:rPr>
          <w:rFonts w:ascii="Heiti SC" w:hAnsi="Heiti SC" w:eastAsia="Heiti SC"/>
          <w:b/>
          <w:color w:val="1F6FFF"/>
          <w:sz w:val="17"/>
        </w:rPr>
        <w:t xml:space="preserve">11  </w:t>
      </w:r>
      <w:r>
        <w:rPr>
          <w:rFonts w:ascii="Heiti SC" w:hAnsi="Heiti SC" w:eastAsia="Heiti SC"/>
          <w:b w:val="0"/>
          <w:color w:val="172335"/>
          <w:sz w:val="17"/>
        </w:rPr>
        <w:t>交付成果体系</w:t>
      </w:r>
    </w:p>
    <w:p>
      <w:pPr>
        <w:spacing w:before="0" w:after="0" w:line="202" w:lineRule="auto"/>
      </w:pPr>
      <w:r>
        <w:rPr>
          <w:rFonts w:ascii="Heiti SC" w:hAnsi="Heiti SC" w:eastAsia="Heiti SC"/>
          <w:b/>
          <w:color w:val="1F6FFF"/>
          <w:sz w:val="17"/>
        </w:rPr>
        <w:t xml:space="preserve">12  </w:t>
      </w:r>
      <w:r>
        <w:rPr>
          <w:rFonts w:ascii="Heiti SC" w:hAnsi="Heiti SC" w:eastAsia="Heiti SC"/>
          <w:b w:val="0"/>
          <w:color w:val="172335"/>
          <w:sz w:val="17"/>
        </w:rPr>
        <w:t>长文档连续性保障</w:t>
      </w:r>
    </w:p>
    <w:p>
      <w:pPr>
        <w:spacing w:before="0" w:after="0" w:line="202" w:lineRule="auto"/>
      </w:pPr>
      <w:r>
        <w:rPr>
          <w:rFonts w:ascii="Heiti SC" w:hAnsi="Heiti SC" w:eastAsia="Heiti SC"/>
          <w:b/>
          <w:color w:val="1F6FFF"/>
          <w:sz w:val="17"/>
        </w:rPr>
        <w:t xml:space="preserve">13  </w:t>
      </w:r>
      <w:r>
        <w:rPr>
          <w:rFonts w:ascii="Heiti SC" w:hAnsi="Heiti SC" w:eastAsia="Heiti SC"/>
          <w:b w:val="0"/>
          <w:color w:val="172335"/>
          <w:sz w:val="17"/>
        </w:rPr>
        <w:t>工作量估算、报价与实施规划</w:t>
      </w:r>
    </w:p>
    <w:p>
      <w:pPr>
        <w:spacing w:before="0" w:after="0" w:line="202" w:lineRule="auto"/>
      </w:pPr>
      <w:r>
        <w:rPr>
          <w:rFonts w:ascii="Heiti SC" w:hAnsi="Heiti SC" w:eastAsia="Heiti SC"/>
          <w:b/>
          <w:color w:val="1F6FFF"/>
          <w:sz w:val="17"/>
        </w:rPr>
        <w:t xml:space="preserve">14  </w:t>
      </w:r>
      <w:r>
        <w:rPr>
          <w:rFonts w:ascii="Heiti SC" w:hAnsi="Heiti SC" w:eastAsia="Heiti SC"/>
          <w:b w:val="0"/>
          <w:color w:val="172335"/>
          <w:sz w:val="17"/>
        </w:rPr>
        <w:t>工作台、修改与版本管理</w:t>
      </w:r>
    </w:p>
    <w:p>
      <w:pPr>
        <w:spacing w:before="0" w:after="0" w:line="202" w:lineRule="auto"/>
      </w:pPr>
      <w:r>
        <w:rPr>
          <w:rFonts w:ascii="Heiti SC" w:hAnsi="Heiti SC" w:eastAsia="Heiti SC"/>
          <w:b/>
          <w:color w:val="1F6FFF"/>
          <w:sz w:val="17"/>
        </w:rPr>
        <w:t xml:space="preserve">15  </w:t>
      </w:r>
      <w:r>
        <w:rPr>
          <w:rFonts w:ascii="Heiti SC" w:hAnsi="Heiti SC" w:eastAsia="Heiti SC"/>
          <w:b w:val="0"/>
          <w:color w:val="172335"/>
          <w:sz w:val="17"/>
        </w:rPr>
        <w:t>多格式生成、模板适配与交付包</w:t>
      </w:r>
    </w:p>
    <w:p>
      <w:pPr>
        <w:spacing w:before="0" w:after="0" w:line="202" w:lineRule="auto"/>
      </w:pPr>
      <w:r>
        <w:rPr>
          <w:rFonts w:ascii="Heiti SC" w:hAnsi="Heiti SC" w:eastAsia="Heiti SC"/>
          <w:b/>
          <w:color w:val="1F6FFF"/>
          <w:sz w:val="17"/>
        </w:rPr>
        <w:t xml:space="preserve">16  </w:t>
      </w:r>
      <w:r>
        <w:rPr>
          <w:rFonts w:ascii="Heiti SC" w:hAnsi="Heiti SC" w:eastAsia="Heiti SC"/>
          <w:b w:val="0"/>
          <w:color w:val="172335"/>
          <w:sz w:val="17"/>
        </w:rPr>
        <w:t>身份、权限、数据安全与留存</w:t>
      </w:r>
    </w:p>
    <w:p>
      <w:pPr>
        <w:spacing w:before="0" w:after="0" w:line="202" w:lineRule="auto"/>
      </w:pPr>
      <w:r>
        <w:rPr>
          <w:rFonts w:ascii="Heiti SC" w:hAnsi="Heiti SC" w:eastAsia="Heiti SC"/>
          <w:b/>
          <w:color w:val="1F6FFF"/>
          <w:sz w:val="17"/>
        </w:rPr>
        <w:t xml:space="preserve">17  </w:t>
      </w:r>
      <w:r>
        <w:rPr>
          <w:rFonts w:ascii="Heiti SC" w:hAnsi="Heiti SC" w:eastAsia="Heiti SC"/>
          <w:b w:val="0"/>
          <w:color w:val="172335"/>
          <w:sz w:val="17"/>
        </w:rPr>
        <w:t>质量保障、失败恢复与异常处理</w:t>
      </w:r>
    </w:p>
    <w:p>
      <w:pPr>
        <w:spacing w:before="0" w:after="0" w:line="202" w:lineRule="auto"/>
      </w:pPr>
      <w:r>
        <w:rPr>
          <w:rFonts w:ascii="Heiti SC" w:hAnsi="Heiti SC" w:eastAsia="Heiti SC"/>
          <w:b/>
          <w:color w:val="1F6FFF"/>
          <w:sz w:val="17"/>
        </w:rPr>
        <w:t xml:space="preserve">18  </w:t>
      </w:r>
      <w:r>
        <w:rPr>
          <w:rFonts w:ascii="Heiti SC" w:hAnsi="Heiti SC" w:eastAsia="Heiti SC"/>
          <w:b w:val="0"/>
          <w:color w:val="172335"/>
          <w:sz w:val="17"/>
        </w:rPr>
        <w:t>无人值守运营与监控</w:t>
      </w:r>
    </w:p>
    <w:p>
      <w:pPr>
        <w:spacing w:before="0" w:after="0" w:line="202" w:lineRule="auto"/>
      </w:pPr>
      <w:r>
        <w:rPr>
          <w:rFonts w:ascii="Heiti SC" w:hAnsi="Heiti SC" w:eastAsia="Heiti SC"/>
          <w:b/>
          <w:color w:val="1F6FFF"/>
          <w:sz w:val="17"/>
        </w:rPr>
        <w:t xml:space="preserve">19  </w:t>
      </w:r>
      <w:r>
        <w:rPr>
          <w:rFonts w:ascii="Heiti SC" w:hAnsi="Heiti SC" w:eastAsia="Heiti SC"/>
          <w:b w:val="0"/>
          <w:color w:val="172335"/>
          <w:sz w:val="17"/>
        </w:rPr>
        <w:t>AI Agent 基准项目与验收</w:t>
      </w:r>
    </w:p>
    <w:p>
      <w:pPr>
        <w:spacing w:before="0" w:after="0" w:line="202" w:lineRule="auto"/>
      </w:pPr>
      <w:r>
        <w:rPr>
          <w:rFonts w:ascii="Heiti SC" w:hAnsi="Heiti SC" w:eastAsia="Heiti SC"/>
          <w:b/>
          <w:color w:val="1F6FFF"/>
          <w:sz w:val="17"/>
        </w:rPr>
        <w:t xml:space="preserve">20  </w:t>
      </w:r>
      <w:r>
        <w:rPr>
          <w:rFonts w:ascii="Heiti SC" w:hAnsi="Heiti SC" w:eastAsia="Heiti SC"/>
          <w:b w:val="0"/>
          <w:color w:val="172335"/>
          <w:sz w:val="17"/>
        </w:rPr>
        <w:t>实施优先级与阶段划分</w:t>
      </w:r>
    </w:p>
    <w:p>
      <w:pPr>
        <w:spacing w:before="0" w:after="0" w:line="202" w:lineRule="auto"/>
      </w:pPr>
      <w:r>
        <w:rPr>
          <w:rFonts w:ascii="Heiti SC" w:hAnsi="Heiti SC" w:eastAsia="Heiti SC"/>
          <w:b/>
          <w:color w:val="1F6FFF"/>
          <w:sz w:val="17"/>
        </w:rPr>
        <w:t xml:space="preserve">21  </w:t>
      </w:r>
      <w:r>
        <w:rPr>
          <w:rFonts w:ascii="Heiti SC" w:hAnsi="Heiti SC" w:eastAsia="Heiti SC"/>
          <w:b w:val="0"/>
          <w:color w:val="172335"/>
          <w:sz w:val="17"/>
        </w:rPr>
        <w:t>暂定参数、待验证参数与后置事项</w:t>
      </w:r>
    </w:p>
    <w:p>
      <w:pPr>
        <w:spacing w:before="0" w:after="0" w:line="202" w:lineRule="auto"/>
      </w:pPr>
      <w:r>
        <w:rPr>
          <w:rFonts w:ascii="Heiti SC" w:hAnsi="Heiti SC" w:eastAsia="Heiti SC"/>
          <w:b/>
          <w:color w:val="1F6FFF"/>
          <w:sz w:val="17"/>
        </w:rPr>
        <w:t xml:space="preserve">A  </w:t>
      </w:r>
      <w:r>
        <w:rPr>
          <w:rFonts w:ascii="Heiti SC" w:hAnsi="Heiti SC" w:eastAsia="Heiti SC"/>
          <w:b w:val="0"/>
          <w:color w:val="172335"/>
          <w:sz w:val="17"/>
        </w:rPr>
        <w:t>附录：关键数据对象</w:t>
      </w:r>
    </w:p>
    <w:p>
      <w:pPr>
        <w:spacing w:before="0" w:after="0" w:line="202" w:lineRule="auto"/>
      </w:pPr>
      <w:r>
        <w:rPr>
          <w:rFonts w:ascii="Heiti SC" w:hAnsi="Heiti SC" w:eastAsia="Heiti SC"/>
          <w:b/>
          <w:color w:val="1F6FFF"/>
          <w:sz w:val="17"/>
        </w:rPr>
        <w:t xml:space="preserve">B  </w:t>
      </w:r>
      <w:r>
        <w:rPr>
          <w:rFonts w:ascii="Heiti SC" w:hAnsi="Heiti SC" w:eastAsia="Heiti SC"/>
          <w:b w:val="0"/>
          <w:color w:val="172335"/>
          <w:sz w:val="17"/>
        </w:rPr>
        <w:t>附录：状态机建议</w:t>
      </w:r>
    </w:p>
    <w:p>
      <w:pPr>
        <w:spacing w:before="0" w:after="0" w:line="202" w:lineRule="auto"/>
      </w:pPr>
      <w:r>
        <w:rPr>
          <w:rFonts w:ascii="Heiti SC" w:hAnsi="Heiti SC" w:eastAsia="Heiti SC"/>
          <w:b/>
          <w:color w:val="1F6FFF"/>
          <w:sz w:val="17"/>
        </w:rPr>
        <w:t xml:space="preserve">C  </w:t>
      </w:r>
      <w:r>
        <w:rPr>
          <w:rFonts w:ascii="Heiti SC" w:hAnsi="Heiti SC" w:eastAsia="Heiti SC"/>
          <w:b w:val="0"/>
          <w:color w:val="172335"/>
          <w:sz w:val="17"/>
        </w:rPr>
        <w:t>附录：术语表</w:t>
      </w:r>
    </w:p>
    <w:p>
      <w:pPr>
        <w:spacing w:before="0" w:after="0" w:line="202" w:lineRule="auto"/>
      </w:pPr>
      <w:r>
        <w:rPr>
          <w:rFonts w:ascii="Heiti SC" w:hAnsi="Heiti SC" w:eastAsia="Heiti SC"/>
          <w:b/>
          <w:color w:val="172335"/>
          <w:sz w:val="17"/>
        </w:rPr>
        <w:t>结论</w:t>
      </w:r>
    </w:p>
    <w:p>
      <w:r>
        <w:br w:type="page"/>
      </w:r>
    </w:p>
    <w:p>
      <w:pPr>
        <w:pStyle w:val="Heading1"/>
        <w:keepNext/>
      </w:pPr>
      <w:r>
        <w:t>执行摘要</w:t>
      </w:r>
    </w:p>
    <w:p>
      <w:pPr/>
      <w:r>
        <w:rPr>
          <w:rFonts w:ascii="Heiti SC" w:hAnsi="Heiti SC" w:eastAsia="Heiti SC"/>
          <w:color w:val="172335"/>
        </w:rPr>
        <w:t>本产品面向软件公司、数字化服务商、系统集成商和咨询团队，将文字说明及Word、PDF、PPT、Excel、图片等零散项目材料，自动转化为可用于客户沟通、内部立项、估算报价和实施规划的一套正式成果。</w:t>
      </w:r>
    </w:p>
    <w:p>
      <w:pPr/>
      <w:r>
        <w:rPr>
          <w:rFonts w:ascii="Heiti SC" w:hAnsi="Heiti SC" w:eastAsia="Heiti SC"/>
          <w:color w:val="172335"/>
        </w:rPr>
        <w:t>V1不是通用聊天机器人，也不是项目管理工具。用户在产品入口直接填写结构化信息、选择材料和企业模板，登录后系统自动完成解析、项目理解、正式项目模型、七类成果、多格式导出、质量检查、局部修改和版本维护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EAF1FF" w:val="clear"/>
          </w:tcPr>
          <w:p>
            <w:pPr>
              <w:spacing w:after="40"/>
            </w:pPr>
            <w:r>
              <w:rPr>
                <w:rFonts w:ascii="Heiti SC" w:hAnsi="Heiti SC" w:eastAsia="Heiti SC"/>
                <w:b/>
                <w:color w:val="1F6FFF"/>
                <w:sz w:val="20"/>
              </w:rPr>
              <w:t>V1成功定义</w:t>
            </w:r>
          </w:p>
          <w:p>
            <w:pPr>
              <w:spacing w:before="0" w:after="0"/>
            </w:pPr>
            <w:r>
              <w:rPr>
                <w:rFonts w:ascii="Heiti SC" w:hAnsi="Heiti SC" w:eastAsia="Heiti SC"/>
                <w:color w:val="172335"/>
                <w:sz w:val="20"/>
              </w:rPr>
              <w:t>标准范围内的传统企业软件和AI Agent项目能够在没有人工项目处理的情况下，完成可追溯、可修改、可下载、可删除的完整交付。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已确认的关键决策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用户登录后直接操作，不要求新建项目、创建任务或选择模型。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入口采用引导式需求画布；聊天仅用于已有对象的局部修改。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当前阶段先验证完整流程，支付、订单、发票、退款和套餐全部后置。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正式运行不设置人工分析、人工改稿、人工审核和人工交付节点。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快速理解使用低成本模型；正式分析和复杂生成使用高质量模型。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多格式材料由专用解析器、OCR、视觉能力和语言模型协作处理。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空白PPT、Word、Excel模板属于有效的交付模板，不应被视为无效材料。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七类成果共享统一项目模型，正式文件不设“最多5个”的交付限制。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客户包、内部包和归档包只是同一成果模型的导出预设，不重复调用模型。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AI Agent项目作为独立类别进入V1项目模型和基准项目。</w:t>
      </w:r>
    </w:p>
    <w:p>
      <w:pPr>
        <w:pStyle w:val="Heading1"/>
        <w:keepNext/>
      </w:pPr>
      <w:r>
        <w:t>1. 产品定位与目标</w:t>
      </w:r>
    </w:p>
    <w:p>
      <w:pPr>
        <w:pStyle w:val="Heading2"/>
        <w:keepNext/>
      </w:pPr>
      <w:r>
        <w:t>1.1 产品定位</w:t>
      </w:r>
    </w:p>
    <w:p>
      <w:pPr/>
      <w:r>
        <w:rPr>
          <w:rFonts w:ascii="Heiti SC" w:hAnsi="Heiti SC" w:eastAsia="Heiti SC"/>
          <w:color w:val="172335"/>
        </w:rPr>
        <w:t>产品定位为“企业项目方案自动交付产品”。核心价值不是生成一篇文案，而是从证据出发形成需求、功能、估算、报价、实施和汇报之间保持一致的成果体系。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V1定义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目标用户</w:t>
            </w:r>
          </w:p>
        </w:tc>
        <w:tc>
          <w:tcPr>
            <w:tcW w:type="dxa" w:w="75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10—100人规模的软件公司、数字化服务商、系统集成商、方案顾问及售前团队。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主要场景</w:t>
            </w:r>
          </w:p>
        </w:tc>
        <w:tc>
          <w:tcPr>
            <w:tcW w:type="dxa" w:w="75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客户首次沟通、正式售前、内部立项、需求澄清、工作量估算、项目报价、实施规划和汇报演示。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核心输入</w:t>
            </w:r>
          </w:p>
        </w:tc>
        <w:tc>
          <w:tcPr>
            <w:tcW w:type="dxa" w:w="75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结构化项目说明、内容材料、企业模板与品牌素材。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核心输出</w:t>
            </w:r>
          </w:p>
        </w:tc>
        <w:tc>
          <w:tcPr>
            <w:tcW w:type="dxa" w:w="75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七类成果及其适用的DOCX、XLSX、PPTX、PDF与ZIP包。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运行目标</w:t>
            </w:r>
          </w:p>
        </w:tc>
        <w:tc>
          <w:tcPr>
            <w:tcW w:type="dxa" w:w="75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项目级处理无人化；人工仅参与研发期基准评审和系统维护。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1.2 V1业务目标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验证用户无需提示词和项目管理操作即可提交有效信息。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验证多格式材料可以形成统一、可追溯的项目模型。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验证七类成果能够自动生成并保持数字、范围和术语一致。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验证长文档可以分节生成、中断续跑并完成全局审核。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验证企业模板可用于Word、Excel和PPT成果渲染。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验证修改能够定位影响范围并生成一致的新版本。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验证数据隔离、删除、恢复和运行监控闭环。</w:t>
      </w:r>
    </w:p>
    <w:p>
      <w:pPr>
        <w:pStyle w:val="Heading2"/>
        <w:keepNext/>
      </w:pPr>
      <w:r>
        <w:t>1.3 V1非目标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暂不建设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支付与商业化</w:t>
            </w:r>
          </w:p>
        </w:tc>
        <w:tc>
          <w:tcPr>
            <w:tcW w:type="dxa" w:w="71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支付、订单、发票、优惠、退款、套餐和修改计费在完整流程验证后设计。</w:t>
            </w:r>
          </w:p>
        </w:tc>
      </w:tr>
      <w:tr>
        <w:trPr>
          <w:cantSplit/>
        </w:trPr>
        <w:tc>
          <w:tcPr>
            <w:tcW w:type="dxa" w:w="22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完整在线Office</w:t>
            </w:r>
          </w:p>
        </w:tc>
        <w:tc>
          <w:tcPr>
            <w:tcW w:type="dxa" w:w="71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支持结构化修改和局部再生成，不复制Word、Excel、PPT的完整编辑能力。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团队协作</w:t>
            </w:r>
          </w:p>
        </w:tc>
        <w:tc>
          <w:tcPr>
            <w:tcW w:type="dxa" w:w="71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V1默认单用户，不建设组织、成员、审批和共享权限。</w:t>
            </w:r>
          </w:p>
        </w:tc>
      </w:tr>
      <w:tr>
        <w:trPr>
          <w:cantSplit/>
        </w:trPr>
        <w:tc>
          <w:tcPr>
            <w:tcW w:type="dxa" w:w="22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通用工作流平台</w:t>
            </w:r>
          </w:p>
        </w:tc>
        <w:tc>
          <w:tcPr>
            <w:tcW w:type="dxa" w:w="71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不向用户暴露任务、Agent编排、模型选择和提示词。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源代码交付</w:t>
            </w:r>
          </w:p>
        </w:tc>
        <w:tc>
          <w:tcPr>
            <w:tcW w:type="dxa" w:w="71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不交付可运行代码、高保真UI、完整数据库物理设计和全量测试用例。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产品原则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产品含义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直接操作</w:t>
            </w:r>
          </w:p>
        </w:tc>
        <w:tc>
          <w:tcPr>
            <w:tcW w:type="dxa" w:w="74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用户进入产品后即可填写与上传，项目和任务只存在于系统内部。</w:t>
            </w:r>
          </w:p>
        </w:tc>
      </w:tr>
      <w:tr>
        <w:trPr>
          <w:cantSplit/>
        </w:trPr>
        <w:tc>
          <w:tcPr>
            <w:tcW w:type="dxa" w:w="19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最少前提</w:t>
            </w:r>
          </w:p>
        </w:tc>
        <w:tc>
          <w:tcPr>
            <w:tcW w:type="dxa" w:w="74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仅要求方案用途，以及需求描述或项目材料；未知信息可以显式选择“不确定”。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单一事实源</w:t>
            </w:r>
          </w:p>
        </w:tc>
        <w:tc>
          <w:tcPr>
            <w:tcW w:type="dxa" w:w="74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七类成果均从统一项目模型派生，禁止各自读取原始材料后独立生成。</w:t>
            </w:r>
          </w:p>
        </w:tc>
      </w:tr>
      <w:tr>
        <w:trPr>
          <w:cantSplit/>
        </w:trPr>
        <w:tc>
          <w:tcPr>
            <w:tcW w:type="dxa" w:w="19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证据优先</w:t>
            </w:r>
          </w:p>
        </w:tc>
        <w:tc>
          <w:tcPr>
            <w:tcW w:type="dxa" w:w="74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关键事实保留文件、页码、幻灯片、工作表或单元格等来源位置。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模型分层</w:t>
            </w:r>
          </w:p>
        </w:tc>
        <w:tc>
          <w:tcPr>
            <w:tcW w:type="dxa" w:w="74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低成本模型用于快速理解；高质量模型用于正式分析、复杂生成和审核。</w:t>
            </w:r>
          </w:p>
        </w:tc>
      </w:tr>
      <w:tr>
        <w:trPr>
          <w:cantSplit/>
        </w:trPr>
        <w:tc>
          <w:tcPr>
            <w:tcW w:type="dxa" w:w="19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程序确定性</w:t>
            </w:r>
          </w:p>
        </w:tc>
        <w:tc>
          <w:tcPr>
            <w:tcW w:type="dxa" w:w="74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公式、汇总、版本、关联、文件渲染和质量校验由程序承担。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局部更新</w:t>
            </w:r>
          </w:p>
        </w:tc>
        <w:tc>
          <w:tcPr>
            <w:tcW w:type="dxa" w:w="74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修改一个对象时只重算和重生成受影响部分。</w:t>
            </w:r>
          </w:p>
        </w:tc>
      </w:tr>
      <w:tr>
        <w:trPr>
          <w:cantSplit/>
        </w:trPr>
        <w:tc>
          <w:tcPr>
            <w:tcW w:type="dxa" w:w="19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无人化运行</w:t>
            </w:r>
          </w:p>
        </w:tc>
        <w:tc>
          <w:tcPr>
            <w:tcW w:type="dxa" w:w="74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失败由重试、降级、局部修复和版本回退处理，不建立人工项目队列。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隐私默认</w:t>
            </w:r>
          </w:p>
        </w:tc>
        <w:tc>
          <w:tcPr>
            <w:tcW w:type="dxa" w:w="74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项目内容默认不对运营人员可见，不跨项目复用。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用户、场景与项目边界</w:t>
      </w:r>
    </w:p>
    <w:p>
      <w:pPr>
        <w:pStyle w:val="Heading2"/>
        <w:keepNext/>
      </w:pPr>
      <w:r>
        <w:t>3.1 目标用户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软件公司和数字化服务商的负责人、售前、产品经理和项目经理。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系统集成商及企业数字化咨询团队。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需要快速形成客户方案、估算、报价和汇报材料的小型专业团队。</w:t>
      </w:r>
    </w:p>
    <w:p>
      <w:pPr>
        <w:pStyle w:val="Heading2"/>
        <w:keepNext/>
      </w:pPr>
      <w:r>
        <w:t>3.2 优先支持的项目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典型项目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企业内部管理</w:t>
            </w:r>
          </w:p>
        </w:tc>
        <w:tc>
          <w:tcPr>
            <w:tcW w:type="dxa" w:w="71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CRM、OA审批、销售、采购、库存、合同、项目、资产和售后管理。</w:t>
            </w:r>
          </w:p>
        </w:tc>
      </w:tr>
      <w:tr>
        <w:trPr>
          <w:cantSplit/>
        </w:trPr>
        <w:tc>
          <w:tcPr>
            <w:tcW w:type="dxa" w:w="22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客户与伙伴平台</w:t>
            </w:r>
          </w:p>
        </w:tc>
        <w:tc>
          <w:tcPr>
            <w:tcW w:type="dxa" w:w="71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客户服务、会员、经销商、供应商协同、企业门户和B2B平台。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移动与多端</w:t>
            </w:r>
          </w:p>
        </w:tc>
        <w:tc>
          <w:tcPr>
            <w:tcW w:type="dxa" w:w="71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企业微信、小程序、业务移动端、客户App及Web管理端。</w:t>
            </w:r>
          </w:p>
        </w:tc>
      </w:tr>
      <w:tr>
        <w:trPr>
          <w:cantSplit/>
        </w:trPr>
        <w:tc>
          <w:tcPr>
            <w:tcW w:type="dxa" w:w="22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数据应用</w:t>
            </w:r>
          </w:p>
        </w:tc>
        <w:tc>
          <w:tcPr>
            <w:tcW w:type="dxa" w:w="71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经营分析看板、驾驶舱、报表和指标管理。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系统集成与升级</w:t>
            </w:r>
          </w:p>
        </w:tc>
        <w:tc>
          <w:tcPr>
            <w:tcW w:type="dxa" w:w="71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CRM/ERP集成、单点登录、旧系统重构、数据迁移和多系统整合。</w:t>
            </w:r>
          </w:p>
        </w:tc>
      </w:tr>
      <w:tr>
        <w:trPr>
          <w:cantSplit/>
        </w:trPr>
        <w:tc>
          <w:tcPr>
            <w:tcW w:type="dxa" w:w="22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企业AI Agent</w:t>
            </w:r>
          </w:p>
        </w:tc>
        <w:tc>
          <w:tcPr>
            <w:tcW w:type="dxa" w:w="71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知识服务、内容生成、业务流程执行和有限多Agent协作。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 标准项目参考规模</w:t>
      </w:r>
    </w:p>
    <w:p>
      <w:pPr/>
      <w:r>
        <w:rPr>
          <w:rFonts w:ascii="Heiti SC" w:hAnsi="Heiti SC" w:eastAsia="Heiti SC"/>
          <w:color w:val="172335"/>
        </w:rPr>
        <w:t>规模判断同时考虑有效材料量、需求关系、接口、非功能约束、终端、部署和最终交付规模，不以文件数量替代项目复杂度。以下为测试期参考区间，不是机械截断线。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参考区间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主要产品或系统</w:t>
            </w:r>
          </w:p>
        </w:tc>
        <w:tc>
          <w:tcPr>
            <w:tcW w:type="dxa" w:w="63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1个</w:t>
            </w:r>
          </w:p>
        </w:tc>
      </w:tr>
      <w:tr>
        <w:trPr>
          <w:cantSplit/>
        </w:trPr>
        <w:tc>
          <w:tcPr>
            <w:tcW w:type="dxa" w:w="30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终端形态</w:t>
            </w:r>
          </w:p>
        </w:tc>
        <w:tc>
          <w:tcPr>
            <w:tcW w:type="dxa" w:w="63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1—3种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主要角色</w:t>
            </w:r>
          </w:p>
        </w:tc>
        <w:tc>
          <w:tcPr>
            <w:tcW w:type="dxa" w:w="63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3—20个</w:t>
            </w:r>
          </w:p>
        </w:tc>
      </w:tr>
      <w:tr>
        <w:trPr>
          <w:cantSplit/>
        </w:trPr>
        <w:tc>
          <w:tcPr>
            <w:tcW w:type="dxa" w:w="30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需求</w:t>
            </w:r>
          </w:p>
        </w:tc>
        <w:tc>
          <w:tcPr>
            <w:tcW w:type="dxa" w:w="63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50—200条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功能</w:t>
            </w:r>
          </w:p>
        </w:tc>
        <w:tc>
          <w:tcPr>
            <w:tcW w:type="dxa" w:w="63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30—150项</w:t>
            </w:r>
          </w:p>
        </w:tc>
      </w:tr>
      <w:tr>
        <w:trPr>
          <w:cantSplit/>
        </w:trPr>
        <w:tc>
          <w:tcPr>
            <w:tcW w:type="dxa" w:w="30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外部接口</w:t>
            </w:r>
          </w:p>
        </w:tc>
        <w:tc>
          <w:tcPr>
            <w:tcW w:type="dxa" w:w="63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0—10个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解决方案</w:t>
            </w:r>
          </w:p>
        </w:tc>
        <w:tc>
          <w:tcPr>
            <w:tcW w:type="dxa" w:w="63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约2万—3.5万字</w:t>
            </w:r>
          </w:p>
        </w:tc>
      </w:tr>
      <w:tr>
        <w:trPr>
          <w:cantSplit/>
        </w:trPr>
        <w:tc>
          <w:tcPr>
            <w:tcW w:type="dxa" w:w="30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汇报PPT</w:t>
            </w:r>
          </w:p>
        </w:tc>
        <w:tc>
          <w:tcPr>
            <w:tcW w:type="dxa" w:w="63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约12—15页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项目周期</w:t>
            </w:r>
          </w:p>
        </w:tc>
        <w:tc>
          <w:tcPr>
            <w:tcW w:type="dxa" w:w="63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通常不超过12个月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FFF3E6" w:val="clear"/>
          </w:tcPr>
          <w:p>
            <w:pPr>
              <w:spacing w:after="40"/>
            </w:pPr>
            <w:r>
              <w:rPr>
                <w:rFonts w:ascii="Heiti SC" w:hAnsi="Heiti SC" w:eastAsia="Heiti SC"/>
                <w:b/>
                <w:color w:val="D97917"/>
                <w:sz w:val="20"/>
              </w:rPr>
              <w:t>文件数量口径</w:t>
            </w:r>
          </w:p>
          <w:p>
            <w:pPr>
              <w:spacing w:before="0" w:after="0"/>
            </w:pPr>
            <w:r>
              <w:rPr>
                <w:rFonts w:ascii="Heiti SC" w:hAnsi="Heiti SC" w:eastAsia="Heiti SC"/>
                <w:color w:val="172335"/>
                <w:sz w:val="20"/>
              </w:rPr>
              <w:t>文件数量只作为上传安全阈值。交付文件数量不设上限；七类成果生成多种格式后，实际文件通常为15—25个。上传阈值与内容规模由基准测试校准。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3.4 暂不承诺的项目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医疗诊断、自动金融交易、工业安全控制、航空核电等安全关键系统的核心专业结论。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芯片、PCB、嵌入式固件、机械控制等硬件研发。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CAD、BIM、建筑结构、电力和化工工艺等专业工程设计。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基础模型训练、无边界通用自主Agent和无法定义评价标准的算法研究。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法律意见、财务审计、纯营销策划、纯商业计划书等非软件交付。</w:t>
      </w:r>
    </w:p>
    <w:p>
      <w:pPr>
        <w:pStyle w:val="Heading1"/>
        <w:keepNext/>
      </w:pPr>
      <w:r>
        <w:t>4. 用户旅程与核心交互</w:t>
      </w:r>
    </w:p>
    <w:p>
      <w:r>
        <w:drawing>
          <wp:inline xmlns:a="http://schemas.openxmlformats.org/drawingml/2006/main" xmlns:pic="http://schemas.openxmlformats.org/drawingml/2006/picture">
            <wp:extent cx="5897880" cy="13761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376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Heiti SC" w:hAnsi="Heiti SC" w:eastAsia="Heiti SC"/>
          <w:color w:val="637083"/>
          <w:sz w:val="18"/>
        </w:rPr>
        <w:t>图1  用户可见的端到端流程（不包含支付）</w:t>
      </w:r>
    </w:p>
    <w:p>
      <w:pPr>
        <w:pStyle w:val="Heading2"/>
        <w:keepNext/>
      </w:pPr>
      <w:r>
        <w:t>4.1 核心流程</w:t>
      </w:r>
    </w:p>
    <w:p>
      <w:pPr>
        <w:numPr>
          <w:ilvl w:val="0"/>
          <w:numId w:val="191"/>
        </w:numPr>
      </w:pPr>
      <w:r>
        <w:rPr>
          <w:rFonts w:ascii="Heiti SC" w:hAnsi="Heiti SC" w:eastAsia="Heiti SC"/>
          <w:color w:val="172335"/>
        </w:rPr>
        <w:t>用户在官网产品首屏填写方案用途、客户、用户和需求，或选择项目材料。</w:t>
      </w:r>
    </w:p>
    <w:p>
      <w:pPr>
        <w:numPr>
          <w:ilvl w:val="0"/>
          <w:numId w:val="191"/>
        </w:numPr>
      </w:pPr>
      <w:r>
        <w:rPr>
          <w:rFonts w:ascii="Heiti SC" w:hAnsi="Heiti SC" w:eastAsia="Heiti SC"/>
          <w:color w:val="172335"/>
        </w:rPr>
        <w:t>点击“开始生成方案”后弹出手机号验证码登录，页面状态和文件选择保持。</w:t>
      </w:r>
    </w:p>
    <w:p>
      <w:pPr>
        <w:numPr>
          <w:ilvl w:val="0"/>
          <w:numId w:val="191"/>
        </w:numPr>
      </w:pPr>
      <w:r>
        <w:rPr>
          <w:rFonts w:ascii="Heiti SC" w:hAnsi="Heiti SC" w:eastAsia="Heiti SC"/>
          <w:color w:val="172335"/>
        </w:rPr>
        <w:t>系统上传并解析材料，形成快速项目理解；登录后不进入项目列表。</w:t>
      </w:r>
    </w:p>
    <w:p>
      <w:pPr>
        <w:numPr>
          <w:ilvl w:val="0"/>
          <w:numId w:val="191"/>
        </w:numPr>
      </w:pPr>
      <w:r>
        <w:rPr>
          <w:rFonts w:ascii="Heiti SC" w:hAnsi="Heiti SC" w:eastAsia="Heiti SC"/>
          <w:color w:val="172335"/>
        </w:rPr>
        <w:t>项目理解页展示客户、用户、目标、范围、核心需求、冲突和假设，系统同时继续正式生成。</w:t>
      </w:r>
    </w:p>
    <w:p>
      <w:pPr>
        <w:numPr>
          <w:ilvl w:val="0"/>
          <w:numId w:val="191"/>
        </w:numPr>
      </w:pPr>
      <w:r>
        <w:rPr>
          <w:rFonts w:ascii="Heiti SC" w:hAnsi="Heiti SC" w:eastAsia="Heiti SC"/>
          <w:color w:val="172335"/>
        </w:rPr>
        <w:t>七类成果按依赖关系陆续完成，用户可提前查看已完成成果。</w:t>
      </w:r>
    </w:p>
    <w:p>
      <w:pPr>
        <w:numPr>
          <w:ilvl w:val="0"/>
          <w:numId w:val="191"/>
        </w:numPr>
      </w:pPr>
      <w:r>
        <w:rPr>
          <w:rFonts w:ascii="Heiti SC" w:hAnsi="Heiti SC" w:eastAsia="Heiti SC"/>
          <w:color w:val="172335"/>
        </w:rPr>
        <w:t>成果工作台支持来源追溯、结构化编辑、局部重生成、模板更换和版本回退。</w:t>
      </w:r>
    </w:p>
    <w:p>
      <w:pPr>
        <w:numPr>
          <w:ilvl w:val="0"/>
          <w:numId w:val="191"/>
        </w:numPr>
      </w:pPr>
      <w:r>
        <w:rPr>
          <w:rFonts w:ascii="Heiti SC" w:hAnsi="Heiti SC" w:eastAsia="Heiti SC"/>
          <w:color w:val="172335"/>
        </w:rPr>
        <w:t>用户可以下载客户包、内部包或完整归档包，并可随时删除项目数据。</w:t>
      </w:r>
    </w:p>
    <w:p>
      <w:pPr>
        <w:pStyle w:val="Heading2"/>
        <w:keepNext/>
      </w:pPr>
      <w:r>
        <w:t>4.2 主要页面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466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关键要求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官网产品入口</w:t>
            </w:r>
          </w:p>
        </w:tc>
        <w:tc>
          <w:tcPr>
            <w:tcW w:type="dxa" w:w="29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说明价值并提供真实输入入口</w:t>
            </w:r>
          </w:p>
        </w:tc>
        <w:tc>
          <w:tcPr>
            <w:tcW w:type="dxa" w:w="46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首屏直接包含简化需求画布，不只展示宣传内容。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方案操作台</w:t>
            </w:r>
          </w:p>
        </w:tc>
        <w:tc>
          <w:tcPr>
            <w:tcW w:type="dxa" w:w="29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结构化填写、上传材料和模板</w:t>
            </w:r>
          </w:p>
        </w:tc>
        <w:tc>
          <w:tcPr>
            <w:tcW w:type="dxa" w:w="46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纵向画布，不使用封闭多步向导。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项目理解</w:t>
            </w:r>
          </w:p>
        </w:tc>
        <w:tc>
          <w:tcPr>
            <w:tcW w:type="dxa" w:w="29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查看系统理解、来源、冲突和假设</w:t>
            </w:r>
          </w:p>
        </w:tc>
        <w:tc>
          <w:tcPr>
            <w:tcW w:type="dxa" w:w="46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不是确认前置；仅方向问题需要用户选择。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成果工作台</w:t>
            </w:r>
          </w:p>
        </w:tc>
        <w:tc>
          <w:tcPr>
            <w:tcW w:type="dxa" w:w="29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查看、追溯、修改和导出七类成果</w:t>
            </w:r>
          </w:p>
        </w:tc>
        <w:tc>
          <w:tcPr>
            <w:tcW w:type="dxa" w:w="46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统一三栏框架，右侧展示来源与影响。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我的方案</w:t>
            </w:r>
          </w:p>
        </w:tc>
        <w:tc>
          <w:tcPr>
            <w:tcW w:type="dxa" w:w="29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查看历史方案与生成状态</w:t>
            </w:r>
          </w:p>
        </w:tc>
        <w:tc>
          <w:tcPr>
            <w:tcW w:type="dxa" w:w="46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不展示“新建空白项目”。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数据管理</w:t>
            </w:r>
          </w:p>
        </w:tc>
        <w:tc>
          <w:tcPr>
            <w:tcW w:type="dxa" w:w="29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查看保存期限、删除方案和注销账号</w:t>
            </w:r>
          </w:p>
        </w:tc>
        <w:tc>
          <w:tcPr>
            <w:tcW w:type="dxa" w:w="46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删除后立即停止访问并进入清理队列。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4.3 入口最低条件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EAF1FF" w:val="clear"/>
          </w:tcPr>
          <w:p>
            <w:pPr>
              <w:spacing w:after="40"/>
            </w:pPr>
            <w:r>
              <w:rPr>
                <w:rFonts w:ascii="Heiti SC" w:hAnsi="Heiti SC" w:eastAsia="Heiti SC"/>
                <w:b/>
                <w:color w:val="1F6FFF"/>
                <w:sz w:val="20"/>
              </w:rPr>
              <w:t>真正阻断生成的条件</w:t>
            </w:r>
          </w:p>
          <w:p>
            <w:pPr>
              <w:spacing w:before="0" w:after="0"/>
            </w:pPr>
            <w:r>
              <w:rPr>
                <w:rFonts w:ascii="Heiti SC" w:hAnsi="Heiti SC" w:eastAsia="Heiti SC"/>
                <w:color w:val="172335"/>
                <w:sz w:val="20"/>
              </w:rPr>
              <w:t>用户未选择方案用途，或者既未填写需求描述也未上传任何项目内容材料。客户类型、实际用户可以明确选择“暂不确定”；预算、周期、部署和产品形态均可缺省。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需求画布与Intake Brief</w:t>
      </w:r>
    </w:p>
    <w:p>
      <w:pPr>
        <w:pStyle w:val="Heading2"/>
        <w:keepNext/>
      </w:pPr>
      <w:r>
        <w:t>5.1 可见字段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400"/>
        <w:gridCol w:w="3860"/>
      </w:tblGrid>
      <w:tr>
        <w:trPr>
          <w:tblHeader w:val="true"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本次要产出什么</w:t>
            </w:r>
          </w:p>
        </w:tc>
        <w:tc>
          <w:tcPr>
            <w:tcW w:type="dxa" w:w="34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主要用途、次要用途</w:t>
            </w:r>
          </w:p>
        </w:tc>
        <w:tc>
          <w:tcPr>
            <w:tcW w:type="dxa" w:w="38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主要用途必选。</w:t>
            </w:r>
          </w:p>
        </w:tc>
      </w:tr>
      <w:tr>
        <w:trPr>
          <w:cantSplit/>
        </w:trPr>
        <w:tc>
          <w:tcPr>
            <w:tcW w:type="dxa" w:w="21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面向谁</w:t>
            </w:r>
          </w:p>
        </w:tc>
        <w:tc>
          <w:tcPr>
            <w:tcW w:type="dxa" w:w="34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组织名称、行业、组织类型、实际用户</w:t>
            </w:r>
          </w:p>
        </w:tc>
        <w:tc>
          <w:tcPr>
            <w:tcW w:type="dxa" w:w="38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组织类型与用户角色需要有明确状态，可选“不确定”。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需要解决什么</w:t>
            </w:r>
          </w:p>
        </w:tc>
        <w:tc>
          <w:tcPr>
            <w:tcW w:type="dxa" w:w="34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当前问题、目标结果、明确需求、排除范围</w:t>
            </w:r>
          </w:p>
        </w:tc>
        <w:tc>
          <w:tcPr>
            <w:tcW w:type="dxa" w:w="38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需求描述与内容材料至少有一种。</w:t>
            </w:r>
          </w:p>
        </w:tc>
      </w:tr>
      <w:tr>
        <w:trPr>
          <w:cantSplit/>
        </w:trPr>
        <w:tc>
          <w:tcPr>
            <w:tcW w:type="dxa" w:w="21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希望做成什么</w:t>
            </w:r>
          </w:p>
        </w:tc>
        <w:tc>
          <w:tcPr>
            <w:tcW w:type="dxa" w:w="34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产品形态、建设类型、系统组成</w:t>
            </w:r>
          </w:p>
        </w:tc>
        <w:tc>
          <w:tcPr>
            <w:tcW w:type="dxa" w:w="38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可选；支持Web、小程序、App、看板、系统集成和AI Agent。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有哪些约束</w:t>
            </w:r>
          </w:p>
        </w:tc>
        <w:tc>
          <w:tcPr>
            <w:tcW w:type="dxa" w:w="34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预算、周期、部署、接口、迁移、安全合规</w:t>
            </w:r>
          </w:p>
        </w:tc>
        <w:tc>
          <w:tcPr>
            <w:tcW w:type="dxa" w:w="38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全部可选；默认折叠。</w:t>
            </w:r>
          </w:p>
        </w:tc>
      </w:tr>
      <w:tr>
        <w:trPr>
          <w:cantSplit/>
        </w:trPr>
        <w:tc>
          <w:tcPr>
            <w:tcW w:type="dxa" w:w="21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已有材料和模板</w:t>
            </w:r>
          </w:p>
        </w:tc>
        <w:tc>
          <w:tcPr>
            <w:tcW w:type="dxa" w:w="34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内容材料、企业模板、Logo和品牌素材</w:t>
            </w:r>
          </w:p>
        </w:tc>
        <w:tc>
          <w:tcPr>
            <w:tcW w:type="dxa" w:w="38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两类上传区域必须分开。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AI Agent动态字段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Agent主要任务：希望Agent替用户完成什么工作。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知识来源：上传文档、知识库、数据库、业务系统、互联网或当前输入。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工具与系统：CRM、ERP、企业微信、邮件、日历、搜索、数据库和自定义API。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执行权限：只建议、生成后确认、确认后执行或授权范围内自动执行。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输入输出：文字、文件、图片、表格、语音、多轮对话和结构化数据。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使用规模：用户数、频次、并发、单次材料规模和响应要求。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质量与失败：引用、审计、高风险确认、不确定说明和失败降级。</w:t>
      </w:r>
    </w:p>
    <w:p>
      <w:pPr>
        <w:pStyle w:val="Heading2"/>
        <w:keepNext/>
      </w:pPr>
      <w:r>
        <w:t>5.3 自动回填与来源状态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460"/>
        <w:gridCol w:w="200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用户已确认</w:t>
            </w:r>
          </w:p>
        </w:tc>
        <w:tc>
          <w:tcPr>
            <w:tcW w:type="dxa" w:w="54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用户填写、修改或锁定的信息。</w:t>
            </w:r>
          </w:p>
        </w:tc>
        <w:tc>
          <w:tcPr>
            <w:tcW w:type="dxa" w:w="20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最高</w:t>
            </w:r>
          </w:p>
        </w:tc>
      </w:tr>
      <w:tr>
        <w:trPr>
          <w:cantSplit/>
        </w:trPr>
        <w:tc>
          <w:tcPr>
            <w:tcW w:type="dxa" w:w="19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材料一致</w:t>
            </w:r>
          </w:p>
        </w:tc>
        <w:tc>
          <w:tcPr>
            <w:tcW w:type="dxa" w:w="54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多个有效来源支持同一结论。</w:t>
            </w:r>
          </w:p>
        </w:tc>
        <w:tc>
          <w:tcPr>
            <w:tcW w:type="dxa" w:w="20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单一来源</w:t>
            </w:r>
          </w:p>
        </w:tc>
        <w:tc>
          <w:tcPr>
            <w:tcW w:type="dxa" w:w="54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只在一份材料出现且无冲突。</w:t>
            </w:r>
          </w:p>
        </w:tc>
        <w:tc>
          <w:tcPr>
            <w:tcW w:type="dxa" w:w="20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中</w:t>
            </w:r>
          </w:p>
        </w:tc>
      </w:tr>
      <w:tr>
        <w:trPr>
          <w:cantSplit/>
        </w:trPr>
        <w:tc>
          <w:tcPr>
            <w:tcW w:type="dxa" w:w="19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系统建议</w:t>
            </w:r>
          </w:p>
        </w:tc>
        <w:tc>
          <w:tcPr>
            <w:tcW w:type="dxa" w:w="54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系统根据证据形成的合理补充。</w:t>
            </w:r>
          </w:p>
        </w:tc>
        <w:tc>
          <w:tcPr>
            <w:tcW w:type="dxa" w:w="20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低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材料冲突</w:t>
            </w:r>
          </w:p>
        </w:tc>
        <w:tc>
          <w:tcPr>
            <w:tcW w:type="dxa" w:w="54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两个高优先级来源给出不同结论。</w:t>
            </w:r>
          </w:p>
        </w:tc>
        <w:tc>
          <w:tcPr>
            <w:tcW w:type="dxa" w:w="20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需决策</w:t>
            </w:r>
          </w:p>
        </w:tc>
      </w:tr>
    </w:tbl>
    <w:p>
      <w:pPr>
        <w:spacing w:after="40"/>
      </w:pPr>
    </w:p>
    <w:p>
      <w:pPr/>
      <w:r>
        <w:rPr>
          <w:rFonts w:ascii="Heiti SC" w:hAnsi="Heiti SC" w:eastAsia="Heiti SC"/>
          <w:color w:val="172335"/>
        </w:rPr>
        <w:t>用户已填写的字段不会被附件识别结果静默覆盖。系统识别到不同值时，应展示来源和差异，由用户选择。</w:t>
      </w:r>
    </w:p>
    <w:p>
      <w:pPr>
        <w:pStyle w:val="Heading1"/>
        <w:keepNext/>
      </w:pPr>
      <w:r>
        <w:t>6. 项目理解与确认规则</w:t>
      </w:r>
    </w:p>
    <w:p>
      <w:pPr>
        <w:pStyle w:val="Heading2"/>
        <w:keepNext/>
      </w:pPr>
      <w:r>
        <w:t>6.1 页面内容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项目概览：客户、用户、产品形态、核心目标与总体范围。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当前问题与建设目标：区分事实与系统建议。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产品边界：本期、后续、外部系统和明确不包含内容。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核心需求：仅展示8—12条关键需求，完整需求在后台继续生成。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关键约束：预算、周期、部署、接口、迁移、安全和模板。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材料处理状态：已解析、失败、冲突、模板识别和待确认。</w:t>
      </w:r>
    </w:p>
    <w:p>
      <w:pPr>
        <w:pStyle w:val="Heading2"/>
        <w:keepNext/>
      </w:pPr>
      <w:r>
        <w:t>6.2 三类确认规则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760"/>
        <w:gridCol w:w="3600"/>
      </w:tblGrid>
      <w:tr>
        <w:trPr>
          <w:tblHeader w:val="true"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系统行为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无需确认</w:t>
            </w:r>
          </w:p>
        </w:tc>
        <w:tc>
          <w:tcPr>
            <w:tcW w:type="dxa" w:w="37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术语统一、角色名称合并、重复需求去重、默认目录。</w:t>
            </w:r>
          </w:p>
        </w:tc>
        <w:tc>
          <w:tcPr>
            <w:tcW w:type="dxa" w:w="36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直接继续，用户可后续修改。</w:t>
            </w:r>
          </w:p>
        </w:tc>
      </w:tr>
      <w:tr>
        <w:trPr>
          <w:cantSplit/>
        </w:trPr>
        <w:tc>
          <w:tcPr>
            <w:tcW w:type="dxa" w:w="20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按假设继续</w:t>
            </w:r>
          </w:p>
        </w:tc>
        <w:tc>
          <w:tcPr>
            <w:tcW w:type="dxa" w:w="37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预算、周期、部署、使用规模和接口细节未知。</w:t>
            </w:r>
          </w:p>
        </w:tc>
        <w:tc>
          <w:tcPr>
            <w:tcW w:type="dxa" w:w="36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形成基准或备选方案并明确标记假设。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方向选择</w:t>
            </w:r>
          </w:p>
        </w:tc>
        <w:tc>
          <w:tcPr>
            <w:tcW w:type="dxa" w:w="37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内部系统或外部平台、是否含移动端、AI Agent是否执行外部动作。</w:t>
            </w:r>
          </w:p>
        </w:tc>
        <w:tc>
          <w:tcPr>
            <w:tcW w:type="dxa" w:w="36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一次最多提出3个问题；其他不受影响内容继续处理。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EAF1FF" w:val="clear"/>
          </w:tcPr>
          <w:p>
            <w:pPr>
              <w:spacing w:after="40"/>
            </w:pPr>
            <w:r>
              <w:rPr>
                <w:rFonts w:ascii="Heiti SC" w:hAnsi="Heiti SC" w:eastAsia="Heiti SC"/>
                <w:b/>
                <w:color w:val="1F6FFF"/>
                <w:sz w:val="20"/>
              </w:rPr>
              <w:t>整体阻断条件</w:t>
            </w:r>
          </w:p>
          <w:p>
            <w:pPr>
              <w:spacing w:before="0" w:after="0"/>
            </w:pPr>
            <w:r>
              <w:rPr>
                <w:rFonts w:ascii="Heiti SC" w:hAnsi="Heiti SC" w:eastAsia="Heiti SC"/>
                <w:color w:val="172335"/>
                <w:sz w:val="20"/>
              </w:rPr>
              <w:t>没有有效需求信息、所有关键材料无法读取、项目整体超出支持边界、无法隔离的安全风险，或用户主动停止。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多格式输入与来源标准化</w:t>
      </w:r>
    </w:p>
    <w:p>
      <w:pPr>
        <w:pStyle w:val="Heading2"/>
        <w:keepNext/>
      </w:pPr>
      <w:r>
        <w:t>7.1 支持格式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000"/>
        <w:gridCol w:w="4760"/>
      </w:tblGrid>
      <w:tr>
        <w:trPr>
          <w:tblHeader w:val="true"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V1支持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文档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DOCX、PDF、TXT</w:t>
            </w:r>
          </w:p>
        </w:tc>
        <w:tc>
          <w:tcPr>
            <w:tcW w:type="dxa" w:w="47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结构提取、版面分析、OCR和视觉补充。</w:t>
            </w:r>
          </w:p>
        </w:tc>
      </w:tr>
      <w:tr>
        <w:trPr>
          <w:cantSplit/>
        </w:trPr>
        <w:tc>
          <w:tcPr>
            <w:tcW w:type="dxa" w:w="16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演示</w:t>
            </w:r>
          </w:p>
        </w:tc>
        <w:tc>
          <w:tcPr>
            <w:tcW w:type="dxa" w:w="30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PPTX</w:t>
            </w:r>
          </w:p>
        </w:tc>
        <w:tc>
          <w:tcPr>
            <w:tcW w:type="dxa" w:w="47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文本/备注/图形结构与页面视觉双通道。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表格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XLSX、CSV</w:t>
            </w:r>
          </w:p>
        </w:tc>
        <w:tc>
          <w:tcPr>
            <w:tcW w:type="dxa" w:w="47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工作表、单元格、公式、表区和图表解析。</w:t>
            </w:r>
          </w:p>
        </w:tc>
      </w:tr>
      <w:tr>
        <w:trPr>
          <w:cantSplit/>
        </w:trPr>
        <w:tc>
          <w:tcPr>
            <w:tcW w:type="dxa" w:w="16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图片</w:t>
            </w:r>
          </w:p>
        </w:tc>
        <w:tc>
          <w:tcPr>
            <w:tcW w:type="dxa" w:w="30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PNG、JPG、JPEG、WebP</w:t>
            </w:r>
          </w:p>
        </w:tc>
        <w:tc>
          <w:tcPr>
            <w:tcW w:type="dxa" w:w="47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OCR提取文字，视觉模型理解界面、流程和关系。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旧版Office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DOC、XLS、PPT</w:t>
            </w:r>
          </w:p>
        </w:tc>
        <w:tc>
          <w:tcPr>
            <w:tcW w:type="dxa" w:w="47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隔离转换后进入标准解析。</w:t>
            </w:r>
          </w:p>
        </w:tc>
      </w:tr>
    </w:tbl>
    <w:p>
      <w:pPr>
        <w:spacing w:after="40"/>
      </w:pPr>
    </w:p>
    <w:p>
      <w:pPr/>
      <w:r>
        <w:rPr>
          <w:rFonts w:ascii="Heiti SC" w:hAnsi="Heiti SC" w:eastAsia="Heiti SC"/>
          <w:color w:val="172335"/>
        </w:rPr>
        <w:t>V1不直接支持加密文件、ZIP压缩包、视频、CAD、Visio、可执行文件和宏执行。加密文件可由用户提供未加密版本；含宏文件只允许安全提取，不执行宏。</w:t>
      </w:r>
    </w:p>
    <w:p>
      <w:pPr>
        <w:pStyle w:val="Heading2"/>
        <w:keepNext/>
      </w:pPr>
      <w:r>
        <w:t>7.2 统一来源信息块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来源身份</w:t>
            </w:r>
          </w:p>
        </w:tc>
        <w:tc>
          <w:tcPr>
            <w:tcW w:type="dxa" w:w="71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文件ID、版本、类型、哈希和所属项目。</w:t>
            </w:r>
          </w:p>
        </w:tc>
      </w:tr>
      <w:tr>
        <w:trPr>
          <w:cantSplit/>
        </w:trPr>
        <w:tc>
          <w:tcPr>
            <w:tcW w:type="dxa" w:w="22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位置</w:t>
            </w:r>
          </w:p>
        </w:tc>
        <w:tc>
          <w:tcPr>
            <w:tcW w:type="dxa" w:w="71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页码、幻灯片、工作表、单元格区域、图形或段落。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内容类型</w:t>
            </w:r>
          </w:p>
        </w:tc>
        <w:tc>
          <w:tcPr>
            <w:tcW w:type="dxa" w:w="71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文本、标题、表格、图片、图表、流程或模板元素。</w:t>
            </w:r>
          </w:p>
        </w:tc>
      </w:tr>
      <w:tr>
        <w:trPr>
          <w:cantSplit/>
        </w:trPr>
        <w:tc>
          <w:tcPr>
            <w:tcW w:type="dxa" w:w="22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标准内容</w:t>
            </w:r>
          </w:p>
        </w:tc>
        <w:tc>
          <w:tcPr>
            <w:tcW w:type="dxa" w:w="71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提取文本、结构化表格、图片引用和布局关系。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解析信息</w:t>
            </w:r>
          </w:p>
        </w:tc>
        <w:tc>
          <w:tcPr>
            <w:tcW w:type="dxa" w:w="71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解析器、OCR/视觉方式、置信度和异常。</w:t>
            </w:r>
          </w:p>
        </w:tc>
      </w:tr>
      <w:tr>
        <w:trPr>
          <w:cantSplit/>
        </w:trPr>
        <w:tc>
          <w:tcPr>
            <w:tcW w:type="dxa" w:w="22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数据分类</w:t>
            </w:r>
          </w:p>
        </w:tc>
        <w:tc>
          <w:tcPr>
            <w:tcW w:type="dxa" w:w="71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项目内容、模板、品牌素材、系统推断或用户确认。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7.3 内容与模板分离</w:t>
      </w:r>
    </w:p>
    <w:p>
      <w:pPr/>
      <w:r>
        <w:rPr>
          <w:rFonts w:ascii="Heiti SC" w:hAnsi="Heiti SC" w:eastAsia="Heiti SC"/>
          <w:color w:val="172335"/>
        </w:rPr>
        <w:t>模板和品牌材料记录Logo、颜色、字体、母版、版式、页眉页脚、封面和表格样式。模板中的示例文字默认视为占位内容，不参与项目需求分析；只有用户明确指定时才作为内容材料。</w:t>
      </w:r>
    </w:p>
    <w:p>
      <w:pPr>
        <w:pStyle w:val="Heading1"/>
        <w:keepNext/>
      </w:pPr>
      <w:r>
        <w:t>8. 总体技术架构</w:t>
      </w:r>
    </w:p>
    <w:p>
      <w:r>
        <w:drawing>
          <wp:inline xmlns:a="http://schemas.openxmlformats.org/drawingml/2006/main" xmlns:pic="http://schemas.openxmlformats.org/drawingml/2006/picture">
            <wp:extent cx="5897880" cy="36697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6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Heiti SC" w:hAnsi="Heiti SC" w:eastAsia="Heiti SC"/>
          <w:color w:val="637083"/>
          <w:sz w:val="18"/>
        </w:rPr>
        <w:t>图2  V1总体逻辑架构</w:t>
      </w:r>
    </w:p>
    <w:p>
      <w:pPr>
        <w:pStyle w:val="Heading2"/>
        <w:keepNext/>
      </w:pPr>
      <w:r>
        <w:t>8.1 技术形态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部分</w:t>
            </w:r>
          </w:p>
        </w:tc>
        <w:tc>
          <w:tcPr>
            <w:tcW w:type="dxa" w:w="7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设计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前端与API</w:t>
            </w:r>
          </w:p>
        </w:tc>
        <w:tc>
          <w:tcPr>
            <w:tcW w:type="dxa" w:w="73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沿用现有Next.js App Router、React、TypeScript和Tailwind CSS。</w:t>
            </w:r>
          </w:p>
        </w:tc>
      </w:tr>
      <w:tr>
        <w:trPr>
          <w:cantSplit/>
        </w:trPr>
        <w:tc>
          <w:tcPr>
            <w:tcW w:type="dxa" w:w="20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数据访问</w:t>
            </w:r>
          </w:p>
        </w:tc>
        <w:tc>
          <w:tcPr>
            <w:tcW w:type="dxa" w:w="73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继续使用Drizzle ORM，产品数据从SQLite调整为PostgreSQL。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后台处理</w:t>
            </w:r>
          </w:p>
        </w:tc>
        <w:tc>
          <w:tcPr>
            <w:tcW w:type="dxa" w:w="73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独立Node.js Worker执行解析、模型、长文档、渲染和质量检查。</w:t>
            </w:r>
          </w:p>
        </w:tc>
      </w:tr>
      <w:tr>
        <w:trPr>
          <w:cantSplit/>
        </w:trPr>
        <w:tc>
          <w:tcPr>
            <w:tcW w:type="dxa" w:w="20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文件存储</w:t>
            </w:r>
          </w:p>
        </w:tc>
        <w:tc>
          <w:tcPr>
            <w:tcW w:type="dxa" w:w="73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私有S3兼容对象存储，数据库仅保存元数据和对象Key。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任务编排</w:t>
            </w:r>
          </w:p>
        </w:tc>
        <w:tc>
          <w:tcPr>
            <w:tcW w:type="dxa" w:w="73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初期使用数据库任务表，支持幂等、重试、锁和中间结果。</w:t>
            </w:r>
          </w:p>
        </w:tc>
      </w:tr>
      <w:tr>
        <w:trPr>
          <w:cantSplit/>
        </w:trPr>
        <w:tc>
          <w:tcPr>
            <w:tcW w:type="dxa" w:w="20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部署策略</w:t>
            </w:r>
          </w:p>
        </w:tc>
        <w:tc>
          <w:tcPr>
            <w:tcW w:type="dxa" w:w="73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模块化单体；暂不引入微服务、Kubernetes和复杂多Agent框架。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8.2 逻辑模块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产品前端、产品API、客户身份、私有文件。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任务编排、多格式解析、模型网关、项目模型。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估算与报价规则、长文档生成、Office渲染。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质量检查、修改与版本、运行监控、数据删除。</w:t>
      </w:r>
    </w:p>
    <w:p>
      <w:pPr>
        <w:pStyle w:val="Heading1"/>
        <w:keepNext/>
      </w:pPr>
      <w:r>
        <w:t>9. 模型策略与成本控制</w:t>
      </w:r>
    </w:p>
    <w:p>
      <w:pPr>
        <w:pStyle w:val="Heading2"/>
        <w:keepNext/>
      </w:pPr>
      <w:r>
        <w:t>9.1 能力槽位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能力槽位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FAST_ANALYSIS_MODEL</w:t>
            </w:r>
          </w:p>
        </w:tc>
        <w:tc>
          <w:tcPr>
            <w:tcW w:type="dxa" w:w="67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材料分类、快速摘要、初步字段提取和冲突发现。</w:t>
            </w:r>
          </w:p>
        </w:tc>
      </w:tr>
      <w:tr>
        <w:trPr>
          <w:cantSplit/>
        </w:trPr>
        <w:tc>
          <w:tcPr>
            <w:tcW w:type="dxa" w:w="26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FORMAL_ANALYSIS_MODEL</w:t>
            </w:r>
          </w:p>
        </w:tc>
        <w:tc>
          <w:tcPr>
            <w:tcW w:type="dxa" w:w="67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正式项目模型、复杂需求归纳、功能规划和关键判断。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DOCUMENT_MODEL</w:t>
            </w:r>
          </w:p>
        </w:tc>
        <w:tc>
          <w:tcPr>
            <w:tcW w:type="dxa" w:w="67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章节化长文档生成和内容变体。</w:t>
            </w:r>
          </w:p>
        </w:tc>
      </w:tr>
      <w:tr>
        <w:trPr>
          <w:cantSplit/>
        </w:trPr>
        <w:tc>
          <w:tcPr>
            <w:tcW w:type="dxa" w:w="26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REVIEW_MODEL</w:t>
            </w:r>
          </w:p>
        </w:tc>
        <w:tc>
          <w:tcPr>
            <w:tcW w:type="dxa" w:w="67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独立上下文中的语义、一致性和遗漏检查。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VISION_MODEL</w:t>
            </w:r>
          </w:p>
        </w:tc>
        <w:tc>
          <w:tcPr>
            <w:tcW w:type="dxa" w:w="67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页面、图片、界面、流程和图形理解。</w:t>
            </w:r>
          </w:p>
        </w:tc>
      </w:tr>
      <w:tr>
        <w:trPr>
          <w:cantSplit/>
        </w:trPr>
        <w:tc>
          <w:tcPr>
            <w:tcW w:type="dxa" w:w="26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OCR_ENGINE</w:t>
            </w:r>
          </w:p>
        </w:tc>
        <w:tc>
          <w:tcPr>
            <w:tcW w:type="dxa" w:w="67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扫描文档和图片文字识别。</w:t>
            </w:r>
          </w:p>
        </w:tc>
      </w:tr>
    </w:tbl>
    <w:p>
      <w:pPr>
        <w:spacing w:after="40"/>
      </w:pPr>
    </w:p>
    <w:p>
      <w:pPr/>
      <w:r>
        <w:rPr>
          <w:rFonts w:ascii="Heiti SC" w:hAnsi="Heiti SC" w:eastAsia="Heiti SC"/>
          <w:color w:val="172335"/>
        </w:rPr>
        <w:t>业务代码只引用能力槽位，不写死单一模型。正式分析必须重新基于原始证据构建正式项目模型，不能简单解锁快速模型的隐藏输出。</w:t>
      </w:r>
    </w:p>
    <w:p>
      <w:pPr>
        <w:pStyle w:val="Heading2"/>
        <w:keepNext/>
      </w:pPr>
      <w:r>
        <w:t>9.2 模型与程序边界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模型负责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程序负责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理解、归纳、判断复杂度、形成理由、章节表达和语义审核。</w:t>
            </w:r>
          </w:p>
        </w:tc>
        <w:tc>
          <w:tcPr>
            <w:tcW w:type="dxa" w:w="468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文件解析、关系维护、公式、汇总、版本、渲染、打包和确定性校验。</w:t>
            </w:r>
          </w:p>
        </w:tc>
      </w:tr>
      <w:tr>
        <w:trPr>
          <w:cantSplit/>
        </w:trPr>
        <w:tc>
          <w:tcPr>
            <w:tcW w:type="dxa" w:w="468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识别需求、功能、风险、假设和冲突。</w:t>
            </w:r>
          </w:p>
        </w:tc>
        <w:tc>
          <w:tcPr>
            <w:tcW w:type="dxa" w:w="468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编号、引用、总额、工期规则、文件格式和权限。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9.3 成本原则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验证阶段完整记录成本，但不因成本阈值降低正式分析质量。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正式内容生成一次；多格式导出、模板更换和成果包组装不重复调用模型。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缓存复用确定性解析和相同版本的渲染结果，不复用其他项目语义结论。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模型、OCR和视觉调用量按项目、阶段、成果和重试原因记录。</w:t>
      </w:r>
    </w:p>
    <w:p>
      <w:pPr>
        <w:pStyle w:val="Heading1"/>
        <w:keepNext/>
      </w:pPr>
      <w:r>
        <w:t>10. 统一项目模型</w:t>
      </w:r>
    </w:p>
    <w:p>
      <w:r>
        <w:drawing>
          <wp:inline xmlns:a="http://schemas.openxmlformats.org/drawingml/2006/main" xmlns:pic="http://schemas.openxmlformats.org/drawingml/2006/picture">
            <wp:extent cx="5897880" cy="13761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abi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376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Heiti SC" w:hAnsi="Heiti SC" w:eastAsia="Heiti SC"/>
          <w:color w:val="637083"/>
          <w:sz w:val="18"/>
        </w:rPr>
        <w:t>图3  统一项目模型与成果追溯链</w:t>
      </w:r>
    </w:p>
    <w:p>
      <w:pPr>
        <w:pStyle w:val="Heading2"/>
        <w:keepNext/>
      </w:pPr>
      <w:r>
        <w:t>10.1 核心对象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对象组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主要内容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项目与范围</w:t>
            </w:r>
          </w:p>
        </w:tc>
        <w:tc>
          <w:tcPr>
            <w:tcW w:type="dxa" w:w="72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项目、客户、目标、产品形态、本期范围、不包含内容和关键约束。</w:t>
            </w:r>
          </w:p>
        </w:tc>
      </w:tr>
      <w:tr>
        <w:trPr>
          <w:cantSplit/>
        </w:trPr>
        <w:tc>
          <w:tcPr>
            <w:tcW w:type="dxa" w:w="21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角色与场景</w:t>
            </w:r>
          </w:p>
        </w:tc>
        <w:tc>
          <w:tcPr>
            <w:tcW w:type="dxa" w:w="72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组织、角色、目标、权限、业务流程和使用场景。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需求与功能</w:t>
            </w:r>
          </w:p>
        </w:tc>
        <w:tc>
          <w:tcPr>
            <w:tcW w:type="dxa" w:w="72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需求、验收标准、功能、规则、数据、接口、异常和非功能要求。</w:t>
            </w:r>
          </w:p>
        </w:tc>
      </w:tr>
      <w:tr>
        <w:trPr>
          <w:cantSplit/>
        </w:trPr>
        <w:tc>
          <w:tcPr>
            <w:tcW w:type="dxa" w:w="21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计划与商业</w:t>
            </w:r>
          </w:p>
        </w:tc>
        <w:tc>
          <w:tcPr>
            <w:tcW w:type="dxa" w:w="72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复杂度、人天、角色、工作包、依赖、里程碑、成本、报价和策略。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内容与交付</w:t>
            </w:r>
          </w:p>
        </w:tc>
        <w:tc>
          <w:tcPr>
            <w:tcW w:type="dxa" w:w="72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文档目录、章节、DeckSpec、模板、可见范围、版本和文件。</w:t>
            </w:r>
          </w:p>
        </w:tc>
      </w:tr>
      <w:tr>
        <w:trPr>
          <w:cantSplit/>
        </w:trPr>
        <w:tc>
          <w:tcPr>
            <w:tcW w:type="dxa" w:w="21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证据与治理</w:t>
            </w:r>
          </w:p>
        </w:tc>
        <w:tc>
          <w:tcPr>
            <w:tcW w:type="dxa" w:w="72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来源、置信度、假设、冲突、用户确认、锁定、变更和质量结果。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AI Agent扩展</w:t>
            </w:r>
          </w:p>
        </w:tc>
        <w:tc>
          <w:tcPr>
            <w:tcW w:type="dxa" w:w="72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任务、知识、工具、权限、上下文、记忆、模型路由、评测和运行成本。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10.2 稳定编号与关系</w:t>
      </w:r>
    </w:p>
    <w:p>
      <w:pPr/>
      <w:r>
        <w:rPr>
          <w:rFonts w:ascii="Heiti SC" w:hAnsi="Heiti SC" w:eastAsia="Heiti SC"/>
          <w:color w:val="172335"/>
        </w:rPr>
        <w:t>关键对象使用稳定编号，如REQ-023、FUN-041、EST-018、PLAN-009、DOC-8.2和SLIDE-07。用户删除或修改REQ-023时，系统通过关系图准确定位受影响功能、估算、计划、方案章节和PPT页面。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FFF3E6" w:val="clear"/>
          </w:tcPr>
          <w:p>
            <w:pPr>
              <w:spacing w:after="40"/>
            </w:pPr>
            <w:r>
              <w:rPr>
                <w:rFonts w:ascii="Heiti SC" w:hAnsi="Heiti SC" w:eastAsia="Heiti SC"/>
                <w:b/>
                <w:color w:val="D97917"/>
                <w:sz w:val="20"/>
              </w:rPr>
              <w:t>禁止事项</w:t>
            </w:r>
          </w:p>
          <w:p>
            <w:pPr>
              <w:spacing w:before="0" w:after="0"/>
            </w:pPr>
            <w:r>
              <w:rPr>
                <w:rFonts w:ascii="Heiti SC" w:hAnsi="Heiti SC" w:eastAsia="Heiti SC"/>
                <w:color w:val="172335"/>
                <w:sz w:val="20"/>
              </w:rPr>
              <w:t>七类成果不得分别读取原始材料并自由生成；任何确定性数字不得在不同成果中由模型重复计算。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七类核心成果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160"/>
        <w:gridCol w:w="2600"/>
      </w:tblGrid>
      <w:tr>
        <w:trPr>
          <w:tblHeader w:val="true"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成果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主要结构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在线与下载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需求分析</w:t>
            </w:r>
          </w:p>
        </w:tc>
        <w:tc>
          <w:tcPr>
            <w:tcW w:type="dxa" w:w="51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需求编号、业务域、角色、场景、描述、价值、优先级、验收、来源、假设、关联功能。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在线表格；XLSX、PDF</w:t>
            </w:r>
          </w:p>
        </w:tc>
      </w:tr>
      <w:tr>
        <w:trPr>
          <w:cantSplit/>
        </w:trPr>
        <w:tc>
          <w:tcPr>
            <w:tcW w:type="dxa" w:w="16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功能清单</w:t>
            </w:r>
          </w:p>
        </w:tc>
        <w:tc>
          <w:tcPr>
            <w:tcW w:type="dxa" w:w="51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系统、模块、功能、规则、权限、输入输出、接口、数据、复杂度、关联需求。</w:t>
            </w:r>
          </w:p>
        </w:tc>
        <w:tc>
          <w:tcPr>
            <w:tcW w:type="dxa" w:w="26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层级/表格；XLSX、PDF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整体解决方案</w:t>
            </w:r>
          </w:p>
        </w:tc>
        <w:tc>
          <w:tcPr>
            <w:tcW w:type="dxa" w:w="51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背景、目标、范围、场景、业务、产品、技术、数据、安全、部署、实施、风险和价值。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在线文档；DOCX、PDF</w:t>
            </w:r>
          </w:p>
        </w:tc>
      </w:tr>
      <w:tr>
        <w:trPr>
          <w:cantSplit/>
        </w:trPr>
        <w:tc>
          <w:tcPr>
            <w:tcW w:type="dxa" w:w="16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工作量估算</w:t>
            </w:r>
          </w:p>
        </w:tc>
        <w:tc>
          <w:tcPr>
            <w:tcW w:type="dxa" w:w="51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功能估算、角色汇总、低/基准/高区间、参数、风险和假设。</w:t>
            </w:r>
          </w:p>
        </w:tc>
        <w:tc>
          <w:tcPr>
            <w:tcW w:type="dxa" w:w="26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在线表格；XLSX、PDF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项目报价</w:t>
            </w:r>
          </w:p>
        </w:tc>
        <w:tc>
          <w:tcPr>
            <w:tcW w:type="dxa" w:w="51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报价策略、明细、税费、可选项、不包含内容、有效期和商务说明。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在线表格；XLSX、PDF</w:t>
            </w:r>
          </w:p>
        </w:tc>
      </w:tr>
      <w:tr>
        <w:trPr>
          <w:cantSplit/>
        </w:trPr>
        <w:tc>
          <w:tcPr>
            <w:tcW w:type="dxa" w:w="16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实施计划</w:t>
            </w:r>
          </w:p>
        </w:tc>
        <w:tc>
          <w:tcPr>
            <w:tcW w:type="dxa" w:w="51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阶段、工作包、依赖、角色、周期、里程碑、交付物、验收和风险。</w:t>
            </w:r>
          </w:p>
        </w:tc>
        <w:tc>
          <w:tcPr>
            <w:tcW w:type="dxa" w:w="26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表格/时间轴；XLSX或DOCX、PDF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汇报演示</w:t>
            </w:r>
          </w:p>
        </w:tc>
        <w:tc>
          <w:tcPr>
            <w:tcW w:type="dxa" w:w="51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12—15页叙事、页面目的、核心结论、图形、引用字段和演讲备注。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在线幻灯片；PPTX、PDF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11.1 必须同步的信息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项目名称、客户名称、用户角色、目标、范围和术语。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需求与功能数量、功能复杂度、角色人天和总人天。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项目周期、里程碑、报价总额、部署、安全、假设和不包含内容。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内容版本、渲染版本和生成日期。</w:t>
      </w:r>
    </w:p>
    <w:p>
      <w:pPr>
        <w:pStyle w:val="Heading1"/>
        <w:keepNext/>
      </w:pPr>
      <w:r>
        <w:t>12. 长文档连续生成</w:t>
      </w:r>
    </w:p>
    <w:p>
      <w:pPr>
        <w:pStyle w:val="Heading2"/>
        <w:keepNext/>
      </w:pPr>
      <w:r>
        <w:t>12.1 生成方法</w:t>
      </w:r>
    </w:p>
    <w:p>
      <w:pPr>
        <w:numPr>
          <w:ilvl w:val="0"/>
          <w:numId w:val="192"/>
        </w:numPr>
      </w:pPr>
      <w:r>
        <w:rPr>
          <w:rFonts w:ascii="Heiti SC" w:hAnsi="Heiti SC" w:eastAsia="Heiti SC"/>
          <w:color w:val="172335"/>
        </w:rPr>
        <w:t>固化正式项目模型、术语表、关键数字、假设和写作风格。</w:t>
      </w:r>
    </w:p>
    <w:p>
      <w:pPr>
        <w:numPr>
          <w:ilvl w:val="0"/>
          <w:numId w:val="192"/>
        </w:numPr>
      </w:pPr>
      <w:r>
        <w:rPr>
          <w:rFonts w:ascii="Heiti SC" w:hAnsi="Heiti SC" w:eastAsia="Heiti SC"/>
          <w:color w:val="172335"/>
        </w:rPr>
        <w:t>生成完整目录，为每章定义目标、引用对象、预计篇幅和不能改变的事实。</w:t>
      </w:r>
    </w:p>
    <w:p>
      <w:pPr>
        <w:numPr>
          <w:ilvl w:val="0"/>
          <w:numId w:val="192"/>
        </w:numPr>
      </w:pPr>
      <w:r>
        <w:rPr>
          <w:rFonts w:ascii="Heiti SC" w:hAnsi="Heiti SC" w:eastAsia="Heiti SC"/>
          <w:color w:val="172335"/>
        </w:rPr>
        <w:t>按依赖顺序生成语义小节，每个小节完成后立即持久化。</w:t>
      </w:r>
    </w:p>
    <w:p>
      <w:pPr>
        <w:numPr>
          <w:ilvl w:val="0"/>
          <w:numId w:val="192"/>
        </w:numPr>
      </w:pPr>
      <w:r>
        <w:rPr>
          <w:rFonts w:ascii="Heiti SC" w:hAnsi="Heiti SC" w:eastAsia="Heiti SC"/>
          <w:color w:val="172335"/>
        </w:rPr>
        <w:t>保存章节正文、摘要、声明、引用对象、术语、数字和内容哈希。</w:t>
      </w:r>
    </w:p>
    <w:p>
      <w:pPr>
        <w:numPr>
          <w:ilvl w:val="0"/>
          <w:numId w:val="192"/>
        </w:numPr>
      </w:pPr>
      <w:r>
        <w:rPr>
          <w:rFonts w:ascii="Heiti SC" w:hAnsi="Heiti SC" w:eastAsia="Heiti SC"/>
          <w:color w:val="172335"/>
        </w:rPr>
        <w:t>后续章节读取项目模型、文档基线和相关章节摘要，不加载全部历史文本。</w:t>
      </w:r>
    </w:p>
    <w:p>
      <w:pPr>
        <w:numPr>
          <w:ilvl w:val="0"/>
          <w:numId w:val="192"/>
        </w:numPr>
      </w:pPr>
      <w:r>
        <w:rPr>
          <w:rFonts w:ascii="Heiti SC" w:hAnsi="Heiti SC" w:eastAsia="Heiti SC"/>
          <w:color w:val="172335"/>
        </w:rPr>
        <w:t>正文完成后重新生成执行摘要、结论和PPT内容结构。</w:t>
      </w:r>
    </w:p>
    <w:p>
      <w:pPr>
        <w:numPr>
          <w:ilvl w:val="0"/>
          <w:numId w:val="192"/>
        </w:numPr>
      </w:pPr>
      <w:r>
        <w:rPr>
          <w:rFonts w:ascii="Heiti SC" w:hAnsi="Heiti SC" w:eastAsia="Heiti SC"/>
          <w:color w:val="172335"/>
        </w:rPr>
        <w:t>执行结构、数字、语义、重复和遗漏检查，并只修复相关段落。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EAF1FF" w:val="clear"/>
          </w:tcPr>
          <w:p>
            <w:pPr>
              <w:spacing w:after="40"/>
            </w:pPr>
            <w:r>
              <w:rPr>
                <w:rFonts w:ascii="Heiti SC" w:hAnsi="Heiti SC" w:eastAsia="Heiti SC"/>
                <w:b/>
                <w:color w:val="1F6FFF"/>
                <w:sz w:val="20"/>
              </w:rPr>
              <w:t>中断恢复</w:t>
            </w:r>
          </w:p>
          <w:p>
            <w:pPr>
              <w:spacing w:before="0" w:after="0"/>
            </w:pPr>
            <w:r>
              <w:rPr>
                <w:rFonts w:ascii="Heiti SC" w:hAnsi="Heiti SC" w:eastAsia="Heiti SC"/>
                <w:color w:val="172335"/>
                <w:sz w:val="20"/>
              </w:rPr>
              <w:t>从未完成的语义小节继续，携带剩余计划和已完成摘要；禁止用简单“请继续”盲目续写。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估算、报价与实施规则</w:t>
      </w:r>
    </w:p>
    <w:p>
      <w:pPr>
        <w:pStyle w:val="Heading2"/>
        <w:keepNext/>
      </w:pPr>
      <w:r>
        <w:t>13.1 工作量估算</w:t>
      </w:r>
    </w:p>
    <w:p>
      <w:pPr/>
      <w:r>
        <w:rPr>
          <w:rFonts w:ascii="Heiti SC" w:hAnsi="Heiti SC" w:eastAsia="Heiti SC"/>
          <w:color w:val="172335"/>
        </w:rPr>
        <w:t>模型判断功能复杂度、复用程度、接口、安全和不确定性，并给出理由；程序按配置化系数计算功能基准工作量，并拆分到产品、设计、前端、后端、移动端、测试、架构、项目管理、部署、迁移、培训和文档。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EAF1FF" w:val="clear"/>
          </w:tcPr>
          <w:p>
            <w:pPr>
              <w:spacing w:after="40"/>
            </w:pPr>
            <w:r>
              <w:rPr>
                <w:rFonts w:ascii="Heiti SC" w:hAnsi="Heiti SC" w:eastAsia="Heiti SC"/>
                <w:b/>
                <w:color w:val="1F6FFF"/>
                <w:sz w:val="20"/>
              </w:rPr>
              <w:t>参考公式</w:t>
            </w:r>
          </w:p>
          <w:p>
            <w:pPr>
              <w:spacing w:before="0" w:after="0"/>
            </w:pPr>
            <w:r>
              <w:rPr>
                <w:rFonts w:ascii="Heiti SC" w:hAnsi="Heiti SC" w:eastAsia="Heiti SC"/>
                <w:color w:val="172335"/>
                <w:sz w:val="20"/>
              </w:rPr>
              <w:t>基准人天 × 复杂度系数 × 复用系数 × 接口系数 × 安全系数 × 不确定性系数。系数通过真实项目校准。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13.2 实施计划</w:t>
      </w:r>
    </w:p>
    <w:p>
      <w:pPr/>
      <w:r>
        <w:rPr>
          <w:rFonts w:ascii="Heiti SC" w:hAnsi="Heiti SC" w:eastAsia="Heiti SC"/>
          <w:color w:val="172335"/>
        </w:rPr>
        <w:t>实施周期不能用总人天直接除以团队人数。系统根据工作包依赖、并行关系、阶段、资源和里程碑计算，并保留低、基准和高三档。</w:t>
      </w:r>
    </w:p>
    <w:p>
      <w:pPr>
        <w:pStyle w:val="Heading2"/>
        <w:keepNext/>
      </w:pPr>
      <w:r>
        <w:t>13.3 项目报价</w:t>
      </w:r>
    </w:p>
    <w:p>
      <w:pPr/>
      <w:r>
        <w:rPr>
          <w:rFonts w:ascii="Heiti SC" w:hAnsi="Heiti SC" w:eastAsia="Heiti SC"/>
          <w:color w:val="172335"/>
        </w:rPr>
        <w:t>报价与平台未来收费无关。报价从工作量、角色成本、外部费用、风险、税费、利润率和商务调整形成竞争型、标准型和保守型策略。客户版不包含内部角色成本和利润率。</w:t>
      </w:r>
    </w:p>
    <w:p>
      <w:pPr>
        <w:pStyle w:val="Heading1"/>
        <w:keepNext/>
      </w:pPr>
      <w:r>
        <w:t>14. 成果工作台与修改机制</w:t>
      </w:r>
    </w:p>
    <w:p>
      <w:pPr>
        <w:pStyle w:val="Heading2"/>
        <w:keepNext/>
      </w:pPr>
      <w:r>
        <w:t>14.1 工作台框架</w:t>
      </w:r>
    </w:p>
    <w:p>
      <w:pPr/>
      <w:r>
        <w:rPr>
          <w:rFonts w:ascii="Heiti SC" w:hAnsi="Heiti SC" w:eastAsia="Heiti SC"/>
          <w:color w:val="172335"/>
        </w:rPr>
        <w:t>桌面端采用三栏：左侧七类成果导航，中间为当前成果，右侧为来源、关联、影响和历史。需求和功能用表格/层级视图，方案采用连续阅读，实施计划采用时间轴，PPT采用缩略图与单页预览。</w:t>
      </w:r>
    </w:p>
    <w:p>
      <w:pPr>
        <w:pStyle w:val="Heading2"/>
        <w:keepNext/>
      </w:pPr>
      <w:r>
        <w:t>14.2 修改类型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400"/>
        <w:gridCol w:w="4360"/>
      </w:tblGrid>
      <w:tr>
        <w:trPr>
          <w:tblHeader w:val="true"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系统动作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R 仅渲染</w:t>
            </w:r>
          </w:p>
        </w:tc>
        <w:tc>
          <w:tcPr>
            <w:tcW w:type="dxa" w:w="34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Logo、颜色、字体、页眉页脚、模板</w:t>
            </w:r>
          </w:p>
        </w:tc>
        <w:tc>
          <w:tcPr>
            <w:tcW w:type="dxa" w:w="43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重新渲染和视觉检查，不改业务内容。</w:t>
            </w:r>
          </w:p>
        </w:tc>
      </w:tr>
      <w:tr>
        <w:trPr>
          <w:cantSplit/>
        </w:trPr>
        <w:tc>
          <w:tcPr>
            <w:tcW w:type="dxa" w:w="16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C 重新计算</w:t>
            </w:r>
          </w:p>
        </w:tc>
        <w:tc>
          <w:tcPr>
            <w:tcW w:type="dxa" w:w="34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日单价、利润率、税率、日期、团队参数</w:t>
            </w:r>
          </w:p>
        </w:tc>
        <w:tc>
          <w:tcPr>
            <w:tcW w:type="dxa" w:w="43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规则引擎重算并更新引用摘要。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S 局部语义</w:t>
            </w:r>
          </w:p>
        </w:tc>
        <w:tc>
          <w:tcPr>
            <w:tcW w:type="dxa" w:w="34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单条需求、功能、部署、流程</w:t>
            </w:r>
          </w:p>
        </w:tc>
        <w:tc>
          <w:tcPr>
            <w:tcW w:type="dxa" w:w="43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更新关联对象、章节和页面。</w:t>
            </w:r>
          </w:p>
        </w:tc>
      </w:tr>
      <w:tr>
        <w:trPr>
          <w:cantSplit/>
        </w:trPr>
        <w:tc>
          <w:tcPr>
            <w:tcW w:type="dxa" w:w="16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P 模型重构</w:t>
            </w:r>
          </w:p>
        </w:tc>
        <w:tc>
          <w:tcPr>
            <w:tcW w:type="dxa" w:w="34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产品方向、客户对象、核心范围变化</w:t>
            </w:r>
          </w:p>
        </w:tc>
        <w:tc>
          <w:tcPr>
            <w:tcW w:type="dxa" w:w="43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重新分析受影响的正式项目模型。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14.3 信息优先级与锁定</w:t>
      </w:r>
    </w:p>
    <w:p>
      <w:pPr/>
      <w:r>
        <w:rPr>
          <w:rFonts w:ascii="Heiti SC" w:hAnsi="Heiti SC" w:eastAsia="Heiti SC"/>
          <w:color w:val="172335"/>
        </w:rPr>
        <w:t>用户明确修改并锁定的信息优先于用户确认的结构化信息、最新版材料、其他材料和系统推断。锁定信息与新材料冲突时，系统展示影响并要求解除锁定或保留决定。</w:t>
      </w:r>
    </w:p>
    <w:p>
      <w:pPr>
        <w:pStyle w:val="Heading2"/>
        <w:keepNext/>
      </w:pPr>
      <w:r>
        <w:t>14.4 版本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来源版本：保存文件历史和当前有效版本。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内容版本：V1、V2、V3，七类成果必须共享同一内容版本。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渲染版本：R1、R2、R3，仅表示模板、排版和导出变化。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候选版本通过全部检查后原子发布；失败时旧版本保持可用。</w:t>
      </w:r>
    </w:p>
    <w:p>
      <w:pPr>
        <w:pStyle w:val="Heading1"/>
        <w:keepNext/>
      </w:pPr>
      <w:r>
        <w:t>15. 多格式输出、模板与成果包</w:t>
      </w:r>
    </w:p>
    <w:p>
      <w:pPr>
        <w:pStyle w:val="Heading2"/>
        <w:keepNext/>
      </w:pPr>
      <w:r>
        <w:t>15.1 格式中立的Deliverable Model</w:t>
      </w:r>
    </w:p>
    <w:p>
      <w:pPr/>
      <w:r>
        <w:rPr>
          <w:rFonts w:ascii="Heiti SC" w:hAnsi="Heiti SC" w:eastAsia="Heiti SC"/>
          <w:color w:val="172335"/>
        </w:rPr>
        <w:t>正式项目模型先形成格式中立的成果内容模型，再由Word、Excel、PPT和PDF渲染器生成文件。模型不直接输出Office二进制文件。模板更换、PDF转换和ZIP打包不调用模型。</w:t>
      </w:r>
    </w:p>
    <w:p>
      <w:pPr>
        <w:pStyle w:val="Heading2"/>
        <w:keepNext/>
      </w:pPr>
      <w:r>
        <w:t>15.2 默认模板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默认成果保持白标，不出现平台Logo、平台名称、模型名称和“AI生成”标识。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Word采用A4商务排版、自动目录、图表编号、页眉页脚和假设附录。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Excel使用冻结、筛选、公式、数据验证、打印区域和明确的输入/计算状态。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PPT采用16:9、12—15页、原生可编辑图形、演讲备注和统一母版。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用户企业模板优先控制Logo、品牌色、字体、母版和页眉页脚；系统保持安全边距和可读性。</w:t>
      </w:r>
    </w:p>
    <w:p>
      <w:pPr>
        <w:pStyle w:val="Heading2"/>
        <w:keepNext/>
      </w:pPr>
      <w:r>
        <w:t>15.3 三种导出预设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000"/>
        <w:gridCol w:w="2260"/>
      </w:tblGrid>
      <w:tr>
        <w:trPr>
          <w:tblHeader w:val="true"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预设</w:t>
            </w:r>
          </w:p>
        </w:tc>
        <w:tc>
          <w:tcPr>
            <w:tcW w:type="dxa" w:w="5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Token影响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客户交付包</w:t>
            </w:r>
          </w:p>
        </w:tc>
        <w:tc>
          <w:tcPr>
            <w:tcW w:type="dxa" w:w="50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客户可见成果；默认排除内部成本、原始材料、内部备注和详细来源。</w:t>
            </w:r>
          </w:p>
        </w:tc>
        <w:tc>
          <w:tcPr>
            <w:tcW w:type="dxa" w:w="22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无重复生成；按可见范围过滤。</w:t>
            </w:r>
          </w:p>
        </w:tc>
      </w:tr>
      <w:tr>
        <w:trPr>
          <w:cantSplit/>
        </w:trPr>
        <w:tc>
          <w:tcPr>
            <w:tcW w:type="dxa" w:w="21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内部评审包</w:t>
            </w:r>
          </w:p>
        </w:tc>
        <w:tc>
          <w:tcPr>
            <w:tcW w:type="dxa" w:w="50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完整七类成果、估算依据、来源、假设和版本说明。</w:t>
            </w:r>
          </w:p>
        </w:tc>
        <w:tc>
          <w:tcPr>
            <w:tcW w:type="dxa" w:w="22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复用同一成果模型。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完整归档包</w:t>
            </w:r>
          </w:p>
        </w:tc>
        <w:tc>
          <w:tcPr>
            <w:tcW w:type="dxa" w:w="50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内部包、原始材料、模板、历史版本、修改记录和manifest。</w:t>
            </w:r>
          </w:p>
        </w:tc>
        <w:tc>
          <w:tcPr>
            <w:tcW w:type="dxa" w:w="22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仅存储、渲染和打包。</w:t>
            </w:r>
          </w:p>
        </w:tc>
      </w:tr>
    </w:tbl>
    <w:p>
      <w:pPr>
        <w:spacing w:after="40"/>
      </w:pPr>
    </w:p>
    <w:p>
      <w:pPr/>
      <w:r>
        <w:rPr>
          <w:rFonts w:ascii="Heiti SC" w:hAnsi="Heiti SC" w:eastAsia="Heiti SC"/>
          <w:color w:val="172335"/>
        </w:rPr>
        <w:t>成果对象增加client、internal、both等可见范围。内部工作表不能以隐藏表形式残留在客户文件中，必须生成不同物理文件。</w:t>
      </w:r>
    </w:p>
    <w:p>
      <w:pPr>
        <w:pStyle w:val="Heading1"/>
        <w:keepNext/>
      </w:pPr>
      <w:r>
        <w:t>16. 客户身份、数据隔离与安全</w:t>
      </w:r>
    </w:p>
    <w:p>
      <w:pPr>
        <w:pStyle w:val="Heading2"/>
        <w:keepNext/>
      </w:pPr>
      <w:r>
        <w:t>16.1 身份</w:t>
      </w:r>
    </w:p>
    <w:p>
      <w:pPr/>
      <w:r>
        <w:rPr>
          <w:rFonts w:ascii="Heiti SC" w:hAnsi="Heiti SC" w:eastAsia="Heiti SC"/>
          <w:color w:val="172335"/>
        </w:rPr>
        <w:t>V1建议采用手机号短信验证码登录。用户可以先填写与选择文件，点击开始后登录；登录成功自动上传并继续，不要求公司资料或密码。客户身份与现有管理员身份、Cookie、Session和API完全分离。</w:t>
      </w:r>
    </w:p>
    <w:p>
      <w:pPr>
        <w:pStyle w:val="Heading2"/>
        <w:keepNext/>
      </w:pPr>
      <w:r>
        <w:t>16.2 项目隔离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每条业务数据携带用户、项目、内容版本和数据分类。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每次读取和修改同时验证当前用户、项目归属、对象归属和权限。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Worker只加载当前项目数据，模型请求只发送当前步骤所需最少内容。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文件存入私有对象存储，下载前重新鉴权并生成短期签名地址。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原始文件、模板、中间文件、成果和版本使用独立目录与生命周期。</w:t>
      </w:r>
    </w:p>
    <w:p>
      <w:pPr>
        <w:pStyle w:val="Heading2"/>
        <w:keepNext/>
      </w:pPr>
      <w:r>
        <w:t>16.3 文件与提示词安全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控制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伪装或损坏文件</w:t>
            </w:r>
          </w:p>
        </w:tc>
        <w:tc>
          <w:tcPr>
            <w:tcW w:type="dxa" w:w="70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Magic byte验证、损坏检查和隔离解析。</w:t>
            </w:r>
          </w:p>
        </w:tc>
      </w:tr>
      <w:tr>
        <w:trPr>
          <w:cantSplit/>
        </w:trPr>
        <w:tc>
          <w:tcPr>
            <w:tcW w:type="dxa" w:w="23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Office宏和外部链接</w:t>
            </w:r>
          </w:p>
        </w:tc>
        <w:tc>
          <w:tcPr>
            <w:tcW w:type="dxa" w:w="70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不执行宏、不访问外链，旧版文件隔离转换。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压缩炸弹与资源耗尽</w:t>
            </w:r>
          </w:p>
        </w:tc>
        <w:tc>
          <w:tcPr>
            <w:tcW w:type="dxa" w:w="70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限制展开大小、解析时间、内存和并发。</w:t>
            </w:r>
          </w:p>
        </w:tc>
      </w:tr>
      <w:tr>
        <w:trPr>
          <w:cantSplit/>
        </w:trPr>
        <w:tc>
          <w:tcPr>
            <w:tcW w:type="dxa" w:w="23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提示词注入</w:t>
            </w:r>
          </w:p>
        </w:tc>
        <w:tc>
          <w:tcPr>
            <w:tcW w:type="dxa" w:w="70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材料始终作为数据；不能改变系统指令、工具权限和外部动作。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日志泄漏</w:t>
            </w:r>
          </w:p>
        </w:tc>
        <w:tc>
          <w:tcPr>
            <w:tcW w:type="dxa" w:w="70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日志只保存匿名ID、哈希、用量、阶段和错误码，不保存完整正文。</w:t>
            </w:r>
          </w:p>
        </w:tc>
      </w:tr>
      <w:tr>
        <w:trPr>
          <w:cantSplit/>
        </w:trPr>
        <w:tc>
          <w:tcPr>
            <w:tcW w:type="dxa" w:w="23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跨项目数据</w:t>
            </w:r>
          </w:p>
        </w:tc>
        <w:tc>
          <w:tcPr>
            <w:tcW w:type="dxa" w:w="70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禁止跨项目检索、缓存语义结论和知识复用。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16.4 数据保存与删除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6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验证阶段暂定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未完成临时上传</w:t>
            </w:r>
          </w:p>
        </w:tc>
        <w:tc>
          <w:tcPr>
            <w:tcW w:type="dxa" w:w="61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24小时</w:t>
            </w:r>
          </w:p>
        </w:tc>
      </w:tr>
      <w:tr>
        <w:trPr>
          <w:cantSplit/>
        </w:trPr>
        <w:tc>
          <w:tcPr>
            <w:tcW w:type="dxa" w:w="32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原始项目材料</w:t>
            </w:r>
          </w:p>
        </w:tc>
        <w:tc>
          <w:tcPr>
            <w:tcW w:type="dxa" w:w="61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最后活动后30天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解析中间文件</w:t>
            </w:r>
          </w:p>
        </w:tc>
        <w:tc>
          <w:tcPr>
            <w:tcW w:type="dxa" w:w="61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成果完成后7天</w:t>
            </w:r>
          </w:p>
        </w:tc>
      </w:tr>
      <w:tr>
        <w:trPr>
          <w:cantSplit/>
        </w:trPr>
        <w:tc>
          <w:tcPr>
            <w:tcW w:type="dxa" w:w="32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项目模型和生成成果</w:t>
            </w:r>
          </w:p>
        </w:tc>
        <w:tc>
          <w:tcPr>
            <w:tcW w:type="dxa" w:w="61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最后活动后90天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用户主动删除</w:t>
            </w:r>
          </w:p>
        </w:tc>
        <w:tc>
          <w:tcPr>
            <w:tcW w:type="dxa" w:w="61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立即停止访问并进入删除队列</w:t>
            </w:r>
          </w:p>
        </w:tc>
      </w:tr>
      <w:tr>
        <w:trPr>
          <w:cantSplit/>
        </w:trPr>
        <w:tc>
          <w:tcPr>
            <w:tcW w:type="dxa" w:w="32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备份</w:t>
            </w:r>
          </w:p>
        </w:tc>
        <w:tc>
          <w:tcPr>
            <w:tcW w:type="dxa" w:w="61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随备份保留周期清除</w:t>
            </w:r>
          </w:p>
        </w:tc>
      </w:tr>
    </w:tbl>
    <w:p>
      <w:pPr>
        <w:spacing w:after="40"/>
      </w:pPr>
    </w:p>
    <w:p>
      <w:pPr/>
      <w:r>
        <w:rPr>
          <w:rFonts w:ascii="Heiti SC" w:hAnsi="Heiti SC" w:eastAsia="Heiti SC"/>
          <w:color w:val="172335"/>
        </w:rPr>
        <w:t>保存期限必须配置化。删除整个方案时清理来源、模板、信息块、项目模型、中间结果、成果、下载文件、正文修改记录、缓存和索引。</w:t>
      </w:r>
    </w:p>
    <w:p>
      <w:pPr>
        <w:pStyle w:val="Heading1"/>
        <w:keepNext/>
      </w:pPr>
      <w:r>
        <w:t>17. 自动质量检查与恢复</w:t>
      </w:r>
    </w:p>
    <w:p>
      <w:pPr>
        <w:pStyle w:val="Heading2"/>
        <w:keepNext/>
      </w:pPr>
      <w:r>
        <w:t>17.1 四层质量门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质量层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检查内容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来源与项目模型</w:t>
            </w:r>
          </w:p>
        </w:tc>
        <w:tc>
          <w:tcPr>
            <w:tcW w:type="dxa" w:w="70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解析覆盖、证据、冲突、事实/假设、关系完整和范围边界。</w:t>
            </w:r>
          </w:p>
        </w:tc>
      </w:tr>
      <w:tr>
        <w:trPr>
          <w:cantSplit/>
        </w:trPr>
        <w:tc>
          <w:tcPr>
            <w:tcW w:type="dxa" w:w="23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确定性数据</w:t>
            </w:r>
          </w:p>
        </w:tc>
        <w:tc>
          <w:tcPr>
            <w:tcW w:type="dxa" w:w="70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编号、公式、汇总、金额、单位、版本和引用。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语义内容</w:t>
            </w:r>
          </w:p>
        </w:tc>
        <w:tc>
          <w:tcPr>
            <w:tcW w:type="dxa" w:w="70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遗漏、矛盾、重复、术语、长文档连续性和跨成果一致性。</w:t>
            </w:r>
          </w:p>
        </w:tc>
      </w:tr>
      <w:tr>
        <w:trPr>
          <w:cantSplit/>
        </w:trPr>
        <w:tc>
          <w:tcPr>
            <w:tcW w:type="dxa" w:w="23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文件与视觉</w:t>
            </w:r>
          </w:p>
        </w:tc>
        <w:tc>
          <w:tcPr>
            <w:tcW w:type="dxa" w:w="70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文件打开、公式、目录、字体、分页、溢出、重叠、截断和PDF转换。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17.2 自动恢复</w:t>
      </w:r>
    </w:p>
    <w:p>
      <w:pPr>
        <w:numPr>
          <w:ilvl w:val="0"/>
          <w:numId w:val="193"/>
        </w:numPr>
      </w:pPr>
      <w:r>
        <w:rPr>
          <w:rFonts w:ascii="Heiti SC" w:hAnsi="Heiti SC" w:eastAsia="Heiti SC"/>
          <w:color w:val="172335"/>
        </w:rPr>
        <w:t>原步骤重试；</w:t>
      </w:r>
    </w:p>
    <w:p>
      <w:pPr>
        <w:numPr>
          <w:ilvl w:val="0"/>
          <w:numId w:val="193"/>
        </w:numPr>
      </w:pPr>
      <w:r>
        <w:rPr>
          <w:rFonts w:ascii="Heiti SC" w:hAnsi="Heiti SC" w:eastAsia="Heiti SC"/>
          <w:color w:val="172335"/>
        </w:rPr>
        <w:t>切换已验证的解析策略或备用模型；</w:t>
      </w:r>
    </w:p>
    <w:p>
      <w:pPr>
        <w:numPr>
          <w:ilvl w:val="0"/>
          <w:numId w:val="193"/>
        </w:numPr>
      </w:pPr>
      <w:r>
        <w:rPr>
          <w:rFonts w:ascii="Heiti SC" w:hAnsi="Heiti SC" w:eastAsia="Heiti SC"/>
          <w:color w:val="172335"/>
        </w:rPr>
        <w:t>缩小到文件、对象、章节或页面；</w:t>
      </w:r>
    </w:p>
    <w:p>
      <w:pPr>
        <w:numPr>
          <w:ilvl w:val="0"/>
          <w:numId w:val="193"/>
        </w:numPr>
      </w:pPr>
      <w:r>
        <w:rPr>
          <w:rFonts w:ascii="Heiti SC" w:hAnsi="Heiti SC" w:eastAsia="Heiti SC"/>
          <w:color w:val="172335"/>
        </w:rPr>
        <w:t>局部修复并重新运行相关检查；</w:t>
      </w:r>
    </w:p>
    <w:p>
      <w:pPr>
        <w:numPr>
          <w:ilvl w:val="0"/>
          <w:numId w:val="193"/>
        </w:numPr>
      </w:pPr>
      <w:r>
        <w:rPr>
          <w:rFonts w:ascii="Heiti SC" w:hAnsi="Heiti SC" w:eastAsia="Heiti SC"/>
          <w:color w:val="172335"/>
        </w:rPr>
        <w:t>候选版本失败时保留旧版。</w:t>
      </w:r>
    </w:p>
    <w:p>
      <w:pPr/>
      <w:r>
        <w:rPr>
          <w:rFonts w:ascii="Heiti SC" w:hAnsi="Heiti SC" w:eastAsia="Heiti SC"/>
          <w:color w:val="172335"/>
        </w:rPr>
        <w:t>一个PPT页面失败不能重跑整个项目；一个Excel公式错误不能重新分析全部需求。达到重试上限后明确标记受影响成果，不把半成品伪装成完成。</w:t>
      </w:r>
    </w:p>
    <w:p>
      <w:pPr>
        <w:pStyle w:val="Heading1"/>
        <w:keepNext/>
      </w:pPr>
      <w:r>
        <w:t>18. 无人化运维后台</w:t>
      </w:r>
    </w:p>
    <w:p>
      <w:pPr>
        <w:pStyle w:val="Heading2"/>
        <w:keepNext/>
      </w:pPr>
      <w:r>
        <w:t>18.1 运行总览</w:t>
      </w:r>
    </w:p>
    <w:p>
      <w:pPr/>
      <w:r>
        <w:rPr>
          <w:rFonts w:ascii="Heiti SC" w:hAnsi="Heiti SC" w:eastAsia="Heiti SC"/>
          <w:color w:val="172335"/>
        </w:rPr>
        <w:t>后台以“材料接收—文件解析—项目模型—成果生成—文件渲染—质量检查—完成交付”的处理链路为主轴，展示处理量、成功率、P50/P95耗时、重试、自动修复和积压。</w:t>
      </w:r>
    </w:p>
    <w:p>
      <w:pPr>
        <w:pStyle w:val="Heading2"/>
        <w:keepNext/>
      </w:pPr>
      <w:r>
        <w:t>18.2 可见与不可见数据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后台可见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后台默认不可见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匿名执行ID、文件类型/数量、处理规模、阶段、模型槽位、Token、耗时、错误码、版本。</w:t>
            </w:r>
          </w:p>
        </w:tc>
        <w:tc>
          <w:tcPr>
            <w:tcW w:type="dxa" w:w="468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手机号、客户名称、原始文件名中的敏感信息、正文、需求、报价、方案和用户修改内容。</w:t>
            </w:r>
          </w:p>
        </w:tc>
      </w:tr>
      <w:tr>
        <w:trPr>
          <w:cantSplit/>
        </w:trPr>
        <w:tc>
          <w:tcPr>
            <w:tcW w:type="dxa" w:w="468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聚合成功率、成本、解析器/渲染器表现、删除积压和安全告警。</w:t>
            </w:r>
          </w:p>
        </w:tc>
        <w:tc>
          <w:tcPr>
            <w:tcW w:type="dxa" w:w="468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逐项目人工审核、人工改稿和人工交付入口。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18.3 配置与灰度</w:t>
      </w:r>
    </w:p>
    <w:p>
      <w:pPr/>
      <w:r>
        <w:rPr>
          <w:rFonts w:ascii="Heiti SC" w:hAnsi="Heiti SC" w:eastAsia="Heiti SC"/>
          <w:color w:val="172335"/>
        </w:rPr>
        <w:t>模型、解析器和渲染器变更先运行基准项目，再小比例灰度，自动比较质量、时间和成本；异常时回退到最近稳定版本。生产环境不直接使用用户项目作为测试集。</w:t>
      </w:r>
    </w:p>
    <w:p>
      <w:pPr>
        <w:pStyle w:val="Heading1"/>
        <w:keepNext/>
      </w:pPr>
      <w:r>
        <w:t>19. 基准项目与验收</w:t>
      </w:r>
    </w:p>
    <w:p>
      <w:pPr>
        <w:pStyle w:val="Heading2"/>
        <w:keepNext/>
      </w:pPr>
      <w:r>
        <w:t>19.1 基准项目</w:t>
      </w:r>
    </w:p>
    <w:p>
      <w:pPr>
        <w:numPr>
          <w:ilvl w:val="0"/>
          <w:numId w:val="194"/>
        </w:numPr>
      </w:pPr>
      <w:r>
        <w:rPr>
          <w:rFonts w:ascii="Heiti SC" w:hAnsi="Heiti SC" w:eastAsia="Heiti SC"/>
          <w:color w:val="172335"/>
        </w:rPr>
        <w:t>CRM系统</w:t>
      </w:r>
    </w:p>
    <w:p>
      <w:pPr>
        <w:numPr>
          <w:ilvl w:val="0"/>
          <w:numId w:val="194"/>
        </w:numPr>
      </w:pPr>
      <w:r>
        <w:rPr>
          <w:rFonts w:ascii="Heiti SC" w:hAnsi="Heiti SC" w:eastAsia="Heiti SC"/>
          <w:color w:val="172335"/>
        </w:rPr>
        <w:t>OA审批系统</w:t>
      </w:r>
    </w:p>
    <w:p>
      <w:pPr>
        <w:numPr>
          <w:ilvl w:val="0"/>
          <w:numId w:val="194"/>
        </w:numPr>
      </w:pPr>
      <w:r>
        <w:rPr>
          <w:rFonts w:ascii="Heiti SC" w:hAnsi="Heiti SC" w:eastAsia="Heiti SC"/>
          <w:color w:val="172335"/>
        </w:rPr>
        <w:t>销售移动端</w:t>
      </w:r>
    </w:p>
    <w:p>
      <w:pPr>
        <w:numPr>
          <w:ilvl w:val="0"/>
          <w:numId w:val="194"/>
        </w:numPr>
      </w:pPr>
      <w:r>
        <w:rPr>
          <w:rFonts w:ascii="Heiti SC" w:hAnsi="Heiti SC" w:eastAsia="Heiti SC"/>
          <w:color w:val="172335"/>
        </w:rPr>
        <w:t>客户服务小程序</w:t>
      </w:r>
    </w:p>
    <w:p>
      <w:pPr>
        <w:numPr>
          <w:ilvl w:val="0"/>
          <w:numId w:val="194"/>
        </w:numPr>
      </w:pPr>
      <w:r>
        <w:rPr>
          <w:rFonts w:ascii="Heiti SC" w:hAnsi="Heiti SC" w:eastAsia="Heiti SC"/>
          <w:color w:val="172335"/>
        </w:rPr>
        <w:t>经销商管理平台</w:t>
      </w:r>
    </w:p>
    <w:p>
      <w:pPr>
        <w:numPr>
          <w:ilvl w:val="0"/>
          <w:numId w:val="194"/>
        </w:numPr>
      </w:pPr>
      <w:r>
        <w:rPr>
          <w:rFonts w:ascii="Heiti SC" w:hAnsi="Heiti SC" w:eastAsia="Heiti SC"/>
          <w:color w:val="172335"/>
        </w:rPr>
        <w:t>采购与供应商协同</w:t>
      </w:r>
    </w:p>
    <w:p>
      <w:pPr>
        <w:numPr>
          <w:ilvl w:val="0"/>
          <w:numId w:val="194"/>
        </w:numPr>
      </w:pPr>
      <w:r>
        <w:rPr>
          <w:rFonts w:ascii="Heiti SC" w:hAnsi="Heiti SC" w:eastAsia="Heiti SC"/>
          <w:color w:val="172335"/>
        </w:rPr>
        <w:t>售后服务平台</w:t>
      </w:r>
    </w:p>
    <w:p>
      <w:pPr>
        <w:numPr>
          <w:ilvl w:val="0"/>
          <w:numId w:val="194"/>
        </w:numPr>
      </w:pPr>
      <w:r>
        <w:rPr>
          <w:rFonts w:ascii="Heiti SC" w:hAnsi="Heiti SC" w:eastAsia="Heiti SC"/>
          <w:color w:val="172335"/>
        </w:rPr>
        <w:t>经营数据看板</w:t>
      </w:r>
    </w:p>
    <w:p>
      <w:pPr>
        <w:numPr>
          <w:ilvl w:val="0"/>
          <w:numId w:val="194"/>
        </w:numPr>
      </w:pPr>
      <w:r>
        <w:rPr>
          <w:rFonts w:ascii="Heiti SC" w:hAnsi="Heiti SC" w:eastAsia="Heiti SC"/>
          <w:color w:val="172335"/>
        </w:rPr>
        <w:t>会员服务平台</w:t>
      </w:r>
    </w:p>
    <w:p>
      <w:pPr>
        <w:numPr>
          <w:ilvl w:val="0"/>
          <w:numId w:val="194"/>
        </w:numPr>
      </w:pPr>
      <w:r>
        <w:rPr>
          <w:rFonts w:ascii="Heiti SC" w:hAnsi="Heiti SC" w:eastAsia="Heiti SC"/>
          <w:color w:val="172335"/>
        </w:rPr>
        <w:t>合同管理系统</w:t>
      </w:r>
    </w:p>
    <w:p>
      <w:pPr>
        <w:numPr>
          <w:ilvl w:val="0"/>
          <w:numId w:val="194"/>
        </w:numPr>
      </w:pPr>
      <w:r>
        <w:rPr>
          <w:rFonts w:ascii="Heiti SC" w:hAnsi="Heiti SC" w:eastAsia="Heiti SC"/>
          <w:color w:val="172335"/>
        </w:rPr>
        <w:t>企业门户</w:t>
      </w:r>
    </w:p>
    <w:p>
      <w:pPr>
        <w:numPr>
          <w:ilvl w:val="0"/>
          <w:numId w:val="194"/>
        </w:numPr>
      </w:pPr>
      <w:r>
        <w:rPr>
          <w:rFonts w:ascii="Heiti SC" w:hAnsi="Heiti SC" w:eastAsia="Heiti SC"/>
          <w:color w:val="172335"/>
        </w:rPr>
        <w:t>CRM与ERP集成</w:t>
      </w:r>
    </w:p>
    <w:p>
      <w:pPr>
        <w:numPr>
          <w:ilvl w:val="0"/>
          <w:numId w:val="194"/>
        </w:numPr>
      </w:pPr>
      <w:r>
        <w:rPr>
          <w:rFonts w:ascii="Heiti SC" w:hAnsi="Heiti SC" w:eastAsia="Heiti SC"/>
          <w:color w:val="172335"/>
        </w:rPr>
        <w:t>旧系统升级改造</w:t>
      </w:r>
    </w:p>
    <w:p>
      <w:pPr>
        <w:numPr>
          <w:ilvl w:val="0"/>
          <w:numId w:val="194"/>
        </w:numPr>
      </w:pPr>
      <w:r>
        <w:rPr>
          <w:rFonts w:ascii="Heiti SC" w:hAnsi="Heiti SC" w:eastAsia="Heiti SC"/>
          <w:color w:val="172335"/>
        </w:rPr>
        <w:t>私有化部署项目</w:t>
      </w:r>
    </w:p>
    <w:p>
      <w:pPr>
        <w:numPr>
          <w:ilvl w:val="0"/>
          <w:numId w:val="194"/>
        </w:numPr>
      </w:pPr>
      <w:r>
        <w:rPr>
          <w:rFonts w:ascii="Heiti SC" w:hAnsi="Heiti SC" w:eastAsia="Heiti SC"/>
          <w:color w:val="172335"/>
        </w:rPr>
        <w:t>多格式材料及企业模板综合项目</w:t>
      </w:r>
    </w:p>
    <w:p>
      <w:pPr>
        <w:numPr>
          <w:ilvl w:val="0"/>
          <w:numId w:val="194"/>
        </w:numPr>
      </w:pPr>
      <w:r>
        <w:rPr>
          <w:rFonts w:ascii="Heiti SC" w:hAnsi="Heiti SC" w:eastAsia="Heiti SC"/>
          <w:color w:val="172335"/>
        </w:rPr>
        <w:t>企业知识服务Agent</w:t>
      </w:r>
    </w:p>
    <w:p>
      <w:pPr>
        <w:numPr>
          <w:ilvl w:val="0"/>
          <w:numId w:val="194"/>
        </w:numPr>
      </w:pPr>
      <w:r>
        <w:rPr>
          <w:rFonts w:ascii="Heiti SC" w:hAnsi="Heiti SC" w:eastAsia="Heiti SC"/>
          <w:color w:val="172335"/>
        </w:rPr>
        <w:t>文档与方案生成Agent</w:t>
      </w:r>
    </w:p>
    <w:p>
      <w:pPr>
        <w:numPr>
          <w:ilvl w:val="0"/>
          <w:numId w:val="194"/>
        </w:numPr>
      </w:pPr>
      <w:r>
        <w:rPr>
          <w:rFonts w:ascii="Heiti SC" w:hAnsi="Heiti SC" w:eastAsia="Heiti SC"/>
          <w:color w:val="172335"/>
        </w:rPr>
        <w:t>业务流程执行Agent</w:t>
      </w:r>
    </w:p>
    <w:p>
      <w:pPr>
        <w:pStyle w:val="Heading2"/>
        <w:keepNext/>
      </w:pPr>
      <w:r>
        <w:t>19.2 关键验收指标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进入支付设计前的门槛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样本与运行</w:t>
            </w:r>
          </w:p>
        </w:tc>
        <w:tc>
          <w:tcPr>
            <w:tcW w:type="dxa" w:w="71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至少18个代表性基准项目；至少30次连续无人值守运行。</w:t>
            </w:r>
          </w:p>
        </w:tc>
      </w:tr>
      <w:tr>
        <w:trPr>
          <w:cantSplit/>
        </w:trPr>
        <w:tc>
          <w:tcPr>
            <w:tcW w:type="dxa" w:w="22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自动交付</w:t>
            </w:r>
          </w:p>
        </w:tc>
        <w:tc>
          <w:tcPr>
            <w:tcW w:type="dxa" w:w="71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完整成果自动交付率不低于95%；正式收费前提高到98%以上。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文件质量</w:t>
            </w:r>
          </w:p>
        </w:tc>
        <w:tc>
          <w:tcPr>
            <w:tcW w:type="dxa" w:w="71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核心Office和PDF文件正常打开率100%；严重排版错误为0。</w:t>
            </w:r>
          </w:p>
        </w:tc>
      </w:tr>
      <w:tr>
        <w:trPr>
          <w:cantSplit/>
        </w:trPr>
        <w:tc>
          <w:tcPr>
            <w:tcW w:type="dxa" w:w="22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数据一致</w:t>
            </w:r>
          </w:p>
        </w:tc>
        <w:tc>
          <w:tcPr>
            <w:tcW w:type="dxa" w:w="71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公式、汇总、金额和跨成果关键数字一致率100%。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追溯</w:t>
            </w:r>
          </w:p>
        </w:tc>
        <w:tc>
          <w:tcPr>
            <w:tcW w:type="dxa" w:w="71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需求—功能—估算关系覆盖100%；关键事实来源可追溯100%。</w:t>
            </w:r>
          </w:p>
        </w:tc>
      </w:tr>
      <w:tr>
        <w:trPr>
          <w:cantSplit/>
        </w:trPr>
        <w:tc>
          <w:tcPr>
            <w:tcW w:type="dxa" w:w="22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内容质量</w:t>
            </w:r>
          </w:p>
        </w:tc>
        <w:tc>
          <w:tcPr>
            <w:tcW w:type="dxa" w:w="71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关键需求覆盖不低于95%；无来源且未标记的关键事实为0。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修改</w:t>
            </w:r>
          </w:p>
        </w:tc>
        <w:tc>
          <w:tcPr>
            <w:tcW w:type="dxa" w:w="71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受影响对象召回不低于95%；锁定内容保持100%；无关变化低于2%。</w:t>
            </w:r>
          </w:p>
        </w:tc>
      </w:tr>
      <w:tr>
        <w:trPr>
          <w:cantSplit/>
        </w:trPr>
        <w:tc>
          <w:tcPr>
            <w:tcW w:type="dxa" w:w="22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安全</w:t>
            </w:r>
          </w:p>
        </w:tc>
        <w:tc>
          <w:tcPr>
            <w:tcW w:type="dxa" w:w="71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跨项目数据泄漏为0；删除、中断恢复和权限测试全部通过。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经营数据</w:t>
            </w:r>
          </w:p>
        </w:tc>
        <w:tc>
          <w:tcPr>
            <w:tcW w:type="dxa" w:w="71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获得平均/P95时间、成本、重试和失败分布。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EAF1FF" w:val="clear"/>
          </w:tcPr>
          <w:p>
            <w:pPr>
              <w:spacing w:after="40"/>
            </w:pPr>
            <w:r>
              <w:rPr>
                <w:rFonts w:ascii="Heiti SC" w:hAnsi="Heiti SC" w:eastAsia="Heiti SC"/>
                <w:b/>
                <w:color w:val="1F6FFF"/>
                <w:sz w:val="20"/>
              </w:rPr>
              <w:t>研发期人工边界</w:t>
            </w:r>
          </w:p>
          <w:p>
            <w:pPr>
              <w:spacing w:before="0" w:after="0"/>
            </w:pPr>
            <w:r>
              <w:rPr>
                <w:rFonts w:ascii="Heiti SC" w:hAnsi="Heiti SC" w:eastAsia="Heiti SC"/>
                <w:color w:val="172335"/>
                <w:sz w:val="20"/>
              </w:rPr>
              <w:t>研发阶段可以人工检查基准项目以建立正确标准，但正式运行不能依赖人工处理用户项目。人工评审结果应逐步固化为自动测试和回归基线。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20. 实施优先级与依赖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核心退出条件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0 数据契约与样本</w:t>
            </w:r>
          </w:p>
        </w:tc>
        <w:tc>
          <w:tcPr>
            <w:tcW w:type="dxa" w:w="70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冻结来源块、项目模型、AI Agent扩展、成果、版本、变更和质量结果；准备18个基准项目。</w:t>
            </w:r>
          </w:p>
        </w:tc>
      </w:tr>
      <w:tr>
        <w:trPr>
          <w:cantSplit/>
        </w:trPr>
        <w:tc>
          <w:tcPr>
            <w:tcW w:type="dxa" w:w="23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1 高风险验证</w:t>
            </w:r>
          </w:p>
        </w:tc>
        <w:tc>
          <w:tcPr>
            <w:tcW w:type="dxa" w:w="70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验证PPT/Excel/扫描件解析、企业模板、2万字以上长文档和Office可编辑性。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2 最小完整链路</w:t>
            </w:r>
          </w:p>
        </w:tc>
        <w:tc>
          <w:tcPr>
            <w:tcW w:type="dxa" w:w="70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结构化输入+DOCX/PDF→项目模型→需求/功能/简版方案→XLSX/DOCX→检查→下载。</w:t>
            </w:r>
          </w:p>
        </w:tc>
      </w:tr>
      <w:tr>
        <w:trPr>
          <w:cantSplit/>
        </w:trPr>
        <w:tc>
          <w:tcPr>
            <w:tcW w:type="dxa" w:w="23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3 全部输入格式</w:t>
            </w:r>
          </w:p>
        </w:tc>
        <w:tc>
          <w:tcPr>
            <w:tcW w:type="dxa" w:w="70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接入PPTX、XLSX、图片、OCR、CSV、旧Office和模板。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4 七类成果</w:t>
            </w:r>
          </w:p>
        </w:tc>
        <w:tc>
          <w:tcPr>
            <w:tcW w:type="dxa" w:w="70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按需求、功能、估算、计划、报价、方案、PPT的依赖顺序完成。</w:t>
            </w:r>
          </w:p>
        </w:tc>
      </w:tr>
      <w:tr>
        <w:trPr>
          <w:cantSplit/>
        </w:trPr>
        <w:tc>
          <w:tcPr>
            <w:tcW w:type="dxa" w:w="23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5 质量与恢复</w:t>
            </w:r>
          </w:p>
        </w:tc>
        <w:tc>
          <w:tcPr>
            <w:tcW w:type="dxa" w:w="70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幂等、重试、中断续跑、自动修复、候选版本和视觉检查。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6 修改与版本</w:t>
            </w:r>
          </w:p>
        </w:tc>
        <w:tc>
          <w:tcPr>
            <w:tcW w:type="dxa" w:w="70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影响分析、锁定、追加材料、模板更换、局部再生成和回退。</w:t>
            </w:r>
          </w:p>
        </w:tc>
      </w:tr>
      <w:tr>
        <w:trPr>
          <w:cantSplit/>
        </w:trPr>
        <w:tc>
          <w:tcPr>
            <w:tcW w:type="dxa" w:w="23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7 正式产品界面</w:t>
            </w:r>
          </w:p>
        </w:tc>
        <w:tc>
          <w:tcPr>
            <w:tcW w:type="dxa" w:w="70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入口、画布、项目理解、工作台、我的方案、数据管理和移动端。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8 外部开放安全</w:t>
            </w:r>
          </w:p>
        </w:tc>
        <w:tc>
          <w:tcPr>
            <w:tcW w:type="dxa" w:w="70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身份隔离、私有文件、签名下载、日志脱敏、删除、备份和安全测试。</w:t>
            </w:r>
          </w:p>
        </w:tc>
      </w:tr>
      <w:tr>
        <w:trPr>
          <w:cantSplit/>
        </w:trPr>
        <w:tc>
          <w:tcPr>
            <w:tcW w:type="dxa" w:w="23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9 无人化运维</w:t>
            </w:r>
          </w:p>
        </w:tc>
        <w:tc>
          <w:tcPr>
            <w:tcW w:type="dxa" w:w="70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链路健康、成本、质量、删除、告警、配置、灰度和回退。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10 无人值守验证</w:t>
            </w:r>
          </w:p>
        </w:tc>
        <w:tc>
          <w:tcPr>
            <w:tcW w:type="dxa" w:w="70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18个基准项目、30次连续运行和全部验收门槛。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21. 暂定参数、待验证参数与后置事项</w:t>
      </w:r>
    </w:p>
    <w:p>
      <w:pPr>
        <w:pStyle w:val="Heading2"/>
        <w:keepNext/>
      </w:pPr>
      <w:r>
        <w:t>21.1 当前暂定业务口径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暂定口径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语言</w:t>
            </w:r>
          </w:p>
        </w:tc>
        <w:tc>
          <w:tcPr>
            <w:tcW w:type="dxa" w:w="68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V1承诺中文输入与中文成果；英文术语可识别，多语言后置。</w:t>
            </w:r>
          </w:p>
        </w:tc>
      </w:tr>
      <w:tr>
        <w:trPr>
          <w:cantSplit/>
        </w:trPr>
        <w:tc>
          <w:tcPr>
            <w:tcW w:type="dxa" w:w="25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默认模板</w:t>
            </w:r>
          </w:p>
        </w:tc>
        <w:tc>
          <w:tcPr>
            <w:tcW w:type="dxa" w:w="68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一套白标商务模板，用户可上传企业模板。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在线编辑</w:t>
            </w:r>
          </w:p>
        </w:tc>
        <w:tc>
          <w:tcPr>
            <w:tcW w:type="dxa" w:w="68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结构化对象、章节和页面级修改，不做完整在线Office。</w:t>
            </w:r>
          </w:p>
        </w:tc>
      </w:tr>
      <w:tr>
        <w:trPr>
          <w:cantSplit/>
        </w:trPr>
        <w:tc>
          <w:tcPr>
            <w:tcW w:type="dxa" w:w="25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完成通知</w:t>
            </w:r>
          </w:p>
        </w:tc>
        <w:tc>
          <w:tcPr>
            <w:tcW w:type="dxa" w:w="68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页面/我的方案为主；浏览器和短信完成通知可配置。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测试标识</w:t>
            </w:r>
          </w:p>
        </w:tc>
        <w:tc>
          <w:tcPr>
            <w:tcW w:type="dxa" w:w="68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内部基准文件标记“测试版本”；正式开放后取消。</w:t>
            </w:r>
          </w:p>
        </w:tc>
      </w:tr>
      <w:tr>
        <w:trPr>
          <w:cantSplit/>
        </w:trPr>
        <w:tc>
          <w:tcPr>
            <w:tcW w:type="dxa" w:w="25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数据保存</w:t>
            </w:r>
          </w:p>
        </w:tc>
        <w:tc>
          <w:tcPr>
            <w:tcW w:type="dxa" w:w="68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临时24小时、原始30天、中间7天、成果90天，正式开放前再确认。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21.2 必须通过测试决定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具体模型、推理强度、上下文策略、OCR/视觉比例和主备切换。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单项目平均/P95 Token、时间、成本和自动修复次数。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单次上传安全阈值、有效内容量和标准项目复杂度系数。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Worker数量、最大并发、超时、重试、缓存和降级策略。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模板兼容率、长文档小节大小、PPT内容密度和视觉规则阈值。</w:t>
      </w:r>
    </w:p>
    <w:p>
      <w:pPr>
        <w:pStyle w:val="Heading2"/>
        <w:keepNext/>
      </w:pPr>
      <w:r>
        <w:t>21.3 流程验证后再讨论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产品价格、免费分析额度、支付方式和大型项目价格。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修改次数、服务有效期、发票、退款、优惠和渠道。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会员、积分、套餐和团队协作。</w:t>
      </w:r>
    </w:p>
    <w:p>
      <w:pPr>
        <w:pStyle w:val="Heading1"/>
        <w:keepNext/>
      </w:pPr>
      <w:r>
        <w:t>附录A 典型异常与用户动作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660"/>
        <w:gridCol w:w="290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用户看到的说明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可执行动作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格式不支持</w:t>
            </w:r>
          </w:p>
        </w:tc>
        <w:tc>
          <w:tcPr>
            <w:tcW w:type="dxa" w:w="46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当前支持Word、Excel、PPT、PDF、图片、TXT和CSV。</w:t>
            </w:r>
          </w:p>
        </w:tc>
        <w:tc>
          <w:tcPr>
            <w:tcW w:type="dxa" w:w="29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删除、转换为PDF、继续其他材料。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文件加密</w:t>
            </w:r>
          </w:p>
        </w:tc>
        <w:tc>
          <w:tcPr>
            <w:tcW w:type="dxa" w:w="46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文件需要密码，系统无法读取。</w:t>
            </w:r>
          </w:p>
        </w:tc>
        <w:tc>
          <w:tcPr>
            <w:tcW w:type="dxa" w:w="29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上传未加密版本、删除或仅留存。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解析部分失败</w:t>
            </w:r>
          </w:p>
        </w:tc>
        <w:tc>
          <w:tcPr>
            <w:tcW w:type="dxa" w:w="46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明确失败文件、原因和可能影响。</w:t>
            </w:r>
          </w:p>
        </w:tc>
        <w:tc>
          <w:tcPr>
            <w:tcW w:type="dxa" w:w="29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替换、忽略并继续、上传PDF版本。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材料冲突</w:t>
            </w:r>
          </w:p>
        </w:tc>
        <w:tc>
          <w:tcPr>
            <w:tcW w:type="dxa" w:w="46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展示两个来源及差异。</w:t>
            </w:r>
          </w:p>
        </w:tc>
        <w:tc>
          <w:tcPr>
            <w:tcW w:type="dxa" w:w="29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选择其一、暂不确定或输入其他值。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模板损坏</w:t>
            </w:r>
          </w:p>
        </w:tc>
        <w:tc>
          <w:tcPr>
            <w:tcW w:type="dxa" w:w="46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母版结构无法使用。</w:t>
            </w:r>
          </w:p>
        </w:tc>
        <w:tc>
          <w:tcPr>
            <w:tcW w:type="dxa" w:w="29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使用标准模板、上传其他模板或只生成内容。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局部成果失败</w:t>
            </w:r>
          </w:p>
        </w:tc>
        <w:tc>
          <w:tcPr>
            <w:tcW w:type="dxa" w:w="46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明确受影响成果，其他成果继续可用。</w:t>
            </w:r>
          </w:p>
        </w:tc>
        <w:tc>
          <w:tcPr>
            <w:tcW w:type="dxa" w:w="29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系统自动重试；用户下载已发布版本。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登录过期</w:t>
            </w:r>
          </w:p>
        </w:tc>
        <w:tc>
          <w:tcPr>
            <w:tcW w:type="dxa" w:w="46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重新验证后返回当前位置。</w:t>
            </w:r>
          </w:p>
        </w:tc>
        <w:tc>
          <w:tcPr>
            <w:tcW w:type="dxa" w:w="29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验证码登录并继续。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删除</w:t>
            </w:r>
          </w:p>
        </w:tc>
        <w:tc>
          <w:tcPr>
            <w:tcW w:type="dxa" w:w="466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立即停止访问并进入删除队列。</w:t>
            </w:r>
          </w:p>
        </w:tc>
        <w:tc>
          <w:tcPr>
            <w:tcW w:type="dxa" w:w="290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查看删除状态；失败自动重试。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附录B 成果包命名与目录</w:t>
      </w:r>
    </w:p>
    <w:p>
      <w:pPr/>
      <w:r>
        <w:rPr>
          <w:rFonts w:ascii="Heiti SC" w:hAnsi="Heiti SC" w:eastAsia="Heiti SC"/>
          <w:color w:val="172335"/>
        </w:rPr>
        <w:t>ZIP命名：{客户简称}_{项目简称}_{成果包类型}_{内容版本}_{日期}.zip。单个成果命名：{成果名称}_{项目简称}_{内容版本}-{渲染版本}_{日期}.{格式}。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EAF1FF" w:val="clear"/>
          </w:tcPr>
          <w:p>
            <w:pPr>
              <w:spacing w:after="40"/>
            </w:pPr>
            <w:r>
              <w:rPr>
                <w:rFonts w:ascii="Heiti SC" w:hAnsi="Heiti SC" w:eastAsia="Heiti SC"/>
                <w:b/>
                <w:color w:val="1F6FFF"/>
                <w:sz w:val="20"/>
              </w:rPr>
              <w:t>示例</w:t>
            </w:r>
          </w:p>
          <w:p>
            <w:pPr>
              <w:spacing w:before="0" w:after="0"/>
            </w:pPr>
            <w:r>
              <w:rPr>
                <w:rFonts w:ascii="Heiti SC" w:hAnsi="Heiti SC" w:eastAsia="Heiti SC"/>
                <w:color w:val="172335"/>
                <w:sz w:val="20"/>
              </w:rPr>
              <w:t>华东制造_销售管理平台_客户交付包_V2_20260814.zip；整体解决方案_销售管理平台_V2-R2_20260814.docx。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客户交付包</w:t>
            </w:r>
          </w:p>
        </w:tc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内部评审包</w:t>
            </w:r>
          </w:p>
        </w:tc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71B33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完整归档包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客户可见的需求、功能、方案、报价、计划、PPT及PDF。</w:t>
            </w:r>
          </w:p>
        </w:tc>
        <w:tc>
          <w:tcPr>
            <w:tcW w:type="dxa" w:w="312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完整七类成果、估算依据、来源、假设和版本说明。</w:t>
            </w:r>
          </w:p>
        </w:tc>
        <w:tc>
          <w:tcPr>
            <w:tcW w:type="dxa" w:w="312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内部包、原始材料、模板、历史版本、修改记录和manifest。</w:t>
            </w:r>
          </w:p>
        </w:tc>
      </w:tr>
      <w:tr>
        <w:trPr>
          <w:cantSplit/>
        </w:trPr>
        <w:tc>
          <w:tcPr>
            <w:tcW w:type="dxa" w:w="312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默认排除内部成本、原始材料和内部备注。</w:t>
            </w:r>
          </w:p>
        </w:tc>
        <w:tc>
          <w:tcPr>
            <w:tcW w:type="dxa" w:w="312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允许详细来源和内部估算参数。</w:t>
            </w:r>
          </w:p>
        </w:tc>
        <w:tc>
          <w:tcPr>
            <w:tcW w:type="dxa" w:w="3120"/>
            <w:shd w:fill="F8FAFC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335"/>
                <w:sz w:val="18"/>
              </w:rPr>
              <w:t>仅由用户主动选择生成。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附录C V1上线前检查清单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□ 用户无需指导即可完成信息提交和登录。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□ 支持格式、模板分类和来源定位全部通过。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□ 正式项目模型能够表达传统软件与AI Agent项目。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□ 七类成果、Office/PDF/ZIP全部生成并通过检查。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□ 长文档中断恢复、局部修改和版本发布通过。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□ 客户包不包含内部成本、来源路径和原始材料。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□ 跨项目权限、签名下载、日志脱敏和删除闭环通过。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□ 后台不提供默认查看用户正文和人工项目处理入口。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□ 18个基准项目与30次无人值守运行达到门槛。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□ 平均/P95成本与耗时可解释，失败分布和自动恢复可监控。</w:t>
      </w:r>
    </w:p>
    <w:p>
      <w:pPr>
        <w:numPr>
          <w:ilvl w:val="0"/>
          <w:numId w:val="190"/>
        </w:numPr>
      </w:pPr>
      <w:r>
        <w:rPr>
          <w:rFonts w:ascii="Heiti SC" w:hAnsi="Heiti SC" w:eastAsia="Heiti SC"/>
          <w:color w:val="172335"/>
        </w:rPr>
        <w:t>□ 支付仍未侵入生成架构，未来仅作为正式分析触发条件。</w:t>
      </w:r>
    </w:p>
    <w:p>
      <w:pPr>
        <w:pStyle w:val="Heading1"/>
        <w:keepNext/>
      </w:pPr>
      <w:r>
        <w:t>结论</w:t>
      </w:r>
    </w:p>
    <w:p>
      <w:pPr/>
      <w:r>
        <w:rPr>
          <w:rFonts w:ascii="Heiti SC" w:hAnsi="Heiti SC" w:eastAsia="Heiti SC"/>
          <w:color w:val="172335"/>
        </w:rPr>
        <w:t>V1应首先成为一个边界明确、可以无人值守运行的企业方案自动交付系统，而不是扩大为通用AI平台。当前阶段的实现判断标准只有一个：标准项目能否从多格式输入出发，稳定形成一致、可追溯、可修改、可下载和可删除的七类成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E9FAFC" w:val="clear"/>
          </w:tcPr>
          <w:p>
            <w:pPr>
              <w:spacing w:after="40"/>
            </w:pPr>
            <w:r>
              <w:rPr>
                <w:rFonts w:ascii="Heiti SC" w:hAnsi="Heiti SC" w:eastAsia="Heiti SC"/>
                <w:b/>
                <w:color w:val="4BD7E8"/>
                <w:sz w:val="20"/>
              </w:rPr>
              <w:t>下一步</w:t>
            </w:r>
          </w:p>
          <w:p>
            <w:pPr>
              <w:spacing w:before="0" w:after="0"/>
            </w:pPr>
            <w:r>
              <w:rPr>
                <w:rFonts w:ascii="Heiti SC" w:hAnsi="Heiti SC" w:eastAsia="Heiti SC"/>
                <w:color w:val="172335"/>
                <w:sz w:val="20"/>
              </w:rPr>
              <w:t>以本文档为基线开展数据契约设计、18个基准样本准备和四项高风险技术验证；在流程达到验收门槛前，不进入支付与定价设计。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2860"/>
    </w:tblGrid>
    <w:tr>
      <w:tc>
        <w:tcPr>
          <w:tcW w:type="dxa" w:w="650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Heiti SC" w:hAnsi="Heiti SC" w:eastAsia="Heiti SC"/>
              <w:color w:val="637083"/>
              <w:sz w:val="16"/>
            </w:rPr>
            <w:t>讨论基线 · V1.0 · 2026-08-14</w:t>
          </w:r>
        </w:p>
      </w:tc>
      <w:tc>
        <w:tcPr>
          <w:tcW w:type="dxa" w:w="286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Heiti SC" w:hAnsi="Heiti SC" w:eastAsia="Heiti SC"/>
              <w:color w:val="637083"/>
              <w:sz w:val="16"/>
            </w:rPr>
            <w:t xml:space="preserve">第 </w:t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Heiti SC" w:hAnsi="Heiti SC" w:eastAsia="Heiti SC"/>
              <w:color w:val="637083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Heiti SC" w:hAnsi="Heiti SC" w:eastAsia="Heiti SC"/>
        <w:color w:val="637083"/>
        <w:sz w:val="17"/>
      </w:rPr>
      <w:t>AI企业方案服务平台  |  V1产品需求与总体设计说明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Heiti SC" w:hAnsi="Heiti SC"/>
      </w:rPr>
    </w:lvl>
  </w:abstractNum>
  <w:num w:numId="190">
    <w:abstractNumId w:val="90"/>
  </w: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91">
    <w:abstractNumId w:val="91"/>
  </w:num>
  <w:abstractNum w:abstractNumId="9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92">
    <w:abstractNumId w:val="92"/>
  </w:num>
  <w:abstractNum w:abstractNumId="9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93">
    <w:abstractNumId w:val="93"/>
  </w:num>
  <w:abstractNum w:abstractNumId="9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94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Heiti SC" w:hAnsi="Heiti SC" w:eastAsia="Heiti SC"/>
      <w:color w:val="1723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1F6F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1F6F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071B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eiti SC" w:hAnsi="Heiti SC" w:eastAsia="Heiti SC"/>
      <w:b/>
      <w:bCs/>
      <w:color w:val="63708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