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客户服务小程序业务规则</w:t>
      </w:r>
    </w:p>
    <w:p>
      <w:r>
        <w:t>本文件定义客户服务小程序首期业务规则，用于统一在线咨询、自助服务、服务工单和人工客服之间的处理方式。首期目标是让客户从问题描述直接进入处理流程，并让服务团队能够按照优先级和时限持续跟踪；系统不替代现有售后备件、费用和现场服务结算系统。</w:t>
      </w:r>
    </w:p>
    <w:p>
      <w:pPr>
        <w:pStyle w:val="Heading1"/>
      </w:pPr>
      <w:r>
        <w:t>服务对象与入口</w:t>
      </w:r>
    </w:p>
    <w:p>
      <w:pPr>
        <w:pStyle w:val="ListBullet"/>
      </w:pPr>
      <w:r>
        <w:t>客户可从微信小程序进入在线客服，也可查看已提交工单和服务进度。</w:t>
      </w:r>
    </w:p>
    <w:p>
      <w:pPr>
        <w:pStyle w:val="ListBullet"/>
      </w:pPr>
      <w:r>
        <w:t>主要内部用户为一线客服、技术支持工程师、客服主管和系统管理员。</w:t>
      </w:r>
    </w:p>
    <w:p>
      <w:pPr>
        <w:pStyle w:val="ListBullet"/>
      </w:pPr>
      <w:r>
        <w:t>客户无需新建项目；描述问题或选择已有设备后即可开始自助诊断或创建工单。</w:t>
      </w:r>
    </w:p>
    <w:p>
      <w:pPr>
        <w:pStyle w:val="Heading1"/>
      </w:pPr>
      <w:r>
        <w:t>工单优先级与服务时限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173B68"/>
          </w:tcPr>
          <w:p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2408"/>
            <w:vAlign w:val="center"/>
            <w:shd w:fill="173B68"/>
          </w:tcPr>
          <w:p>
            <w:r>
              <w:rPr>
                <w:b/>
                <w:color w:val="FFFFFF"/>
              </w:rPr>
              <w:t>判定条件</w:t>
            </w:r>
          </w:p>
        </w:tc>
        <w:tc>
          <w:tcPr>
            <w:tcW w:type="dxa" w:w="2408"/>
            <w:vAlign w:val="center"/>
            <w:shd w:fill="173B68"/>
          </w:tcPr>
          <w:p>
            <w:r>
              <w:rPr>
                <w:b/>
                <w:color w:val="FFFFFF"/>
              </w:rPr>
              <w:t>首次人工响应</w:t>
            </w:r>
          </w:p>
        </w:tc>
        <w:tc>
          <w:tcPr>
            <w:tcW w:type="dxa" w:w="2408"/>
            <w:vAlign w:val="center"/>
            <w:shd w:fill="173B68"/>
          </w:tcPr>
          <w:p>
            <w:r>
              <w:rPr>
                <w:b/>
                <w:color w:val="FFFFFF"/>
              </w:rPr>
              <w:t>处理要求</w:t>
            </w:r>
          </w:p>
        </w:tc>
      </w:tr>
      <w:tr>
        <w:tc>
          <w:tcPr>
            <w:tcW w:type="dxa" w:w="2408"/>
            <w:vAlign w:val="center"/>
          </w:tcPr>
          <w:p>
            <w:r>
              <w:t>P1</w:t>
            </w:r>
          </w:p>
        </w:tc>
        <w:tc>
          <w:tcPr>
            <w:tcW w:type="dxa" w:w="2408"/>
            <w:vAlign w:val="center"/>
          </w:tcPr>
          <w:p>
            <w:r>
              <w:t>生产中断、重大安全风险或大面积不可用</w:t>
            </w:r>
          </w:p>
        </w:tc>
        <w:tc>
          <w:tcPr>
            <w:tcW w:type="dxa" w:w="2408"/>
            <w:vAlign w:val="center"/>
          </w:tcPr>
          <w:p>
            <w:r>
              <w:t>10 分钟内</w:t>
            </w:r>
          </w:p>
        </w:tc>
        <w:tc>
          <w:tcPr>
            <w:tcW w:type="dxa" w:w="2408"/>
            <w:vAlign w:val="center"/>
          </w:tcPr>
          <w:p>
            <w:r>
              <w:t>立即转人工并通知客服主管和对应技术支持组</w:t>
            </w:r>
          </w:p>
        </w:tc>
      </w:tr>
      <w:tr>
        <w:tc>
          <w:tcPr>
            <w:tcW w:type="dxa" w:w="2408"/>
            <w:vAlign w:val="center"/>
          </w:tcPr>
          <w:p>
            <w:r>
              <w:t>P2</w:t>
            </w:r>
          </w:p>
        </w:tc>
        <w:tc>
          <w:tcPr>
            <w:tcW w:type="dxa" w:w="2408"/>
            <w:vAlign w:val="center"/>
          </w:tcPr>
          <w:p>
            <w:r>
              <w:t>核心功能不可用但存在替代方式，或单台设备故障</w:t>
            </w:r>
          </w:p>
        </w:tc>
        <w:tc>
          <w:tcPr>
            <w:tcW w:type="dxa" w:w="2408"/>
            <w:vAlign w:val="center"/>
          </w:tcPr>
          <w:p>
            <w:r>
              <w:t>30 分钟内</w:t>
            </w:r>
          </w:p>
        </w:tc>
        <w:tc>
          <w:tcPr>
            <w:tcW w:type="dxa" w:w="2408"/>
            <w:vAlign w:val="center"/>
          </w:tcPr>
          <w:p>
            <w:r>
              <w:t>创建工单并分派技术支持组</w:t>
            </w:r>
          </w:p>
        </w:tc>
      </w:tr>
      <w:tr>
        <w:tc>
          <w:tcPr>
            <w:tcW w:type="dxa" w:w="2408"/>
            <w:vAlign w:val="center"/>
          </w:tcPr>
          <w:p>
            <w:r>
              <w:t>P3</w:t>
            </w:r>
          </w:p>
        </w:tc>
        <w:tc>
          <w:tcPr>
            <w:tcW w:type="dxa" w:w="2408"/>
            <w:vAlign w:val="center"/>
          </w:tcPr>
          <w:p>
            <w:r>
              <w:t>一般咨询、操作问题或非紧急缺陷</w:t>
            </w:r>
          </w:p>
        </w:tc>
        <w:tc>
          <w:tcPr>
            <w:tcW w:type="dxa" w:w="2408"/>
            <w:vAlign w:val="center"/>
          </w:tcPr>
          <w:p>
            <w:r>
              <w:t>4 个工作小时内</w:t>
            </w:r>
          </w:p>
        </w:tc>
        <w:tc>
          <w:tcPr>
            <w:tcW w:type="dxa" w:w="2408"/>
            <w:vAlign w:val="center"/>
          </w:tcPr>
          <w:p>
            <w:r>
              <w:t>机器人可先给出知识库建议，客户可随时转人工</w:t>
            </w:r>
          </w:p>
        </w:tc>
      </w:tr>
      <w:tr>
        <w:tc>
          <w:tcPr>
            <w:tcW w:type="dxa" w:w="2408"/>
            <w:vAlign w:val="center"/>
          </w:tcPr>
          <w:p>
            <w:r>
              <w:t>P4</w:t>
            </w:r>
          </w:p>
        </w:tc>
        <w:tc>
          <w:tcPr>
            <w:tcW w:type="dxa" w:w="2408"/>
            <w:vAlign w:val="center"/>
          </w:tcPr>
          <w:p>
            <w:r>
              <w:t>建议、回访或资料索取</w:t>
            </w:r>
          </w:p>
        </w:tc>
        <w:tc>
          <w:tcPr>
            <w:tcW w:type="dxa" w:w="2408"/>
            <w:vAlign w:val="center"/>
          </w:tcPr>
          <w:p>
            <w:r>
              <w:t>1 个工作日内</w:t>
            </w:r>
          </w:p>
        </w:tc>
        <w:tc>
          <w:tcPr>
            <w:tcW w:type="dxa" w:w="2408"/>
            <w:vAlign w:val="center"/>
          </w:tcPr>
          <w:p>
            <w:r>
              <w:t>进入普通服务队列</w:t>
            </w:r>
          </w:p>
        </w:tc>
      </w:tr>
    </w:tbl>
    <w:p>
      <w:pPr>
        <w:pStyle w:val="Heading1"/>
      </w:pPr>
      <w:r>
        <w:t>自动升级与人工转接</w:t>
      </w:r>
    </w:p>
    <w:p>
      <w:pPr>
        <w:pStyle w:val="ListBullet"/>
      </w:pPr>
      <w:r>
        <w:t>机器人识别到生产中断、人员受伤、安全风险、大面积不可用或客户明确要求人工时，必须提供人工转接，不得继续以机器人回答替代人工处理。</w:t>
      </w:r>
    </w:p>
    <w:p>
      <w:pPr>
        <w:pStyle w:val="ListBullet"/>
      </w:pPr>
      <w:r>
        <w:t>工单从 P2 升级为 P1 时，必须记录原优先级、新优先级、升级原因、触发来源、操作人或规则、升级时间。</w:t>
      </w:r>
    </w:p>
    <w:p>
      <w:pPr>
        <w:pStyle w:val="ListBullet"/>
      </w:pPr>
      <w:r>
        <w:t>首次响应计时从工单创建开始，机器人自动回复不计入首次人工响应；客户处于等待补充资料状态时，首次响应计时仍不停止。</w:t>
      </w:r>
    </w:p>
    <w:p>
      <w:pPr>
        <w:pStyle w:val="ListBullet"/>
      </w:pPr>
      <w:r>
        <w:t>同一客户同一设备在 24 小时内重复提交相同故障代码时，系统提示可能重复，但不得自动合并或关闭工单。</w:t>
      </w:r>
    </w:p>
    <w:p>
      <w:pPr>
        <w:pStyle w:val="Heading1"/>
      </w:pPr>
      <w:r>
        <w:t>状态与责任</w:t>
      </w:r>
    </w:p>
    <w:p>
      <w:r>
        <w:t>工单状态包括待受理、等待客户补充、处理中、等待客户确认、已解决和已关闭。等待客户补充表示处理所需资料不完整，不代表已响应或已解决。工单关闭必须由客户确认，或在已解决后连续 7 个自然日未收到异议时由系统关闭，并记录关闭原因。</w:t>
      </w:r>
    </w:p>
    <w:p>
      <w:pPr>
        <w:pStyle w:val="Heading1"/>
      </w:pPr>
      <w:r>
        <w:t>附件与隐私</w:t>
      </w:r>
    </w:p>
    <w:p>
      <w:pPr>
        <w:pStyle w:val="ListBullet"/>
      </w:pPr>
      <w:r>
        <w:t>允许上传 JPG、PNG、PDF 和 MP4；单个文件不超过 50 MB，每个工单最多 20 个附件。</w:t>
      </w:r>
    </w:p>
    <w:p>
      <w:pPr>
        <w:pStyle w:val="ListBullet"/>
      </w:pPr>
      <w:r>
        <w:t>客户证件号码、银行卡、支付凭证等与故障处理无关的敏感信息不得采集；检测到后应提示客户撤回或由系统隔离。</w:t>
      </w:r>
    </w:p>
    <w:p>
      <w:pPr>
        <w:pStyle w:val="ListBullet"/>
      </w:pPr>
      <w:r>
        <w:t>设备序列号、联系人和服务地址仅向当前工单责任组及客服主管开放。</w:t>
      </w:r>
    </w:p>
    <w:p>
      <w:pPr>
        <w:pStyle w:val="ListBullet"/>
      </w:pPr>
      <w:r>
        <w:t>未经授权不得向第三方平台发送客户材料、会话内容或生成成果。</w:t>
      </w:r>
    </w:p>
    <w:p>
      <w:pPr>
        <w:pStyle w:val="Heading1"/>
      </w:pPr>
      <w:r>
        <w:t>首期范围与边界</w:t>
      </w:r>
    </w:p>
    <w:p>
      <w:r>
        <w:t>首期包含在线咨询、自助知识库、工单创建与查询、附件补充、人工转接、优先级升级、消息提醒和服务评价。首期不包含备件库存管理、上门服务费用结算、电子发票、远程控制设备和自动承诺赔付。</w:t>
      </w:r>
    </w:p>
    <w:p>
      <w:pPr>
        <w:pStyle w:val="Heading1"/>
      </w:pPr>
      <w:r>
        <w:t>集成与运行约束</w:t>
      </w:r>
    </w:p>
    <w:p>
      <w:pPr>
        <w:pStyle w:val="ListBullet"/>
      </w:pPr>
      <w:r>
        <w:t>首期通过接口同步现有售后系统的客户、设备和工单状态；售后系统仍是工单最终状态的主数据来源。</w:t>
      </w:r>
    </w:p>
    <w:p>
      <w:pPr>
        <w:pStyle w:val="ListBullet"/>
      </w:pPr>
      <w:r>
        <w:t>机器人只能引用已发布知识库；知识库未覆盖或置信度不足时应说明无法确认并转人工。</w:t>
      </w:r>
    </w:p>
    <w:p>
      <w:pPr>
        <w:pStyle w:val="ListBullet"/>
      </w:pPr>
      <w:r>
        <w:t>服务记录和状态变更日志保留不少于 730 天。正式并发量和消息渠道限流需在技术调研后确认。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6"/>
      </w:rPr>
      <w:t>客户服务小程序项目资料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7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