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Noto Sans CJK SC" w:hAnsi="Noto Sans CJK SC" w:eastAsia="Noto Sans CJK SC"/>
          <w:b/>
          <w:color w:val="183B56"/>
          <w:sz w:val="48"/>
        </w:rPr>
        <w:t>企业门户内容治理规范</w:t>
      </w:r>
    </w:p>
    <w:p>
      <w:pPr>
        <w:pStyle w:val="Subtitle"/>
        <w:spacing w:after="280"/>
      </w:pPr>
      <w:r>
        <w:rPr>
          <w:rFonts w:ascii="Noto Sans CJK SC" w:hAnsi="Noto Sans CJK SC" w:eastAsia="Noto Sans CJK SC"/>
          <w:b w:val="0"/>
          <w:color w:val="5B6573"/>
          <w:sz w:val="21"/>
        </w:rPr>
        <w:t>GOV-PORTAL-021 · 版本 2.1 · 内容治理委员会 · 2026-08-15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本规范用于澄远产业集团企业门户改版与存量内容迁移，</w:t>
      </w:r>
      <w:r>
        <w:rPr>
          <w:rFonts w:ascii="Noto Sans CJK SC" w:hAnsi="Noto Sans CJK SC" w:eastAsia="Noto Sans CJK SC"/>
          <w:b w:val="0"/>
          <w:color w:val="1F2937"/>
          <w:sz w:val="21"/>
        </w:rPr>
        <w:t>约束栏目责任、内容生产、审批发布、到期归档和迁移验收。栏目表是数量与路由的事实来源，本规范不授权任何角色绕过复核或自行扩大迁移范围。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治理对象</w:t>
            </w:r>
          </w:p>
        </w:tc>
        <w:tc>
          <w:tcPr>
            <w:tcW w:type="dxa" w:w="842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新闻、通知、业务介绍、投资者关系、人才招聘、关于集团及其附件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首期范围</w:t>
            </w:r>
          </w:p>
        </w:tc>
        <w:tc>
          <w:tcPr>
            <w:tcW w:type="dxa" w:w="842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中文站桌面端与移动端、内容管理后台、旧站迁移和重定向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不在范围</w:t>
            </w:r>
          </w:p>
        </w:tc>
        <w:tc>
          <w:tcPr>
            <w:tcW w:type="dxa" w:w="842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员工内网、英文站重建、营销自动化、历史视频转码和统一身份平台改造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内容总量</w:t>
            </w:r>
          </w:p>
        </w:tc>
        <w:tc>
          <w:tcPr>
            <w:tcW w:type="dxa" w:w="842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620 条栏目内容；迁移 250 条、改写 30 条、离线归档 340 条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治理原则</w:t>
            </w:r>
          </w:p>
        </w:tc>
        <w:tc>
          <w:tcPr>
            <w:tcW w:type="dxa" w:w="842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一栏一责、职责分离、来源可追溯、到期可处理、敏感信息最小展示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1. 角色与职责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66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可以做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不能做</w:t>
            </w:r>
          </w:p>
        </w:tc>
        <w:tc>
          <w:tcPr>
            <w:tcW w:type="dxa" w:w="338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责任边界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内容编辑</w:t>
            </w:r>
          </w:p>
        </w:tc>
        <w:tc>
          <w:tcPr>
            <w:tcW w:type="dxa" w:w="266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新建和修改本部门草稿、提交审核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发布内容、审批自己的草稿</w:t>
            </w:r>
          </w:p>
        </w:tc>
        <w:tc>
          <w:tcPr>
            <w:tcW w:type="dxa" w:w="338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维护来源、有效期、附件与替代文本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部门审核人</w:t>
            </w:r>
          </w:p>
        </w:tc>
        <w:tc>
          <w:tcPr>
            <w:tcW w:type="dxa" w:w="266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审核本部门事实和业务口径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代替专业审核、直接发布</w:t>
            </w:r>
          </w:p>
        </w:tc>
        <w:tc>
          <w:tcPr>
            <w:tcW w:type="dxa" w:w="338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对准确性和栏目归属负责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专业审核人</w:t>
            </w:r>
          </w:p>
        </w:tc>
        <w:tc>
          <w:tcPr>
            <w:tcW w:type="dxa" w:w="266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按主题审核法务、合规、财务、隐私或品牌要求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修改业务事实、替代部门审核</w:t>
            </w:r>
          </w:p>
        </w:tc>
        <w:tc>
          <w:tcPr>
            <w:tcW w:type="dxa" w:w="338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只处理被触发的专业风险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门户发布员</w:t>
            </w:r>
          </w:p>
        </w:tc>
        <w:tc>
          <w:tcPr>
            <w:tcW w:type="dxa" w:w="266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检查审批链、预览、排期、发布、撤回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改写正文、发布审批不完整内容</w:t>
            </w:r>
          </w:p>
        </w:tc>
        <w:tc>
          <w:tcPr>
            <w:tcW w:type="dxa" w:w="338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对发布版本和时间负责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平台管理员</w:t>
            </w:r>
          </w:p>
        </w:tc>
        <w:tc>
          <w:tcPr>
            <w:tcW w:type="dxa" w:w="266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配置栏目、角色、工作流和审计策略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代替内容审批</w:t>
            </w:r>
          </w:p>
        </w:tc>
        <w:tc>
          <w:tcPr>
            <w:tcW w:type="dxa" w:w="3384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权限变更双人复核并留痕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2. 内容生命周期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标准状态为草稿 → 部门审核 → 专业审核（按需）→ 待发布 → 已发布 → 到期 → 归档。每次退回都生成意见并保留版本；编辑后重新进入审核，不能在已批准版本上直接改字。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普通内容：部门审核应在 2 个工作日内完成，发布检查在 1 个工作日内完成。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投资者关系、财务数字、隐私声明、重大合作和监管相关内容：必须进入对应专业审核，专业审核目标时限为 3 个工作日。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紧急公告：目标 4 小时内发布，但至少保留内容编辑与独立审核人两人；发布员不得同时充当编辑或审核人。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发布内容必须有栏目、所有人、来源、批准人、发布时间、复核日期和到期策略；附件沿用正文访问权限。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3. 栏目与发布规则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栏目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部门审核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专业审核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到期策略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特殊规则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集团新闻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品牌传播部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重大合作触发法务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每年复核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首页推荐最长 30 天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通知公告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办公室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含个人信息触发隐私审核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默认 90 天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到期自动下线但保留归档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业务板块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对应事业部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品牌审核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每半年复核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产品或资质变化后 5 日内更新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投资者关系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董事会办公室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财务与法务必审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不自动到期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发布窗口和原始文件必须留痕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人才发展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人力资源部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隐私审核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职位截止日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不得公开候选人信息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关于集团</w:t>
            </w:r>
          </w:p>
        </w:tc>
        <w:tc>
          <w:tcPr>
            <w:tcW w:type="dxa" w:w="208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品牌传播部</w:t>
            </w:r>
          </w:p>
        </w:tc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品牌审核</w:t>
            </w:r>
          </w:p>
        </w:tc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每半年复核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组织与荣誉需有来源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4. 存量迁移决策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栏目表中的 620 条内容必须逐条落入迁移、改写或离线归档三种处理结果。迁移 250 条、改写 30 条、离线归档 340 条，三项合计必须等于 620 条。不得把离线归档解释为删除原始记录。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处理结果</w:t>
            </w:r>
          </w:p>
        </w:tc>
        <w:tc>
          <w:tcPr>
            <w:tcW w:type="dxa" w:w="309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适用条件</w:t>
            </w:r>
          </w:p>
        </w:tc>
        <w:tc>
          <w:tcPr>
            <w:tcW w:type="dxa" w:w="2952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上线动作</w:t>
            </w:r>
          </w:p>
        </w:tc>
        <w:tc>
          <w:tcPr>
            <w:tcW w:type="dxa" w:w="280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旧地址动作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迁移</w:t>
            </w:r>
          </w:p>
        </w:tc>
        <w:tc>
          <w:tcPr>
            <w:tcW w:type="dxa" w:w="309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仍有效、权属清楚、格式可转换</w:t>
            </w:r>
          </w:p>
        </w:tc>
        <w:tc>
          <w:tcPr>
            <w:tcW w:type="dxa" w:w="2952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保留正文、日期、来源和附件，完成新版审核</w:t>
            </w:r>
          </w:p>
        </w:tc>
        <w:tc>
          <w:tcPr>
            <w:tcW w:type="dxa" w:w="280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存在替代页时配置 301 重定向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改写</w:t>
            </w:r>
          </w:p>
        </w:tc>
        <w:tc>
          <w:tcPr>
            <w:tcW w:type="dxa" w:w="309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核心主题仍需要但结构、口径或无障碍不合格</w:t>
            </w:r>
          </w:p>
        </w:tc>
        <w:tc>
          <w:tcPr>
            <w:tcW w:type="dxa" w:w="2952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由新所有人重写并走完整审批</w:t>
            </w:r>
          </w:p>
        </w:tc>
        <w:tc>
          <w:tcPr>
            <w:tcW w:type="dxa" w:w="280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发布后配置 301 重定向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离线归档</w:t>
            </w:r>
          </w:p>
        </w:tc>
        <w:tc>
          <w:tcPr>
            <w:tcW w:type="dxa" w:w="309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过期、重复、无继续公开价值且无监管公开义务</w:t>
            </w:r>
          </w:p>
        </w:tc>
        <w:tc>
          <w:tcPr>
            <w:tcW w:type="dxa" w:w="2952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保存原文、附件、原 URL、摘要与决策证据</w:t>
            </w:r>
          </w:p>
        </w:tc>
        <w:tc>
          <w:tcPr>
            <w:tcW w:type="dxa" w:w="2808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无替代页时经 SEO 与法务复核后返回 410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5. 迁移实施批次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批次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73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34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退出证据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 盘点与冻结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620 条内容、旧地址和附件</w:t>
            </w:r>
          </w:p>
        </w:tc>
        <w:tc>
          <w:tcPr>
            <w:tcW w:type="dxa" w:w="273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栏目所有人确认</w:t>
            </w:r>
          </w:p>
        </w:tc>
        <w:tc>
          <w:tcPr>
            <w:tcW w:type="dxa" w:w="34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逐条决策、重复项与孤儿附件清单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 试迁移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集团新闻、业务板块各 10 条</w:t>
            </w:r>
          </w:p>
        </w:tc>
        <w:tc>
          <w:tcPr>
            <w:tcW w:type="dxa" w:w="273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目标模型和路由可用</w:t>
            </w:r>
          </w:p>
        </w:tc>
        <w:tc>
          <w:tcPr>
            <w:tcW w:type="dxa" w:w="34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正文、媒体、权限、搜索和重定向抽验通过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P2 受监管内容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投资者关系 54 条</w:t>
            </w:r>
          </w:p>
        </w:tc>
        <w:tc>
          <w:tcPr>
            <w:tcW w:type="dxa" w:w="273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财务与法务规则已配置</w:t>
            </w:r>
          </w:p>
        </w:tc>
        <w:tc>
          <w:tcPr>
            <w:tcW w:type="dxa" w:w="34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54 条全部专业复核且原文件可追溯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P3 批量迁移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其余迁移与改写内容</w:t>
            </w:r>
          </w:p>
        </w:tc>
        <w:tc>
          <w:tcPr>
            <w:tcW w:type="dxa" w:w="273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试迁移缺陷关闭</w:t>
            </w:r>
          </w:p>
        </w:tc>
        <w:tc>
          <w:tcPr>
            <w:tcW w:type="dxa" w:w="34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250 条迁移、30 条改写均有目标地址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P4 切换与观察</w:t>
            </w:r>
          </w:p>
        </w:tc>
        <w:tc>
          <w:tcPr>
            <w:tcW w:type="dxa" w:w="252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全站导航、搜索、站点地图</w:t>
            </w:r>
          </w:p>
        </w:tc>
        <w:tc>
          <w:tcPr>
            <w:tcW w:type="dxa" w:w="273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上线审批通过</w:t>
            </w:r>
          </w:p>
        </w:tc>
        <w:tc>
          <w:tcPr>
            <w:tcW w:type="dxa" w:w="34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 天观察期无阻断缺陷，旧站只读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6. 验收与回退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数量守恒：620 条均有唯一处理结果；250 + 30 + 340 = 620，栏目汇总与逐条清单一致。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内容完整：标题、正文、发布日期、来源、附件、图片替代文本和责任人均可核对；迁移不得改变受监管数字。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链接与路由：所有迁移或改写内容均有目标地址；需保留搜索权重的旧地址配置 301，确认不再公开且无替代页的地址才可返回 410。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权限与审计：抽验编辑、审核、发布、管理员职责分离；发布和撤回均记录操作人、时间、版本和审批链。</w:t>
      </w:r>
    </w:p>
    <w:p>
      <w:pPr>
        <w:pStyle w:val="ListBullet"/>
        <w:spacing w:after="60"/>
        <w:ind w:left="346"/>
      </w:pPr>
      <w:r>
        <w:rPr>
          <w:rFonts w:ascii="Noto Sans CJK SC" w:hAnsi="Noto Sans CJK SC" w:eastAsia="Noto Sans CJK SC"/>
          <w:b w:val="0"/>
          <w:color w:val="1F2937"/>
          <w:sz w:val="20"/>
        </w:rPr>
        <w:t>回退：切换后 7 天内出现批量正文缺失、受监管内容错误或关键路由不可用时，恢复旧站只读入口并保留新站写入证据，不覆盖问题版本。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7. 数据与内容安全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迁移前对附件执行格式识别、恶意文件扫描和重复文件检测。个人手机号、邮箱、证件、银行账户和未公开经营数字按最小必要原则展示；旧站已公开不代表新站可无条件继续公开。下载与导出保留操作人、时间、对象和用途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83B56"/>
          <w:sz w:val="28"/>
        </w:rPr>
        <w:t>8. 报告与责任确认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每日迁移报告按栏目展示已处理、待复核、失败、重试和阻断数量；周报列出总量守恒、重定向覆盖、附件异常、受监管内容复核和权限抽验。任何总量差异、来源缺失或审批链缺失均阻断上线。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确认角色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姓名 / 日期</w:t>
            </w:r>
          </w:p>
        </w:tc>
        <w:tc>
          <w:tcPr>
            <w:tcW w:type="dxa" w:w="52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确认内容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内容治理负责人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［填写］</w:t>
            </w:r>
          </w:p>
        </w:tc>
        <w:tc>
          <w:tcPr>
            <w:tcW w:type="dxa" w:w="52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栏目、所有人和迁移决策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法务与合规负责人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［填写］</w:t>
            </w:r>
          </w:p>
        </w:tc>
        <w:tc>
          <w:tcPr>
            <w:tcW w:type="dxa" w:w="52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专业审核、公开义务和归档边界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项目负责人</w:t>
            </w:r>
          </w:p>
        </w:tc>
        <w:tc>
          <w:tcPr>
            <w:tcW w:type="dxa" w:w="2880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［填写］</w:t>
            </w:r>
          </w:p>
        </w:tc>
        <w:tc>
          <w:tcPr>
            <w:tcW w:type="dxa" w:w="5256"/>
            <w:vAlign w:val="center"/>
            <w:tcBorders>
              <w:top w:val="single" w:sz="6" w:color="D5DDE5"/>
              <w:left w:val="single" w:sz="6" w:color="D5DDE5"/>
              <w:bottom w:val="single" w:sz="6" w:color="D5DDE5"/>
              <w:right w:val="single" w:sz="6" w:color="D5DDE5"/>
              <w:insideH w:val="single" w:sz="6" w:color="D5DDE5"/>
              <w:insideV w:val="single" w:sz="6" w:color="D5DD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批次、验收、切换与回退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企业门户内容治理规范</dc:title>
  <dc:subject>BM-11 企业门户合成输入</dc:subject>
  <dc:creator>澄远产业集团内容治理委员会</dc:creator>
  <cp:keywords>企业门户 内容迁移 发布治理 职责分离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