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left"/>
      </w:pPr>
      <w:r>
        <w:rPr>
          <w:rFonts w:ascii="Noto Sans CJK SC" w:hAnsi="Noto Sans CJK SC" w:eastAsia="Noto Sans CJK SC"/>
          <w:b/>
          <w:color w:val="000000"/>
          <w:sz w:val="46"/>
        </w:rPr>
        <w:t>软件服务合同示范模板</w:t>
      </w:r>
    </w:p>
    <w:p>
      <w:pPr>
        <w:pStyle w:val="Subtitle"/>
        <w:spacing w:after="280"/>
      </w:pPr>
      <w:r>
        <w:rPr>
          <w:rFonts w:ascii="Noto Sans CJK SC" w:hAnsi="Noto Sans CJK SC" w:eastAsia="Noto Sans CJK SC"/>
          <w:b w:val="0"/>
          <w:color w:val="4B5563"/>
          <w:sz w:val="21"/>
        </w:rPr>
        <w:t>模板编号 TPL SOFTWARE 032    版本 3.2    所有人 法务部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/>
          <w:color w:val="000000"/>
          <w:sz w:val="22"/>
        </w:rPr>
        <w:t>本文件是用于起草软件服务合同的标准模板。</w:t>
      </w:r>
      <w:r>
        <w:rPr>
          <w:rFonts w:ascii="Noto Sans CJK SC" w:hAnsi="Noto Sans CJK SC" w:eastAsia="Noto Sans CJK SC"/>
          <w:b w:val="0"/>
          <w:color w:val="000000"/>
          <w:sz w:val="22"/>
        </w:rPr>
        <w:t>方括号字段必须由经办人填写，可选条款必须由法务确认后选用。模板中的示例付款比例、质保期限、违约金比例和争议地点不构成项目需求、系统默认值或对外承诺。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模板信息</w:t>
            </w:r>
          </w:p>
        </w:tc>
        <w:tc>
          <w:tcPr>
            <w:tcW w:type="dxa" w:w="82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适用说明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合同类型</w:t>
            </w:r>
          </w:p>
        </w:tc>
        <w:tc>
          <w:tcPr>
            <w:tcW w:type="dxa" w:w="82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软件开发、实施与技术服务采购或销售合同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批准状态</w:t>
            </w:r>
          </w:p>
        </w:tc>
        <w:tc>
          <w:tcPr>
            <w:tcW w:type="dxa" w:w="82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已批准模板。项目字段及可选条款仍需按审批规则完成审核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禁止做法</w:t>
            </w:r>
          </w:p>
        </w:tc>
        <w:tc>
          <w:tcPr>
            <w:tcW w:type="dxa" w:w="82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不得删除模板编号、占位字段标记、条款来源和版本记录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b/>
          <w:color w:val="000000"/>
          <w:sz w:val="28"/>
        </w:rPr>
        <w:t>合同主体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甲方名称为［甲方全称］，统一社会信用代码为［甲方统一社会信用代码］，注册地址为［甲方注册地址］。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乙方名称为［乙方全称］，统一社会信用代码为［乙方统一社会信用代码］，注册地址为［乙方注册地址］。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双方联系人、送达地址和电子邮箱见附件一。经办人应核验主体信息，不得把模板中的示例名称写入正式合同。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00000"/>
          <w:sz w:val="28"/>
        </w:rPr>
        <w:t>服务范围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乙方为甲方提供［项目名称］相关的软件开发、配置、实施、培训和技术支持服务。交付物、数量、版本和责任边界以附件二项目工作说明书为准。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项目工作说明书应列明纳入范围、排除范围、依赖条件和甲方配合事项。模板不预设具体模块、接口数量、用户数或部署方式。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00000"/>
          <w:sz w:val="28"/>
        </w:rPr>
        <w:t>合同金额与付款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合同含税总价为人民币［合同金额］元，税率为［税率］，价税构成和开票类型以双方确认的报价及税务信息为准。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付款节点由经办人根据项目实际情况填写并提交审批。示例方案 A 为 30 百分比预付款、60 百分比验收款和 10 百分比质保款。示例方案 B 为按月据实结算。两项均为模板示例，不得自动选用。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收款账户必须与合同主体一致。账户变更应由对方出具盖章通知并通过财务复核。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00000"/>
          <w:sz w:val="28"/>
        </w:rPr>
        <w:t>交付与验收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计划交付日期为［交付日期］，交付地点或环境为［交付地点或环境］。里程碑和交付方式见附件二。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验收标准为［验收标准］，验收材料至少包括交付清单、测试结果和问题关闭记录。是否采用五个工作日未反馈视为通过的条款，由法务和业务共同确认，模板不设默认选择。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00000"/>
          <w:sz w:val="28"/>
        </w:rPr>
        <w:t>知识产权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双方在签约前拥有的知识产权仍归原权利人所有。项目新增成果的权属、许可范围、源代码交付和第三方组件清单应在附件三中明确。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可选条款包括甲方取得全部成果权利、乙方保留底层通用组件并授予项目许可、双方按成果类别分别享有权利。经办人不得同时保留相互冲突的可选条款。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00000"/>
          <w:sz w:val="28"/>
        </w:rPr>
        <w:t>保密与数据处理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双方对履约过程中获知的商业秘密、技术资料和个人信息承担保密义务。保密期限为［保密期限］。依法必须披露时，披露方应在法律允许范围内提前通知对方。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涉及个人信息或重要数据时，双方应另行确认处理目的、数据类别、保存期限、安全措施、跨境安排和事件通知时限。模板不视为已完成数据合规评估。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00000"/>
          <w:sz w:val="28"/>
        </w:rPr>
        <w:t>质量保证与支持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质保期从最终验收通过之日起计算。可选期限为 12 个月或 24 个月，也可填写［其他期限］。起草人必须保留一项并删除未选项，系统不得默认认定 24 个月。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支持时间、响应级别、排除情形和升级路径以附件四服务级别协议为准。未附服务级别协议时，不得从模板推断具体响应时限。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00000"/>
          <w:sz w:val="28"/>
        </w:rPr>
        <w:t>违约责任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延期违约金比例填写为［每日违约金比例］。模板示例为每日 0.03 百分比，但该数字仅用于展示字段格式，必须经业务、财务和法务确认。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责任上限填写为［责任上限比例或金额］。故意或重大过失、知识产权侵权、保密义务和法律不得限制的责任是否排除在上限之外，由法务专项审核。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00000"/>
          <w:sz w:val="28"/>
        </w:rPr>
        <w:t>变更与终止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任何范围、费用、计划或交付物变更应形成书面变更单，说明影响并完成原合同所需层级的审批。未经审批的邮件或口头沟通不改变合同。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解除条件、整改期限、终止结算和资料返还要求填写在［终止安排］。涉及未完成交付物和预付款返还时应由财务复核。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00000"/>
          <w:sz w:val="28"/>
        </w:rPr>
        <w:t>适用法律与争议解决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合同适用中华人民共和国法律。争议解决方式应从协商、仲裁或诉讼中选择，并填写［仲裁机构或有管辖权法院所在地］。模板示例地点不构成默认管辖地。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00000"/>
          <w:sz w:val="28"/>
        </w:rPr>
        <w:t>生效与合同文件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合同在双方授权代表签字并加盖有效印章后生效。主合同、经批准附件、补充协议和变更单共同构成合同文件。文件冲突时的优先顺序填写为［文件优先顺序］。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签署前必须锁定合同版本并完成审批。签署后应归档最终可编辑文件、签署扫描件、审批记录、附件和版本链，不得只保存盖章页。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00000"/>
          <w:sz w:val="28"/>
        </w:rPr>
        <w:t>签署页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甲方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乙方</w:t>
            </w:r>
          </w:p>
        </w:tc>
      </w:tr>
      <w:tr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名称 ［甲方全称］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名称 ［乙方全称］</w:t>
            </w:r>
          </w:p>
        </w:tc>
      </w:tr>
      <w:tr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授权代表 ［姓名］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授权代表 ［姓名］</w:t>
            </w:r>
          </w:p>
        </w:tc>
      </w:tr>
      <w:tr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签署日期 ［年 月 日］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签署日期 ［年 月 日］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000000"/>
          <w:sz w:val="28"/>
        </w:rPr>
        <w:t>模板字段分类</w:t>
      </w:r>
    </w:p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合同管理系统应保留以下分类。只有已确认的项目字段和经审批选中的条款可以进入正式合同。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分类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处理要求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是否等同项目需求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占位字段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［合同金额］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必须填写并校验格式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否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可选条款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12 个月或 24 个月质保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法务确认后只保留一项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否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标准条款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账户变更需财务复核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保留来源和模板版本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否，需在本合同采用后生效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项目附件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项目工作说明书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由项目材料形成并完成审批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是，经审批后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示例数字</w:t>
            </w:r>
          </w:p>
        </w:tc>
        <w:tc>
          <w:tcPr>
            <w:tcW w:type="dxa" w:w="26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30 60 10 付款比例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仅说明字段格式，禁止自动带入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否</w:t>
            </w:r>
          </w:p>
        </w:tc>
      </w:tr>
    </w:tbl>
    <w:p>
      <w:pPr>
        <w:spacing w:after="140" w:line="317" w:lineRule="auto"/>
      </w:pPr>
      <w:r>
        <w:rPr>
          <w:rFonts w:ascii="Noto Sans CJK SC" w:hAnsi="Noto Sans CJK SC" w:eastAsia="Noto Sans CJK SC"/>
          <w:b w:val="0"/>
          <w:color w:val="000000"/>
          <w:sz w:val="22"/>
        </w:rPr>
        <w:t>版本记录由法务部维护。任何模板调整必须生成新版本，不得覆盖已用于签署或审批的历史版本。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软件服务合同示范模板</dc:title>
  <dc:subject>BM-10 合同管理系统合成输入</dc:subject>
  <dc:creator>法务部</dc:creator>
  <cp:keywords>合同模板 占位字段 可选条款 版本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