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맑은 고딕" w:hAnsi="맑은 고딕"/>
          <w:b/>
          <w:color w:val="1F497D"/>
          <w:sz w:val="44"/>
        </w:rPr>
        <w:t>교원 및 아동·청소년 인권 실태</w:t>
        <w:br/>
        <w:t>데이터 분석 파이프라인 계획서</w:t>
      </w:r>
    </w:p>
    <w:p>
      <w:pPr>
        <w:spacing w:before="320"/>
        <w:jc w:val="center"/>
      </w:pPr>
      <w:r>
        <w:rPr>
          <w:rFonts w:ascii="맑은 고딕" w:hAnsi="맑은 고딕"/>
          <w:b w:val="0"/>
          <w:color w:val="7F7F7F"/>
          <w:sz w:val="22"/>
        </w:rPr>
        <w:t>수상작 분석을 통한 고도화 전략 · v2.0 · 2026년 6월</w:t>
      </w:r>
    </w:p>
    <w:p>
      <w:r>
        <w:br w:type="page"/>
      </w:r>
    </w:p>
    <w:p>
      <w:pPr>
        <w:spacing w:before="360" w:after="120"/>
      </w:pPr>
      <w:r>
        <w:rPr>
          <w:rFonts w:ascii="맑은 고딕" w:hAnsi="맑은 고딕"/>
          <w:b/>
          <w:color w:val="1F497D"/>
          <w:sz w:val="32"/>
        </w:rPr>
        <w:t>0. 수상작 벤치마킹 — 핵심 전략 도출</w:t>
      </w:r>
    </w:p>
    <w:p>
      <w:pPr>
        <w:spacing w:after="60"/>
      </w:pPr>
      <w:r>
        <w:rPr>
          <w:rFonts w:ascii="맑은 고딕" w:hAnsi="맑은 고딕"/>
          <w:b w:val="0"/>
          <w:sz w:val="21"/>
        </w:rPr>
        <w:t>2025 KOSSDA 데이터 활용대회 수상작 2편을 분석하여, 본 프로젝트에 적용할 분석 전략과 시각화 패턴을 도출하였다.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855"/>
            <w:shd w:val="clear" w:color="auto" w:fill="1F497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대상 — 아이 대신 반려동물?</w:t>
            </w:r>
          </w:p>
        </w:tc>
        <w:tc>
          <w:tcPr>
            <w:tcW w:type="dxa" w:w="3855"/>
            <w:shd w:val="clear" w:color="auto" w:fill="1F497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최우수상 — 노인은 어디서 노는가?</w:t>
            </w:r>
          </w:p>
        </w:tc>
      </w:tr>
      <w:tr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연구 질문</w:t>
            </w:r>
          </w:p>
        </w:tc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반려동물 증가가 저출산의 원인인가? 가구 유형별 반려동물 키우는 가능성은?</w:t>
            </w:r>
          </w:p>
        </w:tc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서울 노인 171만 명은 어디서, 어떻게 시간을 보내는가?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데이터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KOSSDA 2종 + 농림부 + KOSIS 2종</w:t>
              <w:br/>
              <w:t>(5개 데이터, 다중 출처 결합)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KOSSDA 노인실태조사 + 서울시 지하철 데이터 + KOSIS + 서울시 시설 DB</w:t>
            </w:r>
          </w:p>
        </w:tc>
      </w:tr>
      <w:tr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핵심 분석</w:t>
            </w:r>
          </w:p>
        </w:tc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2×2 그룹 비교, Mann-Whitney U / Brunner-Munzel 검정, 로지스틱 회귀</w:t>
            </w:r>
          </w:p>
        </w:tc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레이더 차트, 3D 지도 시각화, 선형 회귀, 상관행렬, GIS 매핑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시각화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Density Plot, Box/Violin Plot, 시계열 선 그래프, 인포그래픽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레이더 차트, 히트맵, 3D 막대지도, GIS 분포 지도, 회귀 산점도</w:t>
            </w:r>
          </w:p>
        </w:tc>
      </w:tr>
      <w:tr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시사점</w:t>
            </w:r>
          </w:p>
        </w:tc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명확한 인과 가설 → 다중 데이터로 검증 → 정책 제언으로 마무리</w:t>
            </w:r>
          </w:p>
        </w:tc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행정 빅데이터 + 설문 결합, 공간 분석으로 차별화</w:t>
            </w:r>
          </w:p>
        </w:tc>
      </w:tr>
    </w:tbl>
    <w:p>
      <w:pPr>
        <w:spacing w:after="40"/>
        <w:ind w:left="340"/>
      </w:pPr>
      <w:r>
        <w:rPr>
          <w:rFonts w:ascii="맑은 고딕" w:hAnsi="맑은 고딕"/>
          <w:b w:val="0"/>
          <w:color w:val="7F7F7F"/>
          <w:sz w:val="19"/>
        </w:rPr>
        <w:t>※ 두 수상작 공통 전략: (1) 명확한 사회적 질문, (2) KOSSDA+외부 데이터 결합, (3) 비모수 검정 + 회귀분석, (4) 정책 제언으로 마무리</w:t>
      </w:r>
    </w:p>
    <w:p>
      <w:pPr>
        <w:spacing w:before="360" w:after="120"/>
      </w:pPr>
      <w:r>
        <w:rPr>
          <w:rFonts w:ascii="맑은 고딕" w:hAnsi="맑은 고딕"/>
          <w:b/>
          <w:color w:val="1F497D"/>
          <w:sz w:val="32"/>
        </w:rPr>
        <w:t>1. 연구 배경 및 목적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1.1 핵심 연구 질문 (Research Questions)</w:t>
      </w:r>
    </w:p>
    <w:p>
      <w:pPr>
        <w:spacing w:after="60"/>
      </w:pPr>
      <w:r>
        <w:rPr>
          <w:rFonts w:ascii="맑은 고딕" w:hAnsi="맑은 고딕"/>
          <w:b w:val="0"/>
          <w:sz w:val="21"/>
        </w:rPr>
        <w:t>수상작들이 '하나의 뾰족한 질문'으로 서사를 이끈 것처럼, 본 프로젝트도 아래 3개의 질문을 중심 축으로 삼는다.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RQ1 (추이). 2021→2023→2024, 교원·예비교원·학생의 인권 인식과 침해 경험은 어떻게 변했는가?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RQ2 (상생). 교권 침해가 높을수록 학생 인권 교육 만족도도 낮아지는가? — 교권과 학생 인권은 제로섬인가?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RQ3 (예방). 인권 교육 경험은 실제 침해 예방·대응 역량을 높이는가? — 교육 투입 대비 효과 검증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1.2 분석 대상 및 범위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대상: 현직 교원(초·중·고), 예비교원(교원양성기관), 아동·청소년(초4~고3)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기간: 2021년(교원 인권교육 실태), 2023년(예비교원 인식), 2024년(교원 인권상황 + 아동·청소년 인권실태)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지역: 전국 단위 (지역별 교차 분석 포함)</w:t>
      </w:r>
    </w:p>
    <w:p>
      <w:pPr>
        <w:spacing w:before="360" w:after="120"/>
      </w:pPr>
      <w:r>
        <w:rPr>
          <w:rFonts w:ascii="맑은 고딕" w:hAnsi="맑은 고딕"/>
          <w:b/>
          <w:color w:val="1F497D"/>
          <w:sz w:val="32"/>
        </w:rPr>
        <w:t>2. 데이터 아키텍처 및 소스 명세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2.1 보유 데이터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44729C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1814"/>
            <w:shd w:val="clear" w:color="auto" w:fill="44729C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데이터명</w:t>
            </w:r>
          </w:p>
        </w:tc>
        <w:tc>
          <w:tcPr>
            <w:tcW w:type="dxa" w:w="1814"/>
            <w:shd w:val="clear" w:color="auto" w:fill="44729C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1814"/>
            <w:shd w:val="clear" w:color="auto" w:fill="44729C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표본</w:t>
            </w:r>
          </w:p>
        </w:tc>
        <w:tc>
          <w:tcPr>
            <w:tcW w:type="dxa" w:w="1814"/>
            <w:shd w:val="clear" w:color="auto" w:fill="44729C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주요 변수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D1</w:t>
            </w:r>
          </w:p>
        </w:tc>
        <w:tc>
          <w:tcPr>
            <w:tcW w:type="dxa" w:w="181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교원 인권상황 실태조사</w:t>
            </w:r>
          </w:p>
        </w:tc>
        <w:tc>
          <w:tcPr>
            <w:tcW w:type="dxa" w:w="181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2024</w:t>
            </w:r>
          </w:p>
        </w:tc>
        <w:tc>
          <w:tcPr>
            <w:tcW w:type="dxa" w:w="181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교원 n≈3,000</w:t>
            </w:r>
          </w:p>
        </w:tc>
        <w:tc>
          <w:tcPr>
            <w:tcW w:type="dxa" w:w="181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인권 침해 경험, 유형, 대응, 직무 만족도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D2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예비교원 인권·인권교육 인식조사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2023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예비교원 n≈1,200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인권 인식 수준, 교육 이수 경험, 교사 효능감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D3</w:t>
            </w:r>
          </w:p>
        </w:tc>
        <w:tc>
          <w:tcPr>
            <w:tcW w:type="dxa" w:w="181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초·중등 교원 인권교육 실태조사</w:t>
            </w:r>
          </w:p>
        </w:tc>
        <w:tc>
          <w:tcPr>
            <w:tcW w:type="dxa" w:w="181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2021</w:t>
            </w:r>
          </w:p>
        </w:tc>
        <w:tc>
          <w:tcPr>
            <w:tcW w:type="dxa" w:w="181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교원 n≈2,500</w:t>
            </w:r>
          </w:p>
        </w:tc>
        <w:tc>
          <w:tcPr>
            <w:tcW w:type="dxa" w:w="181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인권교육 실시 현황, 교육 효과성 인식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D4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아동·청소년 인권실태조사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2024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청소년 n≈9,000+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학교생활 인권, 참여권, 교사 관계, 피해 경험</w:t>
            </w:r>
          </w:p>
        </w:tc>
      </w:tr>
      <w:tr>
        <w:tc>
          <w:tcPr>
            <w:tcW w:type="dxa" w:w="1814"/>
            <w:shd w:val="clear" w:color="auto" w:fill="F5F5DC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D5*</w:t>
            </w:r>
          </w:p>
        </w:tc>
        <w:tc>
          <w:tcPr>
            <w:tcW w:type="dxa" w:w="1814"/>
            <w:shd w:val="clear" w:color="auto" w:fill="F5F5DC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교원 인권상황 실태조사 (코드북·조사표)</w:t>
            </w:r>
          </w:p>
        </w:tc>
        <w:tc>
          <w:tcPr>
            <w:tcW w:type="dxa" w:w="1814"/>
            <w:shd w:val="clear" w:color="auto" w:fill="F5F5DC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2024</w:t>
            </w:r>
          </w:p>
        </w:tc>
        <w:tc>
          <w:tcPr>
            <w:tcW w:type="dxa" w:w="1814"/>
            <w:shd w:val="clear" w:color="auto" w:fill="F5F5DC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814"/>
            <w:shd w:val="clear" w:color="auto" w:fill="F5F5DC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변수 정의 검증, 역코딩 기준, 결측 처리 기준</w:t>
            </w:r>
          </w:p>
        </w:tc>
      </w:tr>
    </w:tbl>
    <w:p>
      <w:pPr>
        <w:spacing w:after="40"/>
        <w:ind w:left="340"/>
      </w:pPr>
      <w:r>
        <w:rPr>
          <w:rFonts w:ascii="맑은 고딕" w:hAnsi="맑은 고딕"/>
          <w:b w:val="0"/>
          <w:color w:val="7F7F7F"/>
          <w:sz w:val="19"/>
        </w:rPr>
        <w:t>※ D5는 메타데이터 보조 파일. 실 분석 대상 데이터는 D1~D4.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2.2 추가 권장 데이터 (수상작 전략 적용)</w:t>
      </w:r>
    </w:p>
    <w:p>
      <w:pPr>
        <w:spacing w:after="60"/>
      </w:pPr>
      <w:r>
        <w:rPr>
          <w:rFonts w:ascii="맑은 고딕" w:hAnsi="맑은 고딕"/>
          <w:b w:val="0"/>
          <w:sz w:val="21"/>
        </w:rPr>
        <w:t>수상작들은 KOSSDA 단일 데이터에 머물지 않고 외부 통계를 결합하여 분석 깊이를 높였다.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5B8D3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1814"/>
            <w:shd w:val="clear" w:color="auto" w:fill="5B8D3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데이터명</w:t>
            </w:r>
          </w:p>
        </w:tc>
        <w:tc>
          <w:tcPr>
            <w:tcW w:type="dxa" w:w="1814"/>
            <w:shd w:val="clear" w:color="auto" w:fill="5B8D3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주요 변수</w:t>
            </w:r>
          </w:p>
        </w:tc>
        <w:tc>
          <w:tcPr>
            <w:tcW w:type="dxa" w:w="1814"/>
            <w:shd w:val="clear" w:color="auto" w:fill="5B8D3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출처</w:t>
            </w:r>
          </w:p>
        </w:tc>
        <w:tc>
          <w:tcPr>
            <w:tcW w:type="dxa" w:w="1814"/>
            <w:shd w:val="clear" w:color="auto" w:fill="5B8D3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활용 목적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E1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교육통계서비스 (KESS)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교급별·지역별 학생 수, 교원 1인당 학생 수 (2021~2024)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교육부 KESS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지역별 인권 상황 격차 맥락화</w:t>
            </w:r>
          </w:p>
        </w:tc>
      </w:tr>
      <w:tr>
        <w:tc>
          <w:tcPr>
            <w:tcW w:type="dxa" w:w="1814"/>
            <w:shd w:val="clear" w:color="auto" w:fill="F0F7EB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E2</w:t>
            </w:r>
          </w:p>
        </w:tc>
        <w:tc>
          <w:tcPr>
            <w:tcW w:type="dxa" w:w="1814"/>
            <w:shd w:val="clear" w:color="auto" w:fill="F0F7EB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교원 노동조건 통계</w:t>
            </w:r>
          </w:p>
        </w:tc>
        <w:tc>
          <w:tcPr>
            <w:tcW w:type="dxa" w:w="1814"/>
            <w:shd w:val="clear" w:color="auto" w:fill="F0F7EB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학교급별 교원 업무 강도, 행정 부담 지표</w:t>
            </w:r>
          </w:p>
        </w:tc>
        <w:tc>
          <w:tcPr>
            <w:tcW w:type="dxa" w:w="1814"/>
            <w:shd w:val="clear" w:color="auto" w:fill="F0F7EB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KOSIS 통계청</w:t>
            </w:r>
          </w:p>
        </w:tc>
        <w:tc>
          <w:tcPr>
            <w:tcW w:type="dxa" w:w="1814"/>
            <w:shd w:val="clear" w:color="auto" w:fill="F0F7EB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교권 침해 구조적 원인 분석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E3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학교폭력 실태조사 결과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연도별 학교폭력 피해 응답률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교육부 공개 통계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아동 인권 실태 교차 검증</w:t>
            </w:r>
          </w:p>
        </w:tc>
      </w:tr>
    </w:tbl>
    <w:p>
      <w:pPr>
        <w:spacing w:before="360" w:after="120"/>
      </w:pPr>
      <w:r>
        <w:rPr>
          <w:rFonts w:ascii="맑은 고딕" w:hAnsi="맑은 고딕"/>
          <w:b/>
          <w:color w:val="1F497D"/>
          <w:sz w:val="32"/>
        </w:rPr>
        <w:t>3. 전처리 파이프라인 (Preprocessing Pipeline)</w:t>
      </w:r>
    </w:p>
    <w:p>
      <w:pPr>
        <w:spacing w:after="60"/>
      </w:pPr>
      <w:r>
        <w:rPr>
          <w:rFonts w:ascii="맑은 고딕" w:hAnsi="맑은 고딕"/>
          <w:b w:val="0"/>
          <w:sz w:val="21"/>
        </w:rPr>
        <w:t>수상작 대상팀은 농림부·KOSSDA·KOSIS 5개 데이터를 정합적으로 결합하기 위해 엄격한 전처리를 선행했다. 동일한 원칙을 적용한다.</w:t>
      </w:r>
    </w:p>
    <w:p>
      <w:pPr>
        <w:spacing w:before="160" w:after="40"/>
      </w:pPr>
      <w:r>
        <w:rPr>
          <w:rFonts w:ascii="맑은 고딕" w:hAnsi="맑은 고딕"/>
          <w:b/>
          <w:color w:val="1F497D"/>
          <w:sz w:val="22"/>
        </w:rPr>
        <w:t xml:space="preserve">[Step 1] </w:t>
      </w:r>
      <w:r>
        <w:rPr>
          <w:rFonts w:ascii="맑은 고딕" w:hAnsi="맑은 고딕"/>
          <w:b/>
          <w:sz w:val="22"/>
        </w:rPr>
        <w:t>데이터 수집 (Ingestion)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pyreadstat.read_sav()로 .sav 로드, 변수 레이블·값 레이블 메타데이터 추출</w:t>
      </w:r>
    </w:p>
    <w:p>
      <w:pPr>
        <w:pStyle w:val="ListBullet"/>
        <w:spacing w:after="40"/>
        <w:ind w:left="567"/>
      </w:pPr>
      <w:r>
        <w:rPr>
          <w:rFonts w:ascii="맑은 고딕" w:hAnsi="맑은 고딕"/>
          <w:b w:val="0"/>
          <w:sz w:val="20"/>
        </w:rPr>
        <w:t>D1~D4 각각 별도 DataFrame으로 저장, 원본 보존</w:t>
      </w:r>
    </w:p>
    <w:p>
      <w:pPr>
        <w:pStyle w:val="ListBullet"/>
        <w:spacing w:after="40"/>
        <w:ind w:left="567"/>
      </w:pPr>
      <w:r>
        <w:rPr>
          <w:rFonts w:ascii="맑은 고딕" w:hAnsi="맑은 고딕"/>
          <w:b w:val="0"/>
          <w:sz w:val="20"/>
        </w:rPr>
        <w:t>결측 코드 확인 (예: 9=모름, 99=무응답) → np.nan 변환</w:t>
      </w:r>
    </w:p>
    <w:p>
      <w:pPr>
        <w:spacing w:before="160" w:after="40"/>
      </w:pPr>
      <w:r>
        <w:rPr>
          <w:rFonts w:ascii="맑은 고딕" w:hAnsi="맑은 고딕"/>
          <w:b/>
          <w:color w:val="1F497D"/>
          <w:sz w:val="22"/>
        </w:rPr>
        <w:t xml:space="preserve">[Step 2] </w:t>
      </w:r>
      <w:r>
        <w:rPr>
          <w:rFonts w:ascii="맑은 고딕" w:hAnsi="맑은 고딕"/>
          <w:b/>
          <w:sz w:val="22"/>
        </w:rPr>
        <w:t>변수 표준화 (Harmonization)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연도 간 동일 개념 변수 매핑 테이블 작성 (Excel/JSON)</w:t>
      </w:r>
    </w:p>
    <w:p>
      <w:pPr>
        <w:pStyle w:val="ListBullet"/>
        <w:spacing w:after="40"/>
        <w:ind w:left="567"/>
      </w:pPr>
      <w:r>
        <w:rPr>
          <w:rFonts w:ascii="맑은 고딕" w:hAnsi="맑은 고딕"/>
          <w:b w:val="0"/>
          <w:sz w:val="20"/>
        </w:rPr>
        <w:t>예: 2021년 'A1_1' ↔ 2024년 'B3_2' (인권 침해 경험 문항)</w:t>
      </w:r>
    </w:p>
    <w:p>
      <w:pPr>
        <w:pStyle w:val="ListBullet"/>
        <w:spacing w:after="40"/>
        <w:ind w:left="567"/>
      </w:pPr>
      <w:r>
        <w:rPr>
          <w:rFonts w:ascii="맑은 고딕" w:hAnsi="맑은 고딕"/>
          <w:b w:val="0"/>
          <w:sz w:val="20"/>
        </w:rPr>
        <w:t>Likert 척도 방향 통일 (역코딩 필요 문항 식별)</w:t>
      </w:r>
    </w:p>
    <w:p>
      <w:pPr>
        <w:spacing w:before="160" w:after="40"/>
      </w:pPr>
      <w:r>
        <w:rPr>
          <w:rFonts w:ascii="맑은 고딕" w:hAnsi="맑은 고딕"/>
          <w:b/>
          <w:color w:val="1F497D"/>
          <w:sz w:val="22"/>
        </w:rPr>
        <w:t xml:space="preserve">[Step 3] </w:t>
      </w:r>
      <w:r>
        <w:rPr>
          <w:rFonts w:ascii="맑은 고딕" w:hAnsi="맑은 고딕"/>
          <w:b/>
          <w:sz w:val="22"/>
        </w:rPr>
        <w:t>결측치 처리 (Cleaning)</w:t>
      </w:r>
    </w:p>
    <w:p>
      <w:pPr>
        <w:pStyle w:val="ListBullet"/>
        <w:spacing w:after="40"/>
        <w:ind w:left="567"/>
      </w:pPr>
      <w:r>
        <w:rPr>
          <w:rFonts w:ascii="맑은 고딕" w:hAnsi="맑은 고딕"/>
          <w:b w:val="0"/>
          <w:sz w:val="20"/>
        </w:rPr>
        <w:t>변수별 결측률 계산 → 30% 초과 시 해당 변수 제외 검토</w:t>
      </w:r>
    </w:p>
    <w:p>
      <w:pPr>
        <w:pStyle w:val="ListBullet"/>
        <w:spacing w:after="40"/>
        <w:ind w:left="567"/>
      </w:pPr>
      <w:r>
        <w:rPr>
          <w:rFonts w:ascii="맑은 고딕" w:hAnsi="맑은 고딕"/>
          <w:b w:val="0"/>
          <w:sz w:val="20"/>
        </w:rPr>
        <w:t>핵심 분석 변수: Listwise deletion</w:t>
      </w:r>
    </w:p>
    <w:p>
      <w:pPr>
        <w:pStyle w:val="ListBullet"/>
        <w:spacing w:after="40"/>
        <w:ind w:left="567"/>
      </w:pPr>
      <w:r>
        <w:rPr>
          <w:rFonts w:ascii="맑은 고딕" w:hAnsi="맑은 고딕"/>
          <w:b w:val="0"/>
          <w:sz w:val="20"/>
        </w:rPr>
        <w:t>보조 변수: 다중 대체법(Multiple Imputation) 또는 최빈값 대체</w:t>
      </w:r>
    </w:p>
    <w:p>
      <w:pPr>
        <w:spacing w:before="160" w:after="40"/>
      </w:pPr>
      <w:r>
        <w:rPr>
          <w:rFonts w:ascii="맑은 고딕" w:hAnsi="맑은 고딕"/>
          <w:b/>
          <w:color w:val="1F497D"/>
          <w:sz w:val="22"/>
        </w:rPr>
        <w:t xml:space="preserve">[Step 4] </w:t>
      </w:r>
      <w:r>
        <w:rPr>
          <w:rFonts w:ascii="맑은 고딕" w:hAnsi="맑은 고딕"/>
          <w:b/>
          <w:sz w:val="22"/>
        </w:rPr>
        <w:t>파생 변수 생성 (Feature Engineering)</w:t>
      </w:r>
    </w:p>
    <w:p>
      <w:pPr>
        <w:pStyle w:val="ListBullet"/>
        <w:spacing w:after="40"/>
        <w:ind w:left="567"/>
      </w:pPr>
      <w:r>
        <w:rPr>
          <w:rFonts w:ascii="맑은 고딕" w:hAnsi="맑은 고딕"/>
          <w:b w:val="0"/>
          <w:sz w:val="20"/>
        </w:rPr>
        <w:t>인권침해 경험 지수 = 유형별 침해 경험 합산 (0~N점)</w:t>
      </w:r>
    </w:p>
    <w:p>
      <w:pPr>
        <w:pStyle w:val="ListBullet"/>
        <w:spacing w:after="40"/>
        <w:ind w:left="567"/>
      </w:pPr>
      <w:r>
        <w:rPr>
          <w:rFonts w:ascii="맑은 고딕" w:hAnsi="맑은 고딕"/>
          <w:b w:val="0"/>
          <w:sz w:val="20"/>
        </w:rPr>
        <w:t>인권교육 실효성 지수 = 이수 경험 × 만족도 복합 점수</w:t>
      </w:r>
    </w:p>
    <w:p>
      <w:pPr>
        <w:pStyle w:val="ListBullet"/>
        <w:spacing w:after="40"/>
        <w:ind w:left="567"/>
      </w:pPr>
      <w:r>
        <w:rPr>
          <w:rFonts w:ascii="맑은 고딕" w:hAnsi="맑은 고딕"/>
          <w:b w:val="0"/>
          <w:sz w:val="20"/>
        </w:rPr>
        <w:t>그룹 변수: 교급(초/중/고), 경력(5년 미만/5~10/10년 이상), 지역(시도 코드)</w:t>
      </w:r>
    </w:p>
    <w:p>
      <w:pPr>
        <w:spacing w:before="160" w:after="40"/>
      </w:pPr>
      <w:r>
        <w:rPr>
          <w:rFonts w:ascii="맑은 고딕" w:hAnsi="맑은 고딕"/>
          <w:b/>
          <w:color w:val="1F497D"/>
          <w:sz w:val="22"/>
        </w:rPr>
        <w:t xml:space="preserve">[Step 5] </w:t>
      </w:r>
      <w:r>
        <w:rPr>
          <w:rFonts w:ascii="맑은 고딕" w:hAnsi="맑은 고딕"/>
          <w:b/>
          <w:sz w:val="22"/>
        </w:rPr>
        <w:t>교차 데이터 결합 (Integration)</w:t>
      </w:r>
    </w:p>
    <w:p>
      <w:pPr>
        <w:pStyle w:val="ListBullet"/>
        <w:spacing w:after="40"/>
        <w:ind w:left="567"/>
      </w:pPr>
      <w:r>
        <w:rPr>
          <w:rFonts w:ascii="맑은 고딕" w:hAnsi="맑은 고딕"/>
          <w:b w:val="0"/>
          <w:sz w:val="20"/>
        </w:rPr>
        <w:t>D1(교원 2024) ↔ D4(청소년 2024): 학교급 코드 기준 집계 수준 병합</w:t>
      </w:r>
    </w:p>
    <w:p>
      <w:pPr>
        <w:pStyle w:val="ListBullet"/>
        <w:spacing w:after="40"/>
        <w:ind w:left="567"/>
      </w:pPr>
      <w:r>
        <w:rPr>
          <w:rFonts w:ascii="맑은 고딕" w:hAnsi="맑은 고딕"/>
          <w:b w:val="0"/>
          <w:sz w:val="20"/>
        </w:rPr>
        <w:t>D1~D3 종단 비교셋: 연도 컬럼 추가 후 rbind (세로 결합)</w:t>
      </w:r>
    </w:p>
    <w:p>
      <w:pPr>
        <w:pStyle w:val="ListBullet"/>
        <w:spacing w:after="40"/>
        <w:ind w:left="567"/>
      </w:pPr>
      <w:r>
        <w:rPr>
          <w:rFonts w:ascii="맑은 고딕" w:hAnsi="맑은 고딕"/>
          <w:b w:val="0"/>
          <w:sz w:val="20"/>
        </w:rPr>
        <w:t>외부 데이터(E1~E3): 시도 코드 기준 좌측 조인</w:t>
      </w:r>
    </w:p>
    <w:p>
      <w:pPr>
        <w:spacing w:before="360" w:after="120"/>
      </w:pPr>
      <w:r>
        <w:rPr>
          <w:rFonts w:ascii="맑은 고딕" w:hAnsi="맑은 고딕"/>
          <w:b/>
          <w:color w:val="1F497D"/>
          <w:sz w:val="32"/>
        </w:rPr>
        <w:t>4. 분석 전략 (Analysis Strategy)</w:t>
      </w:r>
    </w:p>
    <w:p>
      <w:pPr>
        <w:spacing w:after="60"/>
      </w:pPr>
      <w:r>
        <w:rPr>
          <w:rFonts w:ascii="맑은 고딕" w:hAnsi="맑은 고딕"/>
          <w:b w:val="0"/>
          <w:sz w:val="21"/>
        </w:rPr>
        <w:t>수상작에서 검증된 분석 패턴을 인권 데이터에 맞게 재설계한다. 분석은 크게 4단계(기술→비교→설명→예측)로 구성된다.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4.1 기술 통계 및 EDA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연도별 인권침해 경험률 추이 — 꺾은선 그래프 (D1·D3 시계열)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교급별·직급별 빈도 분포 — 누적 막대 차트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인권침해 유형 구성 — 방사형(레이더) 차트 [최우수상 적용]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결측 패턴 히트맵 — msno.matrix() 시각화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핵심 변수 Density Plot / Box Plot [대상작 적용]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4.2 집단 비교 분석 [대상작 핵심 기법 적용]</w:t>
      </w:r>
    </w:p>
    <w:p>
      <w:pPr>
        <w:spacing w:after="60"/>
      </w:pPr>
      <w:r>
        <w:rPr>
          <w:rFonts w:ascii="맑은 고딕" w:hAnsi="맑은 고딕"/>
          <w:b w:val="0"/>
          <w:sz w:val="21"/>
        </w:rPr>
        <w:t>대상작은 '반려동물 유무 × 자녀 유무' 2×2 그룹을 설정해 비모수 검정을 수행했다. 동일 방법론을 적용한다.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44729C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분석 그룹</w:t>
            </w:r>
          </w:p>
        </w:tc>
        <w:tc>
          <w:tcPr>
            <w:tcW w:type="dxa" w:w="2268"/>
            <w:shd w:val="clear" w:color="auto" w:fill="44729C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비교 변수</w:t>
            </w:r>
          </w:p>
        </w:tc>
        <w:tc>
          <w:tcPr>
            <w:tcW w:type="dxa" w:w="2268"/>
            <w:shd w:val="clear" w:color="auto" w:fill="44729C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검정 방법</w:t>
            </w:r>
          </w:p>
        </w:tc>
        <w:tc>
          <w:tcPr>
            <w:tcW w:type="dxa" w:w="2268"/>
            <w:shd w:val="clear" w:color="auto" w:fill="44729C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근거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교급별 (초/중/고)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인권침해 경험 지수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Kruskal-Wallis + 사후검정 (Dunn)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Likert 데이터 → 비모수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경력별 (3구간)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인권교육 효과성 인식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Kruskal-Wallis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분포 비정규성 예상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침해 경험 유/무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직무 만족도·번아웃 점수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Mann-Whitney U / Brunner-Munzel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대상작과 동일 검정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인권교육 이수 유/무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인권 감수성 척도 점수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Mann-Whitney U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교육 효과 유무 판별</w:t>
            </w:r>
          </w:p>
        </w:tc>
      </w:tr>
    </w:tbl>
    <w:p>
      <w:pPr>
        <w:spacing w:after="40"/>
        <w:ind w:left="340"/>
      </w:pPr>
      <w:r>
        <w:rPr>
          <w:rFonts w:ascii="맑은 고딕" w:hAnsi="맑은 고딕"/>
          <w:b w:val="0"/>
          <w:color w:val="7F7F7F"/>
          <w:sz w:val="19"/>
        </w:rPr>
        <w:t>※ Brunner-Munzel 검정은 분산 동질성을 가정하지 않아 Likert 척도 데이터에 Mann-Whitney보다 적합한 경우가 많다. (대상작 채택 이유)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4.3 회귀 및 인과 분석</w:t>
      </w:r>
    </w:p>
    <w:p>
      <w:pPr>
        <w:spacing w:after="60"/>
      </w:pPr>
      <w:r>
        <w:rPr>
          <w:rFonts w:ascii="맑은 고딕" w:hAnsi="맑은 고딕"/>
          <w:b w:val="0"/>
          <w:sz w:val="21"/>
        </w:rPr>
        <w:t>RQ2·RQ3 검증을 위한 설명적 모델링.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로지스틱 회귀 (Logistic Regression): 인권침해 경험 여부(0/1)를 종속변수로, 교육 이수·경력·교급을 독립변수로 — 대상작과 동일 접근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선형 회귀 (OLS): 인권교육 경험(시간수) → 인권 감수성 점수 예측 [최우수상 적용]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매개 분석 (Mediation): 구조적 요인(업무과중) → 인권침해 경험 → 직무만족도 경로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교차항 포함 상호작용 모델: '교급 × 인권교육 이수'의 침해 예방 효과 차이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4.4 지역별 공간 분석 [최우수상 전략 적용]</w:t>
      </w:r>
    </w:p>
    <w:p>
      <w:pPr>
        <w:spacing w:after="60"/>
      </w:pPr>
      <w:r>
        <w:rPr>
          <w:rFonts w:ascii="맑은 고딕" w:hAnsi="맑은 고딕"/>
          <w:b w:val="0"/>
          <w:sz w:val="21"/>
        </w:rPr>
        <w:t>최우수상팀은 지하철 데이터를 GIS와 결합해 공간적 불균등을 시각화했다. 본 프로젝트에서는 시도별 인권 취약 지점을 히트맵·지도로 구현한다.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시도별 교원 인권침해 경험률 → 단계 구분 지도 (Choropleth Map)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학교급·지역 교차 히트맵: X축=시도, Y축=교급, 셀=침해율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외부 데이터(E1 교원 1인당 학생 수)와 침해율 산점도 + 회귀선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4.5 시계열 추이 분석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D3(2021) → D2(2023) → D1(2024): 교원 인권 인식 3개 시점 추이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동일 문항 한계 시: 유사 개념 변수 매핑 후 정규화 비교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청소년 데이터(D4)는 단일 시점이므로 교급별 코호트 분석으로 대체</w:t>
      </w:r>
    </w:p>
    <w:p>
      <w:pPr>
        <w:spacing w:before="360" w:after="120"/>
      </w:pPr>
      <w:r>
        <w:rPr>
          <w:rFonts w:ascii="맑은 고딕" w:hAnsi="맑은 고딕"/>
          <w:b/>
          <w:color w:val="1F497D"/>
          <w:sz w:val="32"/>
        </w:rPr>
        <w:t>5. 시각화 전략 (Visualization Strategy)</w:t>
      </w:r>
    </w:p>
    <w:p>
      <w:pPr>
        <w:spacing w:after="60"/>
      </w:pPr>
      <w:r>
        <w:rPr>
          <w:rFonts w:ascii="맑은 고딕" w:hAnsi="맑은 고딕"/>
          <w:b w:val="0"/>
          <w:sz w:val="21"/>
        </w:rPr>
        <w:t>수상작의 시각화 원칙: ① 한 슬라이드 한 메시지, ② 인포그래픽으로 수치 강조, ③ 지도·차트 혼합. 동일 원칙 적용.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차트 유형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분석 목적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참조 수상작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구현 라이브러리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꺾은선 그래프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연도별 인권침해율 추이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대상작 시계열 차트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matplotlib / plotly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레이더(방사형) 차트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인권 역량 다차원 균형</w:t>
              <w:br/>
              <w:t>(인지·정서·행동·환경)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최우수상 노인실태 레이더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matplotlib / plotly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Density + Box/Violin Plot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그룹 간 분포 차이 시각화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대상작 그룹 분포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seaborn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히트맵 (Heatmap)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시도×교급 침해율 교차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최우수상 시설 히트맵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seaborn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단계 구분 지도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시도별 인권 취약 지도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최우수상 GIS 지도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folium / geopandas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누적 막대 차트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침해 유형 구성 비교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대상작 인포그래픽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matplotlib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산점도 + 회귀선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교육 이수↔감수성 관계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최우수상 회귀 산점도</w:t>
            </w:r>
          </w:p>
        </w:tc>
        <w:tc>
          <w:tcPr>
            <w:tcW w:type="dxa" w:w="2268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seaborn / plotly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상관 행렬 히트맵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주요 변수 간 상관 구조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최우수상 상관행렬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seaborn</w:t>
            </w:r>
          </w:p>
        </w:tc>
      </w:tr>
    </w:tbl>
    <w:p>
      <w:pPr>
        <w:spacing w:before="360" w:after="120"/>
      </w:pPr>
      <w:r>
        <w:rPr>
          <w:rFonts w:ascii="맑은 고딕" w:hAnsi="맑은 고딕"/>
          <w:b/>
          <w:color w:val="1F497D"/>
          <w:sz w:val="32"/>
        </w:rPr>
        <w:t>6. 구현 로드맵 (Implementation Roadmap)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44729C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단계 / 기간</w:t>
            </w:r>
          </w:p>
        </w:tc>
        <w:tc>
          <w:tcPr>
            <w:tcW w:type="dxa" w:w="3024"/>
            <w:shd w:val="clear" w:color="auto" w:fill="44729C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주요 과업</w:t>
            </w:r>
          </w:p>
        </w:tc>
        <w:tc>
          <w:tcPr>
            <w:tcW w:type="dxa" w:w="3024"/>
            <w:shd w:val="clear" w:color="auto" w:fill="44729C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산출물 (Deliverable)</w:t>
            </w:r>
          </w:p>
        </w:tc>
      </w:tr>
      <w:tr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sz w:val="19"/>
              </w:rPr>
              <w:t>Phase 1</w:t>
              <w:br/>
              <w:t>(1~2주)</w:t>
              <w:br/>
              <w:t>데이터 탐색 및 전처리</w:t>
            </w:r>
          </w:p>
        </w:tc>
        <w:tc>
          <w:tcPr>
            <w:tcW w:type="dxa" w:w="3024"/>
            <w:shd w:val="clear" w:color="auto" w:fill="EEF3FA"/>
          </w:tcPr>
          <w:p>
            <w:r/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변수 레이블 전체 추출 → 분석 가능 변수 목록 확정</w:t>
            </w:r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연도 간 동일 개념 변수 매핑 테이블 작성</w:t>
            </w:r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결측률 계산 → 결측 처리 전략 결정</w:t>
            </w:r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역코딩 변수 처리, 파생 변수(침해 지수) 생성</w:t>
            </w:r>
          </w:p>
        </w:tc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cleaned_D1~D4.pkl + variable_mapping.xlsx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sz w:val="19"/>
              </w:rPr>
              <w:t>Phase 2</w:t>
              <w:br/>
              <w:t>(3~4주)</w:t>
              <w:br/>
              <w:t>기술 통계 및 EDA</w:t>
            </w:r>
          </w:p>
        </w:tc>
        <w:tc>
          <w:tcPr>
            <w:tcW w:type="dxa" w:w="3024"/>
            <w:shd w:val="clear" w:color="auto" w:fill="FFFFFF"/>
          </w:tcPr>
          <w:p>
            <w:r/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빈도표·기술통계 자동 생성 모듈 구현</w:t>
            </w:r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연도별 추이 꺾은선 그래프 (D1·D3 비교)</w:t>
            </w:r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교급별 인권침해 경험 Density Plot</w:t>
            </w:r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레이더 차트 (인권 역량 5개 차원)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EDA 리포트 PDF + 시각화 PNG 세트</w:t>
            </w:r>
          </w:p>
        </w:tc>
      </w:tr>
      <w:tr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sz w:val="19"/>
              </w:rPr>
              <w:t>Phase 3</w:t>
              <w:br/>
              <w:t>(5~6주)</w:t>
              <w:br/>
              <w:t>통계 분석</w:t>
            </w:r>
          </w:p>
        </w:tc>
        <w:tc>
          <w:tcPr>
            <w:tcW w:type="dxa" w:w="3024"/>
            <w:shd w:val="clear" w:color="auto" w:fill="EEF3FA"/>
          </w:tcPr>
          <w:p>
            <w:r/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Kruskal-Wallis + Dunn 사후검정 (교급별 비교)</w:t>
            </w:r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Mann-Whitney U / Brunner-Munzel (침해 경험 유무 비교)</w:t>
            </w:r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로지스틱 회귀 (침해 경험 예측 모델)</w:t>
            </w:r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매개 분석 (업무과중 → 침해 → 만족도)</w:t>
            </w:r>
          </w:p>
        </w:tc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통계 결과 테이블 + 해석 노트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sz w:val="19"/>
              </w:rPr>
              <w:t>Phase 4</w:t>
              <w:br/>
              <w:t>(7~8주)</w:t>
              <w:br/>
              <w:t>공간 분석 및 시각화 고도화</w:t>
            </w:r>
          </w:p>
        </w:tc>
        <w:tc>
          <w:tcPr>
            <w:tcW w:type="dxa" w:w="3024"/>
            <w:shd w:val="clear" w:color="auto" w:fill="FFFFFF"/>
          </w:tcPr>
          <w:p>
            <w:r/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시도별 침해율 단계 구분 지도 (folium)</w:t>
            </w:r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시도×교급 히트맵</w:t>
            </w:r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외부 데이터(E1~E3) 결합 → 맥락 분석</w:t>
            </w:r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인터랙티브 대시보드 (plotly Dash 또는 Streamlit)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완성 시각화 세트 + 대시보드</w:t>
            </w:r>
          </w:p>
        </w:tc>
      </w:tr>
      <w:tr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sz w:val="19"/>
              </w:rPr>
              <w:t>Phase 5</w:t>
              <w:br/>
              <w:t>(9~10주)</w:t>
              <w:br/>
              <w:t>결론 및 정책 제언</w:t>
            </w:r>
          </w:p>
        </w:tc>
        <w:tc>
          <w:tcPr>
            <w:tcW w:type="dxa" w:w="3024"/>
            <w:shd w:val="clear" w:color="auto" w:fill="EEF3FA"/>
          </w:tcPr>
          <w:p>
            <w:r/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RQ1~RQ3 답변 종합</w:t>
            </w:r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수상작 방식처럼 '토의' 슬라이드: 한계·대안 제시</w:t>
            </w:r>
          </w:p>
          <w:p>
            <w:pPr>
              <w:spacing w:after="20"/>
            </w:pPr>
            <w:r>
              <w:rPr>
                <w:rFonts w:ascii="맑은 고딕" w:hAnsi="맑은 고딕"/>
                <w:b w:val="0"/>
                <w:sz w:val="18"/>
              </w:rPr>
              <w:t>• 정책 제언 도출 (교원 인권 보호 제도 개선안)</w:t>
            </w:r>
          </w:p>
        </w:tc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최종 발표 자료 및 보고서 작성</w:t>
            </w:r>
          </w:p>
        </w:tc>
      </w:tr>
    </w:tbl>
    <w:p>
      <w:pPr>
        <w:spacing w:before="360" w:after="120"/>
      </w:pPr>
      <w:r>
        <w:rPr>
          <w:rFonts w:ascii="맑은 고딕" w:hAnsi="맑은 고딕"/>
          <w:b/>
          <w:color w:val="1F497D"/>
          <w:sz w:val="32"/>
        </w:rPr>
        <w:t>7. 기술 스택 및 코드 구조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7.1 라이브러리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라이브러리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주요 용도</w:t>
            </w:r>
          </w:p>
        </w:tc>
      </w:tr>
      <w:tr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데이터 로드</w:t>
            </w:r>
          </w:p>
        </w:tc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pyreadstat, pandas</w:t>
            </w:r>
          </w:p>
        </w:tc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SPSS .sav 로드, 메타데이터 추출, 데이터프레임 조작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전처리·통계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numpy, scipy, statsmodels, pingouin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결측 처리, 비모수 검정, 회귀, 매개 분석</w:t>
            </w:r>
          </w:p>
        </w:tc>
      </w:tr>
      <w:tr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시각화 (정적)</w:t>
            </w:r>
          </w:p>
        </w:tc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matplotlib, seaborn</w:t>
            </w:r>
          </w:p>
        </w:tc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Density/Box/Violin, 히트맵, 레이더 차트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시각화 (동적)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plotly, folium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인터랙티브 차트, GIS 지도</w:t>
            </w:r>
          </w:p>
        </w:tc>
      </w:tr>
      <w:tr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공간 분석</w:t>
            </w:r>
          </w:p>
        </w:tc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geopandas, shapely</w:t>
            </w:r>
          </w:p>
        </w:tc>
        <w:tc>
          <w:tcPr>
            <w:tcW w:type="dxa" w:w="3024"/>
            <w:shd w:val="clear" w:color="auto" w:fill="EEF3FA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시도 단위 단계 구분 지도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대시보드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streamlit 또는 Dash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통합 인터랙티브 리포트</w:t>
            </w:r>
          </w:p>
        </w:tc>
      </w:tr>
    </w:tbl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7.2 코드 모듈 구조 (현행 analysis_pipeline.py 확장)</w:t>
      </w:r>
    </w:p>
    <w:p>
      <w:pPr>
        <w:spacing w:before="80"/>
        <w:ind w:left="283"/>
      </w:pPr>
      <w:r>
        <w:rPr>
          <w:rFonts w:ascii="Courier New" w:hAnsi="Courier New"/>
          <w:b w:val="0"/>
          <w:sz w:val="18"/>
        </w:rPr>
        <w:t>kossda/</w:t>
        <w:br/>
        <w:t>├── analysis_pipeline.py        # 기존 → 아래 모듈로 분리 확장</w:t>
        <w:br/>
        <w:t>├── pipeline/</w:t>
        <w:br/>
        <w:t>│   ├── loader.py               # pyreadstat 로드 + 메타 추출</w:t>
        <w:br/>
        <w:t>│   ├── harmonizer.py           # 연도 간 변수 매핑 + 역코딩</w:t>
        <w:br/>
        <w:t>│   ├── cleaner.py              # 결측 처리 + 파생 변수 생성</w:t>
        <w:br/>
        <w:t>│   ├── analyzer.py             # 비모수 검정, 회귀, 매개 분석</w:t>
        <w:br/>
        <w:t>│   └── visualizer.py           # 차트 함수 모음 (레이더, 히트맵 등)</w:t>
        <w:br/>
        <w:t>├── notebooks/</w:t>
        <w:br/>
        <w:t>│   ├── 01_EDA.ipynb</w:t>
        <w:br/>
        <w:t>│   ├── 02_group_comparison.ipynb</w:t>
        <w:br/>
        <w:t>│   ├── 03_regression.ipynb</w:t>
        <w:br/>
        <w:t>│   └── 04_spatial_analysis.ipynb</w:t>
        <w:br/>
        <w:t>├── data/                       # 기존 데이터 폴더</w:t>
        <w:br/>
        <w:t>└── outputs/</w:t>
        <w:br/>
        <w:t xml:space="preserve">    ├── figures/</w:t>
        <w:br/>
        <w:t xml:space="preserve">    └── tables/</w:t>
      </w:r>
    </w:p>
    <w:p>
      <w:pPr>
        <w:spacing w:before="360" w:after="120"/>
      </w:pPr>
      <w:r>
        <w:rPr>
          <w:rFonts w:ascii="맑은 고딕" w:hAnsi="맑은 고딕"/>
          <w:b/>
          <w:color w:val="1F497D"/>
          <w:sz w:val="32"/>
        </w:rPr>
        <w:t>8. 품질 관리 및 분석 한계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8.1 재현 가능성 (Reproducibility)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모든 전처리·분석 코드 버전 관리 (git)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난수 시드 고정 (random_state=42) — 결과 재현 보장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requirements.txt로 의존성 고정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8.2 분석 한계 (수상작 '토의' 슬라이드 방식 적용)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횡단면 편향: 2021·2023·2024 데이터가 동일 개인 추적이 아닌 독립 표본 → 인과 추론 한계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자기보고 편향: 설문 특성상 사회적 바람직성 편향 가능 → 민감 문항 해석 주의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지역 변수 한계: 시도 수준 병합 시 생태학적 오류(Ecological Fallacy) 발생 가능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교차 데이터 결합: 교원↔청소년 데이터는 개인 매칭 불가 → 집계 수준 분석에 국한</w:t>
      </w:r>
    </w:p>
    <w:p>
      <w:pPr>
        <w:spacing w:before="240" w:after="80"/>
      </w:pPr>
      <w:r>
        <w:rPr>
          <w:rFonts w:ascii="맑은 고딕" w:hAnsi="맑은 고딕"/>
          <w:b/>
          <w:color w:val="4472C4"/>
          <w:sz w:val="26"/>
        </w:rPr>
        <w:t>8.3 윤리 고려사항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KOSSDA 데이터 이용 약관 준수 — 연구 목적 외 사용 금지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개인 식별 정보(이름, 학교명) 없음 확인 후 분석 진행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분석 결과 발표 시 특정 집단 낙인화 표현 지양</w:t>
      </w:r>
    </w:p>
    <w:p>
      <w:pPr>
        <w:spacing w:before="360" w:after="120"/>
      </w:pPr>
      <w:r>
        <w:rPr>
          <w:rFonts w:ascii="맑은 고딕" w:hAnsi="맑은 고딕"/>
          <w:b/>
          <w:color w:val="1F497D"/>
          <w:sz w:val="32"/>
        </w:rPr>
        <w:t>부록 A. 핵심 분석 코드 스니펫</w:t>
      </w:r>
    </w:p>
    <w:p>
      <w:pPr>
        <w:spacing w:before="160" w:after="40"/>
      </w:pPr>
      <w:r>
        <w:rPr>
          <w:rFonts w:ascii="맑은 고딕" w:hAnsi="맑은 고딕"/>
          <w:b/>
          <w:color w:val="548235"/>
          <w:sz w:val="22"/>
        </w:rPr>
        <w:t>A1. 비모수 검정 (Brunner-Munzel) — 대상작 적용 기법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from scipy.stats import mannwhitneyu</w:t>
        <w:br/>
        <w:t>from pingouin import mwu  # Brunner-Munzel 포함</w:t>
        <w:br/>
        <w:br/>
        <w:t># 침해 경험 유무에 따른 직무만족도 비교</w:t>
        <w:br/>
        <w:t>group_yes = df.loc[df['infringement_exp'] == 1, 'job_satisfaction']</w:t>
        <w:br/>
        <w:t>group_no  = df.loc[df['infringement_exp'] == 0, 'job_satisfaction']</w:t>
        <w:br/>
        <w:br/>
        <w:t># Mann-Whitney U</w:t>
        <w:br/>
        <w:t>stat, p = mannwhitneyu(group_yes, group_no, alternative='two-sided')</w:t>
        <w:br/>
        <w:br/>
        <w:t># Brunner-Munzel (분산 동질성 불필요)</w:t>
        <w:br/>
        <w:t>result = mwu(group_yes, group_no, alternative='two-sided')</w:t>
        <w:br/>
        <w:t>print(result)</w:t>
      </w:r>
    </w:p>
    <w:p>
      <w:pPr>
        <w:spacing w:before="160" w:after="40"/>
      </w:pPr>
      <w:r>
        <w:rPr>
          <w:rFonts w:ascii="맑은 고딕" w:hAnsi="맑은 고딕"/>
          <w:b/>
          <w:color w:val="548235"/>
          <w:sz w:val="22"/>
        </w:rPr>
        <w:t>A2. 레이더 차트 — 최우수상 적용 기법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import numpy as np</w:t>
        <w:br/>
        <w:t>import matplotlib.pyplot as plt</w:t>
        <w:br/>
        <w:br/>
        <w:t>categories = ['인권 인지', '인권 정서', '인권 행동', '교육 환경', '제도 신뢰']</w:t>
        <w:br/>
        <w:t>values_teacher   = [3.8, 3.5, 3.2, 2.9, 3.1]</w:t>
        <w:br/>
        <w:t>values_preservice = [4.1, 3.9, 3.4, 3.3, 3.6]</w:t>
        <w:br/>
        <w:br/>
        <w:t>angles = np.linspace(0, 2*np.pi, len(categories), endpoint=False).tolist()</w:t>
        <w:br/>
        <w:t>angles += angles[:1]</w:t>
        <w:br/>
        <w:br/>
        <w:t>fig, ax = plt.subplots(figsize=(7, 7), subplot_kw=dict(polar=True))</w:t>
        <w:br/>
        <w:t>for values, label, color in [</w:t>
        <w:br/>
        <w:t xml:space="preserve">    (values_teacher,    '현직 교원', '#1F497D'),</w:t>
        <w:br/>
        <w:t xml:space="preserve">    (values_preservice, '예비 교원', '#44729C'),</w:t>
        <w:br/>
        <w:t>]:</w:t>
        <w:br/>
        <w:t xml:space="preserve">    v = values + values[:1]</w:t>
        <w:br/>
        <w:t xml:space="preserve">    ax.plot(angles, v, color=color, linewidth=2, label=label)</w:t>
        <w:br/>
        <w:t xml:space="preserve">    ax.fill(angles, v, color=color, alpha=0.15)</w:t>
        <w:br/>
        <w:br/>
        <w:t>ax.set_xticks(angles[:-1])</w:t>
        <w:br/>
        <w:t>ax.set_xticklabels(categories, fontsize=11)</w:t>
        <w:br/>
        <w:t>ax.set_title('인권 역량 다차원 비교', fontsize=14, fontweight='bold', pad=20)</w:t>
        <w:br/>
        <w:t>ax.legend(loc='upper right', bbox_to_anchor=(1.3, 1.1))</w:t>
        <w:br/>
        <w:t>plt.tight_layout()</w:t>
        <w:br/>
        <w:t>plt.savefig('outputs/figures/radar_human_rights.png', dpi=150, bbox_inches='tight')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