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 "Initial Access":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"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Cisco Talos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 ; CTI vender) has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observed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 ; observe) an ongoing malicious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campaign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 ; campaign) since August 2021 from the Bitter APT group that appears to target users in Bangladesh. 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campaign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 ; campaign)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targets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 ; target) an elite unit of the Bangladesh's government with a themed lure document alleging to relate to the regular operational tasks in the victim's organization. The lure document is a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spear-phishing email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 ; tool) sent to high-ranking officers of the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Rapid Action Battalion Unit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 ; identity) of the Bangladesh police (RAB). 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emails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contain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either a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malicious RTF document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 ; file) or a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Microsoft Excel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spreadsheet weaponized to exploit known vulnerabilities. Once 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victim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opens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the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maldoc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, the Equation Editor application is automatically launched to run the embedded objects containing the shellcode to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exploit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known vulnerabilities described by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CVE-2017-11882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 ; vulnerablity),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CVE-2018-0798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 ; vulnerablity) and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CVE-2018-0802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(Entity ; vulnerablity)",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"Command and Control":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"The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actor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's(Entity; threat-actor) infrastructure consists of the C2 server (helpdesk[.]autodefragapp[.]com) and several domains that host the adversary's malware. The C2 domain resolved to 99[.]83[.]154[.]118 during the period of the campaign. This is a legitimate IP address for the AWS Global Accelerator(tool) networking service. 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a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ctor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threat-actor) is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using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(Relation; use) the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AWS Global Accelerator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(tool) to redirect traffic to their actual C2 host, which is parked behind the legitimate AWS service. 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actor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(Entity; threat-actor) has employed this technique to conceal their identity. The </w:t>
      </w:r>
      <w:r>
        <w:rPr>
          <w:rFonts w:hint="default" w:ascii="Times New Roman" w:hAnsi="Times New Roman" w:cs="Times New Roman"/>
          <w:color w:val="C00000"/>
          <w:sz w:val="24"/>
          <w:szCs w:val="32"/>
          <w:u w:val="single"/>
          <w:lang w:val="en-US" w:eastAsia="zh-CN"/>
        </w:rPr>
        <w:t>payload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(Malware) runs as a Windows security update service on the victim's machine and establishes communication(Relation;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>communicate-with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) with the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C2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(infrastructure) to remotely </w:t>
      </w:r>
      <w:r>
        <w:rPr>
          <w:rFonts w:hint="default" w:ascii="Times New Roman" w:hAnsi="Times New Roman" w:cs="Times New Roman"/>
          <w:color w:val="75BD42" w:themeColor="accent4"/>
          <w:sz w:val="24"/>
          <w:szCs w:val="32"/>
          <w:u w:val="single"/>
          <w:lang w:val="en-US" w:eastAsia="zh-CN"/>
          <w14:textFill>
            <w14:solidFill>
              <w14:schemeClr w14:val="accent4"/>
            </w14:solidFill>
          </w14:textFill>
        </w:rPr>
        <w:t xml:space="preserve">download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and </w:t>
      </w:r>
      <w:r>
        <w:rPr>
          <w:rFonts w:hint="default" w:ascii="Times New Roman" w:hAnsi="Times New Roman" w:cs="Times New Roman"/>
          <w:color w:val="4874CB" w:themeColor="accent1"/>
          <w:sz w:val="24"/>
          <w:szCs w:val="32"/>
          <w:u w:val="single"/>
          <w:lang w:val="en-US" w:eastAsia="zh-CN"/>
          <w14:textFill>
            <w14:solidFill>
              <w14:schemeClr w14:val="accent1"/>
            </w14:solidFill>
          </w14:textFill>
        </w:rPr>
        <w:t>execute files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in the victim's environment."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wZjljNDI3MzM4YmE0ZDdhNWEyYWFmN2QxYzNjMDcifQ=="/>
  </w:docVars>
  <w:rsids>
    <w:rsidRoot w:val="00000000"/>
    <w:rsid w:val="208714A2"/>
    <w:rsid w:val="59B520DA"/>
    <w:rsid w:val="6384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2024-01-16T06:59:00Z</dcterms:created>
  <dc:creator>zhang</dc:creator>
  <cp:lastModifiedBy>夜含光</cp:lastModifiedBy>
  <dcterms:modified xsi:type="dcterms:W3CDTF">2024-01-17T07:55:56Z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BD57704C89D14DB4B0360FE895D27119_12</vt:lpwstr>
  </property>
</Properties>
</file>