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Air purifiers in classrooms for infection control: a pilot study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12 Sep 2024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dc28f0e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methods and results for part 2 of the pilot study on air purifiers in classrooms </w:t>
      </w:r>
      <w:r>
        <w:t xml:space="preserve">for infection control (see https://zenodo.org/doi/10.5281/zenodo.12818264). 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All statistical analyses were performed as prespecified, except as noted, using Stata 18 (StataCorp LLC, </w:t>
      </w:r>
      <w:r>
        <w:t xml:space="preserve">College Station, Texas, USA). We had expected both sensors to measure the primary and secondary outcomes </w:t>
      </w:r>
      <w:r>
        <w:t xml:space="preserve">as counts, but the DigiRef sensor reported fractional counts. We therefore rounded these to integers. </w:t>
      </w:r>
      <w:r>
        <w:t xml:space="preserve">Negative binomial regression was selected over zero-inflated negative binomial and Poisson models </w:t>
      </w:r>
      <w:r>
        <w:t xml:space="preserve">for both the intention-to-treat (ITT) analyses of both outcomes on the basis of the Akaike information </w:t>
      </w:r>
      <w:r>
        <w:t xml:space="preserve">criterion and was therefore also used for the per-protocol (PP) analyses, which excluded measurements </w:t>
      </w:r>
      <w:r>
        <w:t xml:space="preserve">made when the air purifiers were not running as planned. All analyses accounted for the crossover design, </w:t>
      </w:r>
      <w:r>
        <w:t xml:space="preserve">sensor type, first-order autocorrelation (lagged outcomes), and clustering within classroom via cluster-robust </w:t>
      </w:r>
      <w:r>
        <w:t xml:space="preserve">standard errors. We used maximum pseudolikelihood in the ITT and PP analyses to estimate and hence account </w:t>
      </w:r>
      <w:r>
        <w:t xml:space="preserve">for undefined lagged outcomes (e.g., the first measurement of the day). Exposure was defined as the </w:t>
      </w:r>
      <w:r>
        <w:t xml:space="preserve">time between outcome measurements. Treatment effect was estimated as rate ratio (RR), where RR&lt;1 </w:t>
      </w:r>
      <w:r>
        <w:t xml:space="preserve">disfavors the reference treatment of no air purification.</w:t>
      </w:r>
    </w:p>
    <w:p>
      <w:pPr>
        <w:jc w:val="both"/>
      </w:pPr>
      <w:r>
        <w:t/>
      </w:r>
      <w:r>
        <w:t xml:space="preserve">We used partialing-out lasso Poisson regression (Stata's xpopoisson command) to perform </w:t>
      </w:r>
      <w:r>
        <w:t xml:space="preserve">a prespecified exploratory analysis to identify time-varying covariates that may be associated </w:t>
      </w:r>
      <w:r>
        <w:t xml:space="preserve">with the primary outcome and assess the sensitivity of the treatment effect estimates to these </w:t>
      </w:r>
      <w:r>
        <w:t xml:space="preserve">covariates. The lasso penalty was chosen using 10-fold cross-validation to select among the </w:t>
      </w:r>
      <w:r>
        <w:t xml:space="preserve">following covariates: indoor relative humidity; the school's existing ventilation system setting </w:t>
      </w:r>
      <w:r>
        <w:t xml:space="preserve">(low or high); weekday; baseline morning PM2.5 (modelled on the log scale); number of students </w:t>
      </w:r>
      <w:r>
        <w:t xml:space="preserve">attending class; and mean outdoor temperature. We had planned to include indoor temperature and </w:t>
      </w:r>
      <w:r>
        <w:t xml:space="preserve">indicators of undefined lagged PM2.5 but had to omit these due to nonconvergence. We had also </w:t>
      </w:r>
      <w:r>
        <w:t xml:space="preserve">planned to include indoor CO2 and sound level but had to omit these because many values were missing.</w:t>
      </w:r>
    </w:p>
    <w:p>
      <w:pPr>
        <w:jc w:val="both"/>
      </w:pPr>
      <w:r>
        <w:t/>
      </w:r>
      <w:r>
        <w:t xml:space="preserve">Finally, we tested for superiority of any versus no air purification, and for noninferiority of portable </w:t>
      </w:r>
      <w:r>
        <w:t xml:space="preserve">versus ceiling-mounted air purifiers using a prespecified margin of RR=1.4. We report two-sided 95% </w:t>
      </w:r>
      <w:r>
        <w:t xml:space="preserve">confidence intervals and use the conventional p&lt;0.05 significance criterion throughout.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Intention-to-treat 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1.11]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0.89]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0.011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per-protocol 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1.14]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0.87]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0.005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1.15]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The estimation sample was restricted to exclude measurements made when air purifiers were not running as planned.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time-varying covariate adjusted analysis</w:t>
      </w:r>
    </w:p>
    <w:p>
      <w:pPr>
        <w:jc w:val="both"/>
      </w:pPr>
      <w:r>
        <w:t/>
      </w:r>
      <w:r>
        <w:t xml:space="preserve">The time-varying covariates selected by lasso were indoor relative humidity, weekday, baseline morning PM2.5, </w:t>
      </w:r>
      <w:r>
        <w:t xml:space="preserve">and the school's existing ventilation system setting.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0.93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[0.77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0.78]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the time-varying covariates selected by the cross-validated lasso, and clustering within classroom. RR &lt; 1 disfavors the reference (no air purification).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Treatment effect estimates are consistent across the three analyses. Portable air purifiers are estimated </w:t>
      </w:r>
      <w:r>
        <w:t xml:space="preserve">to be superior to no air purifiers with respect to PM2.5 but not VOC. For this reason, (any) air purification </w:t>
      </w:r>
      <w:r>
        <w:t xml:space="preserve">is estimated to be superior to no air purification with respect to PM2.5. Portable air purifiers are estimated </w:t>
      </w:r>
      <w:r>
        <w:t xml:space="preserve">to be noninferior to ceiling-mounted air purifiers (in fact, they appear to be superior to them).</w:t>
      </w:r>
    </w:p>
    <w:p>
      <w:pPr>
        <w:jc w:val="both"/>
      </w:pPr>
      <w:r>
        <w:t/>
      </w:r>
      <w:r>
        <w:t xml:space="preserve">The results of the prespecified exploratory analysis of the effect of time-varying covariates should be </w:t>
      </w:r>
      <w:r>
        <w:t xml:space="preserve">interpreted cautiously because we were unable to account for undefined lags and could not include all </w:t>
      </w:r>
      <w:r>
        <w:t xml:space="preserve">time-varying covariates. Further, it was not possible to use a negative binomial model for this analysis, </w:t>
      </w:r>
      <w:r>
        <w:t xml:space="preserve">as was selected over the Poisson model on the basis of AIC in the main analyses, because Stata does not currently </w:t>
      </w:r>
      <w:r>
        <w:t xml:space="preserve">provide xpopoisson-like commands for negative binomial models.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