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21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8cc6731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methods text.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