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w:p>
      <w:pPr>
        <w:pStyle w:val="Title"/>
      </w:pPr>
      <w:r>
        <w:t/>
      </w:r>
      <w:r>
        <w:t xml:space="preserve"/>
      </w:r>
      <w:r>
        <w:t xml:space="preserve">TODO: Trial Name</w:t>
      </w:r>
    </w:p>
    <w:p>
      <w:pPr>
        <w:jc w:val="both"/>
      </w:pPr>
      <w:r>
        <w:t/>
      </w:r>
      <w:r>
        <w:t xml:space="preserve">TODO: Name and institution</w:t>
      </w:r>
      <w:r>
        <w:t xml:space="preserve">(</w:t>
      </w:r>
      <w:r>
        <w:t xml:space="preserve">21 Aug 2024</w:t>
      </w:r>
      <w:r>
        <w:t xml:space="preserve">)</w:t>
      </w:r>
    </w:p>
    <w:p>
      <w:pPr>
        <w:jc w:val="both"/>
      </w:pPr>
      <w:r>
        <w:t/>
      </w:r>
      <w:r>
        <w:t xml:space="preserve">Generated using git revision: </w:t>
      </w:r>
      <w:r>
        <w:t xml:space="preserve">8cc6731</w:t>
      </w:r>
    </w:p>
    <w:p>
      <w:pPr>
        <w:pStyle w:val="Heading1"/>
      </w:pPr>
      <w:r>
        <w:t/>
      </w:r>
      <w:r>
        <w:t xml:space="preserve"/>
      </w:r>
      <w:r>
        <w:t xml:space="preserve">Introduction</w:t>
      </w:r>
    </w:p>
    <w:p>
      <w:pPr>
        <w:jc w:val="both"/>
      </w:pPr>
      <w:r>
        <w:t/>
      </w:r>
      <w:r>
        <w:t xml:space="preserve">This document presents methods and results for the TODO trial.</w:t>
      </w:r>
    </w:p>
    <w:p>
      <w:pPr>
        <w:pStyle w:val="Heading1"/>
      </w:pPr>
      <w:r>
        <w:t/>
      </w:r>
      <w:r>
        <w:t xml:space="preserve"/>
      </w:r>
      <w:r>
        <w:t xml:space="preserve">Methods</w:t>
      </w:r>
    </w:p>
    <w:p>
      <w:pPr>
        <w:jc w:val="both"/>
      </w:pPr>
      <w:r>
        <w:t/>
      </w:r>
      <w:r>
        <w:t xml:space="preserve">TODO: Write methods text.</w:t>
      </w:r>
    </w:p>
    <w:p>
      <w:pPr>
        <w:pStyle w:val="Heading1"/>
      </w:pPr>
      <w:r>
        <w:t/>
      </w:r>
      <w:r>
        <w:t xml:space="preserve"/>
      </w:r>
      <w:r>
        <w:t xml:space="preserve">Results</w:t>
      </w:r>
    </w:p>
    <w:p>
      <w:pPr>
        <w:pStyle w:val="Heading2"/>
      </w:pPr>
      <w:r>
        <w:t/>
      </w:r>
      <w:r>
        <w:t xml:space="preserve"/>
      </w:r>
      <w:r>
        <w:t xml:space="preserve">Estimates of treatment effect for the primary and secondary analyses</w:t>
      </w:r>
    </w:p>
    <w:tbl>
      <w:tblPr>
        <w:tblStyle w:val="TableGrid"/>
        <w:tblW w:w="0" w:type="auto"/>
      </w:tblPr>
      <w:tblGrid>
        <w:gridCol w:w="780"/>
        <w:gridCol w:w="780"/>
        <w:gridCol w:w="780"/>
        <w:gridCol w:w="780"/>
        <w:gridCol w:w="780"/>
        <w:gridCol w:w="780"/>
        <w:gridCol w:w="780"/>
        <w:gridCol w:w="780"/>
        <w:gridCol w:w="780"/>
        <w:gridCol w:w="780"/>
        <w:gridCol w:w="780"/>
        <w:gridCol w:w="780"/>
      </w:tblGrid>
      <w:tr>
        <w:tc>
          <w:tcPr>
            <w:gridSpan w:val="12"/>
            <w:tcBorders>
              <w:top w:val="nil" w:color="000000"/>
              <w:left w:val="nil" w:color="000000"/>
              <w:bottom w:val="single" w:color="000000"/>
              <w:right w:val="nil" w:color="000000"/>
            </w:tcBorders>
          </w:tcPr>
          <w:p>
            <w:pPr>
              <w:spacing w:after="0"/>
            </w:pPr>
            <w:r>
              <w:t xml:space="preserve">Estimates of treatment effect for the primary and secondary outcomes</w:t>
            </w:r>
          </w:p>
        </w:tc>
      </w:tr>
      <w:tr>
        <w:tc>
          <w:tcPr>
            <w:tcW w:w="0" w:type="auto"/>
            <w:tcBorders>
              <w:top w:val="single" w:color="000000"/>
              <w:left w:val="nil" w:color="000000"/>
              <w:bottom w:val="nil" w:color="000000"/>
              <w:right w:val="nil" w:color="000000"/>
            </w:tcBorders>
          </w:tcPr>
          <w:p>
            <w:pPr>
              <w:spacing w:after="0"/>
            </w:pPr>
          </w:p>
        </w:tc>
        <w:tc>
          <w:tcPr>
            <w:tcW w:w="0" w:type="auto"/>
            <w:tcBorders>
              <w:top w:val="single" w:color="000000"/>
              <w:left w:val="nil" w:color="000000"/>
              <w:bottom w:val="nil" w:color="000000"/>
              <w:right w:val="nil" w:color="000000"/>
            </w:tcBorders>
            <w:vAlign w:val="bottom"/>
          </w:tcPr>
          <w:p>
            <w:pPr>
              <w:spacing w:after="0"/>
              <w:jc w:val="right"/>
            </w:pPr>
            <w:r>
              <w:rPr>
                <w:sz w:val="18"/>
              </w:rPr>
              <w:t xml:space="preserve">None</w:t>
            </w:r>
          </w:p>
        </w:tc>
        <w:tc>
          <w:tcPr>
            <w:tcW w:w="0" w:type="auto"/>
            <w:tcBorders>
              <w:top w:val="single" w:color="000000"/>
              <w:left w:val="nil" w:color="000000"/>
              <w:bottom w:val="nil" w:color="000000"/>
              <w:right w:val="nil" w:color="000000"/>
            </w:tcBorders>
            <w:vAlign w:val="bottom"/>
          </w:tcPr>
          <w:p>
            <w:pPr>
              <w:spacing w:after="0"/>
              <w:jc w:val="right"/>
            </w:pPr>
            <w:r>
              <w:rPr>
                <w:sz w:val="18"/>
              </w:rPr>
              <w:t xml:space="preserve">Ceiling</w:t>
            </w:r>
          </w:p>
        </w:tc>
        <w:tc>
          <w:tcPr>
            <w:tcW w:w="0" w:type="auto"/>
            <w:tcBorders>
              <w:top w:val="single" w:color="000000"/>
              <w:left w:val="nil" w:color="000000"/>
              <w:bottom w:val="nil" w:color="000000"/>
              <w:right w:val="nil" w:color="000000"/>
            </w:tcBorders>
            <w:vAlign w:val="bottom"/>
          </w:tcPr>
          <w:p>
            <w:pPr>
              <w:spacing w:after="0"/>
              <w:jc w:val="right"/>
            </w:pPr>
            <w:r>
              <w:rPr>
                <w:sz w:val="18"/>
              </w:rPr>
              <w:t xml:space="preserve">Portable</w:t>
            </w:r>
          </w:p>
        </w:tc>
        <w:tc>
          <w:tcPr>
            <w:tcW w:w="0" w:type="auto"/>
            <w:gridSpan w:val="3"/>
            <w:tcBorders>
              <w:top w:val="single" w:color="000000"/>
              <w:left w:val="nil" w:color="000000"/>
              <w:bottom w:val="nil" w:color="000000"/>
              <w:right w:val="nil" w:color="000000"/>
            </w:tcBorders>
            <w:vAlign w:val="bottom"/>
          </w:tcPr>
          <w:p>
            <w:pPr>
              <w:spacing w:after="0"/>
              <w:jc w:val="center"/>
            </w:pPr>
            <w:r>
              <w:rPr>
                <w:sz w:val="18"/>
              </w:rPr>
              <w:t xml:space="preserve">Ceiling</w:t>
            </w:r>
          </w:p>
        </w:tc>
        <w:tc>
          <w:tcPr>
            <w:tcW w:w="0" w:type="auto"/>
            <w:gridSpan w:val="3"/>
            <w:tcBorders>
              <w:top w:val="single" w:color="000000"/>
              <w:left w:val="nil" w:color="000000"/>
              <w:bottom w:val="nil" w:color="000000"/>
              <w:right w:val="nil" w:color="000000"/>
            </w:tcBorders>
            <w:vAlign w:val="bottom"/>
          </w:tcPr>
          <w:p>
            <w:pPr>
              <w:spacing w:after="0"/>
              <w:jc w:val="center"/>
            </w:pPr>
            <w:r>
              <w:rPr>
                <w:sz w:val="18"/>
              </w:rPr>
              <w:t xml:space="preserve">Portable</w:t>
            </w:r>
          </w:p>
        </w:tc>
        <w:tc>
          <w:tcPr>
            <w:tcW w:w="0" w:type="auto"/>
            <w:tcBorders>
              <w:top w:val="single" w:color="000000"/>
              <w:left w:val="nil" w:color="000000"/>
              <w:bottom w:val="nil" w:color="000000"/>
              <w:right w:val="nil" w:color="000000"/>
            </w:tcBorders>
            <w:vAlign w:val="bottom"/>
          </w:tcPr>
          <w:p>
            <w:pPr>
              <w:spacing w:after="0"/>
              <w:jc w:val="right"/>
            </w:pPr>
            <w:r>
              <w:rPr>
                <w:sz w:val="18"/>
              </w:rPr>
              <w:t xml:space="preserve">Superiority of air purification</w:t>
            </w:r>
          </w:p>
        </w:tc>
        <w:tc>
          <w:tcPr>
            <w:tcW w:w="0" w:type="auto"/>
            <w:tcBorders>
              <w:top w:val="single" w:color="000000"/>
              <w:left w:val="nil" w:color="000000"/>
              <w:bottom w:val="nil" w:color="000000"/>
              <w:right w:val="nil" w:color="000000"/>
            </w:tcBorders>
            <w:vAlign w:val="bottom"/>
          </w:tcPr>
          <w:p>
            <w:pPr>
              <w:spacing w:after="0"/>
              <w:jc w:val="right"/>
            </w:pPr>
            <w:r>
              <w:rPr>
                <w:sz w:val="18"/>
              </w:rPr>
              <w:t xml:space="preserve">Noninferiority (portable vs ceiling)</w:t>
            </w:r>
          </w:p>
        </w:tc>
      </w:tr>
      <w:tr>
        <w:tc>
          <w:tcPr>
            <w:tcW w:w="0" w:type="auto"/>
            <w:tcBorders>
              <w:top w:val="nil" w:color="000000"/>
              <w:left w:val="nil" w:color="000000"/>
              <w:bottom w:val="single" w:color="000000"/>
              <w:right w:val="nil" w:color="000000"/>
            </w:tcBorders>
          </w:tcPr>
          <w:p>
            <w:pPr>
              <w:spacing w:after="0"/>
            </w:pPr>
          </w:p>
        </w:tc>
        <w:tc>
          <w:tcPr>
            <w:tcW w:w="0" w:type="auto"/>
            <w:tcBorders>
              <w:top w:val="nil" w:color="000000"/>
              <w:left w:val="nil" w:color="000000"/>
              <w:bottom w:val="single" w:color="000000"/>
              <w:right w:val="nil" w:color="000000"/>
            </w:tcBorders>
            <w:vAlign w:val="bottom"/>
          </w:tcPr>
          <w:p>
            <w:pPr>
              <w:spacing w:after="0"/>
              <w:jc w:val="right"/>
            </w:pPr>
            <w:r>
              <w:rPr>
                <w:sz w:val="18"/>
              </w:rPr>
              <w:t xml:space="preserve">Mean</w:t>
            </w:r>
          </w:p>
        </w:tc>
        <w:tc>
          <w:tcPr>
            <w:tcW w:w="0" w:type="auto"/>
            <w:tcBorders>
              <w:top w:val="nil" w:color="000000"/>
              <w:left w:val="nil" w:color="000000"/>
              <w:bottom w:val="single" w:color="000000"/>
              <w:right w:val="nil" w:color="000000"/>
            </w:tcBorders>
            <w:vAlign w:val="bottom"/>
          </w:tcPr>
          <w:p>
            <w:pPr>
              <w:spacing w:after="0"/>
              <w:jc w:val="right"/>
            </w:pPr>
            <w:r>
              <w:rPr>
                <w:sz w:val="18"/>
              </w:rPr>
              <w:t xml:space="preserve">Mean</w:t>
            </w:r>
          </w:p>
        </w:tc>
        <w:tc>
          <w:tcPr>
            <w:tcW w:w="0" w:type="auto"/>
            <w:tcBorders>
              <w:top w:val="nil" w:color="000000"/>
              <w:left w:val="nil" w:color="000000"/>
              <w:bottom w:val="single" w:color="000000"/>
              <w:right w:val="nil" w:color="000000"/>
            </w:tcBorders>
            <w:vAlign w:val="bottom"/>
          </w:tcPr>
          <w:p>
            <w:pPr>
              <w:spacing w:after="0"/>
              <w:jc w:val="right"/>
            </w:pPr>
            <w:r>
              <w:rPr>
                <w:sz w:val="18"/>
              </w:rPr>
              <w:t xml:space="preserve">Mean</w:t>
            </w:r>
          </w:p>
        </w:tc>
        <w:tc>
          <w:tcPr>
            <w:tcW w:w="0" w:type="auto"/>
            <w:tcBorders>
              <w:top w:val="nil" w:color="000000"/>
              <w:left w:val="nil" w:color="000000"/>
              <w:bottom w:val="single" w:color="000000"/>
              <w:right w:val="nil" w:color="000000"/>
            </w:tcBorders>
            <w:vAlign w:val="bottom"/>
          </w:tcPr>
          <w:p>
            <w:pPr>
              <w:spacing w:after="0"/>
              <w:jc w:val="right"/>
            </w:pPr>
            <w:r>
              <w:rPr>
                <w:sz w:val="18"/>
              </w:rPr>
              <w:t xml:space="preserve">RR</w:t>
            </w:r>
          </w:p>
        </w:tc>
        <w:tc>
          <w:tcPr>
            <w:tcW w:w="0" w:type="auto"/>
            <w:tcBorders>
              <w:top w:val="nil" w:color="000000"/>
              <w:left w:val="nil" w:color="000000"/>
              <w:bottom w:val="single" w:color="000000"/>
              <w:right w:val="nil" w:color="000000"/>
            </w:tcBorders>
            <w:vAlign w:val="bottom"/>
          </w:tcPr>
          <w:p>
            <w:pPr>
              <w:spacing w:after="0"/>
              <w:jc w:val="right"/>
            </w:pPr>
            <w:r>
              <w:rPr>
                <w:sz w:val="18"/>
              </w:rPr>
              <w:t xml:space="preserve">[95%</w:t>
            </w:r>
          </w:p>
        </w:tc>
        <w:tc>
          <w:tcPr>
            <w:tcW w:w="0" w:type="auto"/>
            <w:tcBorders>
              <w:top w:val="nil" w:color="000000"/>
              <w:left w:val="nil" w:color="000000"/>
              <w:bottom w:val="single" w:color="000000"/>
              <w:right w:val="nil" w:color="000000"/>
            </w:tcBorders>
            <w:vAlign w:val="bottom"/>
          </w:tcPr>
          <w:p>
            <w:pPr>
              <w:spacing w:after="0"/>
              <w:jc w:val="right"/>
            </w:pPr>
            <w:r>
              <w:rPr>
                <w:sz w:val="18"/>
              </w:rPr>
              <w:t xml:space="preserve">CI]</w:t>
            </w:r>
          </w:p>
        </w:tc>
        <w:tc>
          <w:tcPr>
            <w:tcW w:w="0" w:type="auto"/>
            <w:tcBorders>
              <w:top w:val="nil" w:color="000000"/>
              <w:left w:val="nil" w:color="000000"/>
              <w:bottom w:val="single" w:color="000000"/>
              <w:right w:val="nil" w:color="000000"/>
            </w:tcBorders>
            <w:vAlign w:val="bottom"/>
          </w:tcPr>
          <w:p>
            <w:pPr>
              <w:spacing w:after="0"/>
              <w:jc w:val="right"/>
            </w:pPr>
            <w:r>
              <w:rPr>
                <w:sz w:val="18"/>
              </w:rPr>
              <w:t xml:space="preserve">RR</w:t>
            </w:r>
          </w:p>
        </w:tc>
        <w:tc>
          <w:tcPr>
            <w:tcW w:w="0" w:type="auto"/>
            <w:tcBorders>
              <w:top w:val="nil" w:color="000000"/>
              <w:left w:val="nil" w:color="000000"/>
              <w:bottom w:val="single" w:color="000000"/>
              <w:right w:val="nil" w:color="000000"/>
            </w:tcBorders>
            <w:vAlign w:val="bottom"/>
          </w:tcPr>
          <w:p>
            <w:pPr>
              <w:spacing w:after="0"/>
              <w:jc w:val="right"/>
            </w:pPr>
            <w:r>
              <w:rPr>
                <w:sz w:val="18"/>
              </w:rPr>
              <w:t xml:space="preserve">[95%</w:t>
            </w:r>
          </w:p>
        </w:tc>
        <w:tc>
          <w:tcPr>
            <w:tcW w:w="0" w:type="auto"/>
            <w:tcBorders>
              <w:top w:val="nil" w:color="000000"/>
              <w:left w:val="nil" w:color="000000"/>
              <w:bottom w:val="single" w:color="000000"/>
              <w:right w:val="nil" w:color="000000"/>
            </w:tcBorders>
            <w:vAlign w:val="bottom"/>
          </w:tcPr>
          <w:p>
            <w:pPr>
              <w:spacing w:after="0"/>
              <w:jc w:val="right"/>
            </w:pPr>
            <w:r>
              <w:rPr>
                <w:sz w:val="18"/>
              </w:rPr>
              <w:t xml:space="preserve">CI]</w:t>
            </w:r>
          </w:p>
        </w:tc>
        <w:tc>
          <w:tcPr>
            <w:tcW w:w="0" w:type="auto"/>
            <w:tcBorders>
              <w:top w:val="nil" w:color="000000"/>
              <w:left w:val="nil" w:color="000000"/>
              <w:bottom w:val="single" w:color="000000"/>
              <w:right w:val="nil" w:color="000000"/>
            </w:tcBorders>
          </w:tcPr>
          <w:p>
            <w:pPr>
              <w:spacing w:after="0"/>
            </w:pPr>
          </w:p>
        </w:tc>
        <w:tc>
          <w:tcPr>
            <w:tcW w:w="0" w:type="auto"/>
            <w:tcBorders>
              <w:top w:val="nil" w:color="000000"/>
              <w:left w:val="nil" w:color="000000"/>
              <w:bottom w:val="single" w:color="000000"/>
              <w:right w:val="nil" w:color="000000"/>
            </w:tcBorders>
          </w:tcPr>
          <w:p>
            <w:pPr>
              <w:spacing w:after="0"/>
            </w:pPr>
          </w:p>
        </w:tc>
      </w:tr>
      <w:tr>
        <w:tc>
          <w:tcPr>
            <w:tcW w:w="0" w:type="auto"/>
            <w:tcBorders>
              <w:top w:val="single" w:color="000000"/>
              <w:left w:val="nil" w:color="000000"/>
              <w:bottom w:val="nil" w:color="000000"/>
              <w:right w:val="nil" w:color="000000"/>
            </w:tcBorders>
            <w:vAlign w:val="bottom"/>
          </w:tcPr>
          <w:p>
            <w:pPr>
              <w:spacing w:after="0"/>
              <w:jc w:val="left"/>
            </w:pPr>
            <w:r>
              <w:rPr>
                <w:sz w:val="18"/>
              </w:rPr>
              <w:t xml:space="preserve">PM2.5</w:t>
            </w:r>
          </w:p>
        </w:tc>
        <w:tc>
          <w:tcPr>
            <w:tcW w:w="0" w:type="auto"/>
            <w:tcBorders>
              <w:top w:val="single" w:color="000000"/>
              <w:left w:val="nil" w:color="000000"/>
              <w:bottom w:val="nil" w:color="000000"/>
              <w:right w:val="nil" w:color="000000"/>
            </w:tcBorders>
            <w:vAlign w:val="bottom"/>
          </w:tcPr>
          <w:p>
            <w:pPr>
              <w:spacing w:after="0"/>
              <w:jc w:val="right"/>
            </w:pPr>
            <w:r>
              <w:rPr>
                <w:sz w:val="18"/>
              </w:rPr>
              <w:t xml:space="preserve">1.03</w:t>
            </w:r>
          </w:p>
        </w:tc>
        <w:tc>
          <w:tcPr>
            <w:tcW w:w="0" w:type="auto"/>
            <w:tcBorders>
              <w:top w:val="single" w:color="000000"/>
              <w:left w:val="nil" w:color="000000"/>
              <w:bottom w:val="nil" w:color="000000"/>
              <w:right w:val="nil" w:color="000000"/>
            </w:tcBorders>
            <w:vAlign w:val="bottom"/>
          </w:tcPr>
          <w:p>
            <w:pPr>
              <w:spacing w:after="0"/>
              <w:jc w:val="right"/>
            </w:pPr>
            <w:r>
              <w:rPr>
                <w:sz w:val="18"/>
              </w:rPr>
              <w:t xml:space="preserve">0.86</w:t>
            </w:r>
          </w:p>
        </w:tc>
        <w:tc>
          <w:tcPr>
            <w:tcW w:w="0" w:type="auto"/>
            <w:tcBorders>
              <w:top w:val="single" w:color="000000"/>
              <w:left w:val="nil" w:color="000000"/>
              <w:bottom w:val="nil" w:color="000000"/>
              <w:right w:val="nil" w:color="000000"/>
            </w:tcBorders>
            <w:vAlign w:val="bottom"/>
          </w:tcPr>
          <w:p>
            <w:pPr>
              <w:spacing w:after="0"/>
              <w:jc w:val="right"/>
            </w:pPr>
            <w:r>
              <w:rPr>
                <w:sz w:val="18"/>
              </w:rPr>
              <w:t xml:space="preserve">0.55</w:t>
            </w:r>
          </w:p>
        </w:tc>
        <w:tc>
          <w:tcPr>
            <w:tcW w:w="0" w:type="auto"/>
            <w:tcBorders>
              <w:top w:val="single" w:color="000000"/>
              <w:left w:val="nil" w:color="000000"/>
              <w:bottom w:val="nil" w:color="000000"/>
              <w:right w:val="nil" w:color="000000"/>
            </w:tcBorders>
            <w:vAlign w:val="bottom"/>
          </w:tcPr>
          <w:p>
            <w:pPr>
              <w:spacing w:after="0"/>
              <w:jc w:val="right"/>
            </w:pPr>
            <w:r>
              <w:rPr>
                <w:sz w:val="18"/>
              </w:rPr>
              <w:t xml:space="preserve">0.85</w:t>
            </w:r>
          </w:p>
        </w:tc>
        <w:tc>
          <w:tcPr>
            <w:tcW w:w="0" w:type="auto"/>
            <w:tcBorders>
              <w:top w:val="single" w:color="000000"/>
              <w:left w:val="nil" w:color="000000"/>
              <w:bottom w:val="nil" w:color="000000"/>
              <w:right w:val="nil" w:color="000000"/>
            </w:tcBorders>
            <w:vAlign w:val="bottom"/>
          </w:tcPr>
          <w:p>
            <w:pPr>
              <w:spacing w:after="0"/>
              <w:jc w:val="right"/>
            </w:pPr>
            <w:r>
              <w:rPr>
                <w:sz w:val="18"/>
              </w:rPr>
              <w:t xml:space="preserve">[0.65</w:t>
            </w:r>
          </w:p>
        </w:tc>
        <w:tc>
          <w:tcPr>
            <w:tcW w:w="0" w:type="auto"/>
            <w:tcBorders>
              <w:top w:val="single" w:color="000000"/>
              <w:left w:val="nil" w:color="000000"/>
              <w:bottom w:val="nil" w:color="000000"/>
              <w:right w:val="nil" w:color="000000"/>
            </w:tcBorders>
            <w:vAlign w:val="bottom"/>
          </w:tcPr>
          <w:p>
            <w:pPr>
              <w:spacing w:after="0"/>
              <w:jc w:val="right"/>
            </w:pPr>
            <w:r>
              <w:rPr>
                <w:sz w:val="18"/>
              </w:rPr>
              <w:t xml:space="preserve">1.12]</w:t>
            </w:r>
          </w:p>
        </w:tc>
        <w:tc>
          <w:tcPr>
            <w:tcW w:w="0" w:type="auto"/>
            <w:tcBorders>
              <w:top w:val="single" w:color="000000"/>
              <w:left w:val="nil" w:color="000000"/>
              <w:bottom w:val="nil" w:color="000000"/>
              <w:right w:val="nil" w:color="000000"/>
            </w:tcBorders>
            <w:vAlign w:val="bottom"/>
          </w:tcPr>
          <w:p>
            <w:pPr>
              <w:spacing w:after="0"/>
              <w:jc w:val="right"/>
            </w:pPr>
            <w:r>
              <w:rPr>
                <w:sz w:val="18"/>
              </w:rPr>
              <w:t xml:space="preserve">0.70</w:t>
            </w:r>
          </w:p>
        </w:tc>
        <w:tc>
          <w:tcPr>
            <w:tcW w:w="0" w:type="auto"/>
            <w:tcBorders>
              <w:top w:val="single" w:color="000000"/>
              <w:left w:val="nil" w:color="000000"/>
              <w:bottom w:val="nil" w:color="000000"/>
              <w:right w:val="nil" w:color="000000"/>
            </w:tcBorders>
            <w:vAlign w:val="bottom"/>
          </w:tcPr>
          <w:p>
            <w:pPr>
              <w:spacing w:after="0"/>
              <w:jc w:val="right"/>
            </w:pPr>
            <w:r>
              <w:rPr>
                <w:sz w:val="18"/>
              </w:rPr>
              <w:t xml:space="preserve">[0.57</w:t>
            </w:r>
          </w:p>
        </w:tc>
        <w:tc>
          <w:tcPr>
            <w:tcW w:w="0" w:type="auto"/>
            <w:tcBorders>
              <w:top w:val="single" w:color="000000"/>
              <w:left w:val="nil" w:color="000000"/>
              <w:bottom w:val="nil" w:color="000000"/>
              <w:right w:val="nil" w:color="000000"/>
            </w:tcBorders>
            <w:vAlign w:val="bottom"/>
          </w:tcPr>
          <w:p>
            <w:pPr>
              <w:spacing w:after="0"/>
              <w:jc w:val="right"/>
            </w:pPr>
            <w:r>
              <w:rPr>
                <w:sz w:val="18"/>
              </w:rPr>
              <w:t xml:space="preserve">0.85]</w:t>
            </w:r>
          </w:p>
        </w:tc>
        <w:tc>
          <w:tcPr>
            <w:tcW w:w="0" w:type="auto"/>
            <w:tcBorders>
              <w:top w:val="single" w:color="000000"/>
              <w:left w:val="nil" w:color="000000"/>
              <w:bottom w:val="nil" w:color="000000"/>
              <w:right w:val="nil" w:color="000000"/>
            </w:tcBorders>
            <w:vAlign w:val="bottom"/>
          </w:tcPr>
          <w:p>
            <w:pPr>
              <w:spacing w:after="0"/>
              <w:jc w:val="right"/>
            </w:pPr>
            <w:r>
              <w:rPr>
                <w:sz w:val="18"/>
              </w:rPr>
              <w:t xml:space="preserve">&lt;0.001</w:t>
            </w:r>
          </w:p>
        </w:tc>
        <w:tc>
          <w:tcPr>
            <w:tcW w:w="0" w:type="auto"/>
            <w:tcBorders>
              <w:top w:val="single" w:color="000000"/>
              <w:left w:val="nil" w:color="000000"/>
              <w:bottom w:val="nil" w:color="000000"/>
              <w:right w:val="nil" w:color="000000"/>
            </w:tcBorders>
            <w:vAlign w:val="bottom"/>
          </w:tcPr>
          <w:p>
            <w:pPr>
              <w:spacing w:after="0"/>
              <w:jc w:val="right"/>
            </w:pPr>
            <w:r>
              <w:rPr>
                <w:sz w:val="18"/>
              </w:rPr>
              <w:t xml:space="preserve">&lt;0.001</w:t>
            </w:r>
          </w:p>
        </w:tc>
      </w:tr>
      <w:tr>
        <w:tc>
          <w:tcPr>
            <w:tcW w:w="0" w:type="auto"/>
            <w:tcBorders>
              <w:top w:val="nil" w:color="000000"/>
              <w:left w:val="nil" w:color="000000"/>
              <w:bottom w:val="single" w:color="000000"/>
              <w:right w:val="nil" w:color="000000"/>
            </w:tcBorders>
            <w:vAlign w:val="bottom"/>
          </w:tcPr>
          <w:p>
            <w:pPr>
              <w:spacing w:after="0"/>
              <w:jc w:val="left"/>
            </w:pPr>
            <w:r>
              <w:rPr>
                <w:sz w:val="18"/>
              </w:rPr>
              <w:t xml:space="preserve">VOC</w:t>
            </w:r>
          </w:p>
        </w:tc>
        <w:tc>
          <w:tcPr>
            <w:tcW w:w="0" w:type="auto"/>
            <w:tcBorders>
              <w:top w:val="nil" w:color="000000"/>
              <w:left w:val="nil" w:color="000000"/>
              <w:bottom w:val="single" w:color="000000"/>
              <w:right w:val="nil" w:color="000000"/>
            </w:tcBorders>
            <w:vAlign w:val="bottom"/>
          </w:tcPr>
          <w:p>
            <w:pPr>
              <w:spacing w:after="0"/>
              <w:jc w:val="right"/>
            </w:pPr>
            <w:r>
              <w:rPr>
                <w:sz w:val="18"/>
              </w:rPr>
              <w:t xml:space="preserve">192.39</w:t>
            </w:r>
          </w:p>
        </w:tc>
        <w:tc>
          <w:tcPr>
            <w:tcW w:w="0" w:type="auto"/>
            <w:tcBorders>
              <w:top w:val="nil" w:color="000000"/>
              <w:left w:val="nil" w:color="000000"/>
              <w:bottom w:val="single" w:color="000000"/>
              <w:right w:val="nil" w:color="000000"/>
            </w:tcBorders>
            <w:vAlign w:val="bottom"/>
          </w:tcPr>
          <w:p>
            <w:pPr>
              <w:spacing w:after="0"/>
              <w:jc w:val="right"/>
            </w:pPr>
            <w:r>
              <w:rPr>
                <w:sz w:val="18"/>
              </w:rPr>
              <w:t xml:space="preserve">197.78</w:t>
            </w:r>
          </w:p>
        </w:tc>
        <w:tc>
          <w:tcPr>
            <w:tcW w:w="0" w:type="auto"/>
            <w:tcBorders>
              <w:top w:val="nil" w:color="000000"/>
              <w:left w:val="nil" w:color="000000"/>
              <w:bottom w:val="single" w:color="000000"/>
              <w:right w:val="nil" w:color="000000"/>
            </w:tcBorders>
            <w:vAlign w:val="bottom"/>
          </w:tcPr>
          <w:p>
            <w:pPr>
              <w:spacing w:after="0"/>
              <w:jc w:val="right"/>
            </w:pPr>
            <w:r>
              <w:rPr>
                <w:sz w:val="18"/>
              </w:rPr>
              <w:t xml:space="preserve">202.85</w:t>
            </w:r>
          </w:p>
        </w:tc>
        <w:tc>
          <w:tcPr>
            <w:tcW w:w="0" w:type="auto"/>
            <w:tcBorders>
              <w:top w:val="nil" w:color="000000"/>
              <w:left w:val="nil" w:color="000000"/>
              <w:bottom w:val="single" w:color="000000"/>
              <w:right w:val="nil" w:color="000000"/>
            </w:tcBorders>
            <w:vAlign w:val="bottom"/>
          </w:tcPr>
          <w:p>
            <w:pPr>
              <w:spacing w:after="0"/>
              <w:jc w:val="right"/>
            </w:pPr>
            <w:r>
              <w:rPr>
                <w:sz w:val="18"/>
              </w:rPr>
              <w:t xml:space="preserve">1.05</w:t>
            </w:r>
          </w:p>
        </w:tc>
        <w:tc>
          <w:tcPr>
            <w:tcW w:w="0" w:type="auto"/>
            <w:tcBorders>
              <w:top w:val="nil" w:color="000000"/>
              <w:left w:val="nil" w:color="000000"/>
              <w:bottom w:val="single" w:color="000000"/>
              <w:right w:val="nil" w:color="000000"/>
            </w:tcBorders>
            <w:vAlign w:val="bottom"/>
          </w:tcPr>
          <w:p>
            <w:pPr>
              <w:spacing w:after="0"/>
              <w:jc w:val="right"/>
            </w:pPr>
            <w:r>
              <w:rPr>
                <w:sz w:val="18"/>
              </w:rPr>
              <w:t xml:space="preserve">[0.99</w:t>
            </w:r>
          </w:p>
        </w:tc>
        <w:tc>
          <w:tcPr>
            <w:tcW w:w="0" w:type="auto"/>
            <w:tcBorders>
              <w:top w:val="nil" w:color="000000"/>
              <w:left w:val="nil" w:color="000000"/>
              <w:bottom w:val="single" w:color="000000"/>
              <w:right w:val="nil" w:color="000000"/>
            </w:tcBorders>
            <w:vAlign w:val="bottom"/>
          </w:tcPr>
          <w:p>
            <w:pPr>
              <w:spacing w:after="0"/>
              <w:jc w:val="right"/>
            </w:pPr>
            <w:r>
              <w:rPr>
                <w:sz w:val="18"/>
              </w:rPr>
              <w:t xml:space="preserve">1.12]</w:t>
            </w:r>
          </w:p>
        </w:tc>
        <w:tc>
          <w:tcPr>
            <w:tcW w:w="0" w:type="auto"/>
            <w:tcBorders>
              <w:top w:val="nil" w:color="000000"/>
              <w:left w:val="nil" w:color="000000"/>
              <w:bottom w:val="single" w:color="000000"/>
              <w:right w:val="nil" w:color="000000"/>
            </w:tcBorders>
            <w:vAlign w:val="bottom"/>
          </w:tcPr>
          <w:p>
            <w:pPr>
              <w:spacing w:after="0"/>
              <w:jc w:val="right"/>
            </w:pPr>
            <w:r>
              <w:rPr>
                <w:sz w:val="18"/>
              </w:rPr>
              <w:t xml:space="preserve">1.03</w:t>
            </w:r>
          </w:p>
        </w:tc>
        <w:tc>
          <w:tcPr>
            <w:tcW w:w="0" w:type="auto"/>
            <w:tcBorders>
              <w:top w:val="nil" w:color="000000"/>
              <w:left w:val="nil" w:color="000000"/>
              <w:bottom w:val="single" w:color="000000"/>
              <w:right w:val="nil" w:color="000000"/>
            </w:tcBorders>
            <w:vAlign w:val="bottom"/>
          </w:tcPr>
          <w:p>
            <w:pPr>
              <w:spacing w:after="0"/>
              <w:jc w:val="right"/>
            </w:pPr>
            <w:r>
              <w:rPr>
                <w:sz w:val="18"/>
              </w:rPr>
              <w:t xml:space="preserve">[0.90</w:t>
            </w:r>
          </w:p>
        </w:tc>
        <w:tc>
          <w:tcPr>
            <w:tcW w:w="0" w:type="auto"/>
            <w:tcBorders>
              <w:top w:val="nil" w:color="000000"/>
              <w:left w:val="nil" w:color="000000"/>
              <w:bottom w:val="single" w:color="000000"/>
              <w:right w:val="nil" w:color="000000"/>
            </w:tcBorders>
            <w:vAlign w:val="bottom"/>
          </w:tcPr>
          <w:p>
            <w:pPr>
              <w:spacing w:after="0"/>
              <w:jc w:val="right"/>
            </w:pPr>
            <w:r>
              <w:rPr>
                <w:sz w:val="18"/>
              </w:rPr>
              <w:t xml:space="preserve">1.18]</w:t>
            </w:r>
          </w:p>
        </w:tc>
        <w:tc>
          <w:tcPr>
            <w:tcW w:w="0" w:type="auto"/>
            <w:tcBorders>
              <w:top w:val="nil" w:color="000000"/>
              <w:left w:val="nil" w:color="000000"/>
              <w:bottom w:val="single" w:color="000000"/>
              <w:right w:val="nil" w:color="000000"/>
            </w:tcBorders>
            <w:vAlign w:val="bottom"/>
          </w:tcPr>
          <w:p>
            <w:pPr>
              <w:spacing w:after="0"/>
              <w:jc w:val="right"/>
            </w:pPr>
            <w:r>
              <w:rPr>
                <w:sz w:val="18"/>
              </w:rPr>
              <w:t xml:space="preserve">0.136</w:t>
            </w:r>
          </w:p>
        </w:tc>
        <w:tc>
          <w:tcPr>
            <w:tcW w:w="0" w:type="auto"/>
            <w:tcBorders>
              <w:top w:val="nil" w:color="000000"/>
              <w:left w:val="nil" w:color="000000"/>
              <w:bottom w:val="single" w:color="000000"/>
              <w:right w:val="nil" w:color="000000"/>
            </w:tcBorders>
            <w:vAlign w:val="bottom"/>
          </w:tcPr>
          <w:p>
            <w:pPr>
              <w:spacing w:after="0"/>
              <w:jc w:val="right"/>
            </w:pPr>
            <w:r>
              <w:rPr>
                <w:sz w:val="18"/>
              </w:rPr>
              <w:t xml:space="preserve">&lt;0.001</w:t>
            </w:r>
          </w:p>
        </w:tc>
      </w:tr>
      <w:tr>
        <w:tc>
          <w:tcPr>
            <w:gridSpan w:val="12"/>
            <w:tcBorders>
              <w:top w:val="single" w:color="000000"/>
              <w:left w:val="nil" w:color="000000"/>
              <w:bottom w:val="nil" w:color="000000"/>
              <w:right w:val="nil" w:color="000000"/>
            </w:tcBorders>
          </w:tcPr>
          <w:p>
            <w:pPr>
              <w:spacing w:after="0"/>
            </w:pPr>
            <w:r>
              <w:rPr>
                <w:i w:val="true"/>
                <w:sz w:val="18"/>
              </w:rPr>
              <w:t xml:space="preserve">Sample means are unadjusted and do no account for the crossover design. Rate ratios (RRs) are adjusted for the crossover design, sensor type, first order autocorrelation, and clustering within classroom. Rate ratios (RRs) &lt; 1 disfavor the reference (no air purification).</w:t>
            </w:r>
          </w:p>
        </w:tc>
      </w:tr>
    </w:tbl>
    <w:p>
      <w:r>
        <w:t/>
      </w:r>
    </w:p>
    <w:p>
      <w:pPr>
        <w:jc w:val="both"/>
      </w:pPr>
      <w:r>
        <w:t/>
      </w:r>
      <w:r>
        <w:t xml:space="preserve">TODO: Add results.</w:t>
      </w:r>
    </w:p>
    <w:p>
      <w:pPr>
        <w:pStyle w:val="Heading1"/>
      </w:pPr>
      <w:r>
        <w:t/>
      </w:r>
      <w:r>
        <w:t xml:space="preserve"/>
      </w:r>
      <w:r>
        <w:t xml:space="preserve">References</w:t>
      </w:r>
    </w:p>
    <w:p>
      <w:pPr>
        <w:jc w:val="both"/>
      </w:pPr>
      <w:r>
        <w:t/>
      </w:r>
      <w:r>
        <w:t xml:space="preserve">TODO: Add references.</w:t>
      </w:r>
    </w:p>
    <w:p>
      <w:pPr>
        <w:pStyle w:val="Heading1"/>
      </w:pPr>
      <w:r>
        <w:t/>
      </w:r>
      <w:r>
        <w:t xml:space="preserve"/>
      </w:r>
      <w:r>
        <w:t xml:space="preserve">Appendix 1 — Protocol Deviations</w:t>
      </w:r>
    </w:p>
    <w:p>
      <w:pPr>
        <w:jc w:val="both"/>
      </w:pPr>
      <w:r>
        <w:t/>
      </w:r>
      <w:r>
        <w:t xml:space="preserve">TODO: Describe any protocol deviations.</w:t>
      </w:r>
    </w:p>
    <w:p>
      <w:pPr>
        <w:pStyle w:val="Heading1"/>
      </w:pPr>
      <w:r>
        <w:t/>
      </w:r>
      <w:r>
        <w:t xml:space="preserve"/>
      </w:r>
      <w:r>
        <w:t xml:space="preserve">Appendix 2 — Full Regression Results</w:t>
      </w:r>
    </w:p>
    <w:p>
      <w:pPr>
        <w:jc w:val="both"/>
      </w:pPr>
      <w:r>
        <w:t/>
      </w:r>
      <w:r>
        <w:t xml:space="preserve">TODO: Present full regression tables.</w:t>
      </w:r>
    </w:p>
    <w:sectPr>
      <w:pgSz w:w="12240" w:h="15840" w:code="1"/>
      <w:pgMar w:top="1440" w:right="1440" w:bottom="1440" w:left="1440"/>
    </w:sectPr>
  </w:body>
</w:document>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