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24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b1ce88f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random-effects logistic regression to estimate the relative odds of </w:t>
      </w:r>
      <w:r>
        <w:t xml:space="preserve">success for each of the process outcomes under the treatment versus control </w:t>
      </w:r>
      <w:r>
        <w:t xml:space="preserve">conditions. We modelled the clustering of multiple opportunities for success </w:t>
      </w:r>
      <w:r>
        <w:t xml:space="preserve">within each pregnancy using random-effects, and computed cluster-robust </w:t>
      </w:r>
      <w:r>
        <w:t xml:space="preserve">standard errors to account for the cluster-randomized design (i.e., clustering </w:t>
      </w:r>
      <w:r>
        <w:t xml:space="preserve">of pregnancies within clinics). No data were missing for these analyses.</w:t>
      </w:r>
    </w:p>
    <w:p>
      <w:pPr>
        <w:jc w:val="both"/>
      </w:pPr>
      <w:r>
        <w:t/>
      </w:r>
      <w:r>
        <w:t xml:space="preserve">While we randomized clusters by stratifying on district for administrative </w:t>
      </w:r>
      <w:r>
        <w:t xml:space="preserve">reasons, we judged prior to analysis that district may be prognostic for </w:t>
      </w:r>
      <w:r>
        <w:t xml:space="preserve">all outcomes, and therefore adjusted for district as a fixed effect in all </w:t>
      </w:r>
      <w:r>
        <w:t xml:space="preserve">analyses (CHMP 2015). Because we constrained the randomization by lab </w:t>
      </w:r>
      <w:r>
        <w:t xml:space="preserve">availability, clinic size (number of new enrollments), proportion of women </w:t>
      </w:r>
      <w:r>
        <w:t xml:space="preserve">aged &gt;40 years, and proportion of primiparous women, we also adjusted for </w:t>
      </w:r>
      <w:r>
        <w:t xml:space="preserve">these prognostic variables as fixed effects using individual- rather than </w:t>
      </w:r>
      <w:r>
        <w:t xml:space="preserve">cluster-level data where possible (Li 2017).</w:t>
      </w:r>
    </w:p>
    <w:p>
      <w:pPr>
        <w:jc w:val="both"/>
      </w:pPr>
      <w:r>
        <w:t/>
      </w:r>
      <w:r>
        <w:t xml:space="preserve">We followed 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p>
      <w:pPr>
        <w:pStyle w:val="Heading1"/>
      </w:pPr>
      <w:r>
        <w:t/>
      </w:r>
      <w:r>
        <w:t xml:space="preserve"/>
      </w:r>
      <w:r>
        <w:t xml:space="preserve">Appendix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