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26 Jun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23f0dca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the methods used to analyze the adverse pregnancy outcome </w:t>
      </w:r>
      <w:r>
        <w:t xml:space="preserve">and process outcome data for the eRegQual trial and presents the corresponding </w:t>
      </w:r>
      <w:r>
        <w:t xml:space="preserve">results.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used random-effects logistic regression to estimate the relative odds of </w:t>
      </w:r>
      <w:r>
        <w:t xml:space="preserve">success for each of the process outcomes under the treatment versus control </w:t>
      </w:r>
      <w:r>
        <w:t xml:space="preserve">conditions. We modelled the clustering of multiple opportunities for success </w:t>
      </w:r>
      <w:r>
        <w:t xml:space="preserve">within each pregnancy using random-effects, and computed cluster-robust </w:t>
      </w:r>
      <w:r>
        <w:t xml:space="preserve">standard errors to account for the cluster-randomized design (i.e., clustering </w:t>
      </w:r>
      <w:r>
        <w:t xml:space="preserve">of pregnancies within clinics). No data were missing for these analyses.</w:t>
      </w:r>
    </w:p>
    <w:p>
      <w:pPr>
        <w:jc w:val="both"/>
      </w:pPr>
      <w:r>
        <w:t/>
      </w:r>
      <w:r>
        <w:t xml:space="preserve">We adjusted for the stratification variable (CHMP 2015) and the variables used </w:t>
      </w:r>
      <w:r>
        <w:t xml:space="preserve">to constrain randomization (Li 2017) as fixed effects in all analyses, using </w:t>
      </w:r>
      <w:r>
        <w:t xml:space="preserve">individual- rather than cluster-level measurements where possible. We followed </w:t>
      </w:r>
      <w:r>
        <w:t xml:space="preserve">the intention-to-treat principle for all analyses: participants were </w:t>
      </w:r>
      <w:r>
        <w:t xml:space="preserve">analyzed in the arms to which they were randomized and — with the exception of </w:t>
      </w:r>
      <w:r>
        <w:t xml:space="preserve">the complete case analyses for the adverse pregnancy analysis — all participants </w:t>
      </w:r>
      <w:r>
        <w:t xml:space="preserve">were included in the analyses. We computed 95% confidence intervals and used the </w:t>
      </w:r>
      <w:r>
        <w:t xml:space="preserve">significance criterion P&lt;0.05 throughout. Statistical analyses were performed </w:t>
      </w:r>
      <w:r>
        <w:t xml:space="preserve">using Stata 16 (StataCorp LLC, College Station, Texas, USA).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Successful attendance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1.44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Successful hypertension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van Buuren, S. (2007). Multiple imputation of discrete and continuous data by </w:t>
      </w:r>
      <w:r>
        <w:t xml:space="preserve">fully conditional specification. Statistical methods in medical research, </w:t>
      </w:r>
      <w:r>
        <w:t xml:space="preserve">16(3), 219-242.</w:t>
      </w:r>
    </w:p>
    <w:p>
      <w:pPr>
        <w:jc w:val="both"/>
      </w:pPr>
      <w:r>
        <w:t/>
      </w:r>
      <w:r>
        <w:t xml:space="preserve">Li, F., Turner, E. L., Heagerty, P. J., Murray, D. M., Vollmer, W. M., &amp; </w:t>
      </w:r>
      <w:r>
        <w:t xml:space="preserve">DeLong, E. R. (2017). An evaluation of constrained randomization for the design </w:t>
      </w:r>
      <w:r>
        <w:t xml:space="preserve">and analysis of group‐randomized trials with binary outcomes. Statistics in </w:t>
      </w:r>
      <w:r>
        <w:t xml:space="preserve">medicine, 36(24), 3791-3806.</w:t>
      </w:r>
    </w:p>
    <w:p>
      <w:pPr>
        <w:jc w:val="both"/>
      </w:pPr>
      <w:r>
        <w:t/>
      </w:r>
      <w:r>
        <w:t xml:space="preserve">Little, R. J. (1988). A test of missing completely at random for multivariate </w:t>
      </w:r>
      <w:r>
        <w:t xml:space="preserve">data with missing values. Journal of the American statistical Association, </w:t>
      </w:r>
      <w:r>
        <w:t xml:space="preserve">83(404), 1198-1202.</w:t>
      </w:r>
    </w:p>
    <w:p>
      <w:pPr>
        <w:jc w:val="both"/>
      </w:pPr>
      <w:r>
        <w:t/>
      </w:r>
      <w:r>
        <w:t xml:space="preserve">Rubin, D. B. (2004). Multiple imputation for nonresponse in surveys (Vol. 81). </w:t>
      </w:r>
      <w:r>
        <w:t xml:space="preserve">John Wiley &amp; Sons.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