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9981b63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random-effects logistic regression to estimate the relative odds of </w:t>
      </w:r>
      <w:r>
        <w:t xml:space="preserve">success for each of the process outcomes under the treatment versus control </w:t>
      </w:r>
      <w:r>
        <w:t xml:space="preserve">conditions. We modelled the clustering of multiple opportunities for success </w:t>
      </w:r>
      <w:r>
        <w:t xml:space="preserve">within each pregnancy using random-effects, and computed cluster-robust </w:t>
      </w:r>
      <w:r>
        <w:t xml:space="preserve">standard errors to account for the cluster-randomized design (i.e., clustering </w:t>
      </w:r>
      <w:r>
        <w:t xml:space="preserve">of pregnancies within clinics).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