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1 Jul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1d65d39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the methods used to analyze the adverse pregnancy and </w:t>
      </w:r>
      <w:r>
        <w:t xml:space="preserve">process outcome data for the eRegQual trial and presents the results.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used logistic regression to estimate the relative odds of each of the process </w:t>
      </w:r>
      <w:r>
        <w:t xml:space="preserve">outcomes under the treatment versus control conditions. For outcomes measured at </w:t>
      </w:r>
      <w:r>
        <w:t xml:space="preserve">multiple time points, we modelled clustering within each pregnancy using </w:t>
      </w:r>
      <w:r>
        <w:t xml:space="preserve">random-effects, and computed cluster-robust standard errors to account for the </w:t>
      </w:r>
      <w:r>
        <w:t xml:space="preserve">cluster-randomized design. For outcomes measured at only one time point within </w:t>
      </w:r>
      <w:r>
        <w:t xml:space="preserve">each pregnancy, we accounted for the cluster-randomized design using random </w:t>
      </w:r>
      <w:r>
        <w:t xml:space="preserve">effects. For each of the process outcomes, we plotted marginal predictive </w:t>
      </w:r>
      <w:r>
        <w:t xml:space="preserve">probabilities of attendance or successful screening and management with respect </w:t>
      </w:r>
      <w:r>
        <w:t xml:space="preserve">to cluster size, laboratory availability, age, and parity. No data were missing </w:t>
      </w:r>
      <w:r>
        <w:t xml:space="preserve">for the process outcome analyses.</w:t>
      </w:r>
    </w:p>
    <w:p>
      <w:pPr>
        <w:jc w:val="both"/>
      </w:pPr>
      <w:r>
        <w:t/>
      </w:r>
      <w:r>
        <w:t xml:space="preserve">We adjusted for the stratification variable (CHMP 2015) and the variables used </w:t>
      </w:r>
      <w:r>
        <w:t xml:space="preserve">to constrain randomization (Li 2017) as fixed effects in all analyses, using </w:t>
      </w:r>
      <w:r>
        <w:t xml:space="preserve">individual- rather than cluster-level measurements where possible. We followed </w:t>
      </w:r>
      <w:r>
        <w:t xml:space="preserve">the intention-to-treat principle for all analyses: participants were </w:t>
      </w:r>
      <w:r>
        <w:t xml:space="preserve">analyzed in the arms to which they were randomized and — with the exception of </w:t>
      </w:r>
      <w:r>
        <w:t xml:space="preserve">the complete case analyses for the adverse pregnancy analysis — all participants </w:t>
      </w:r>
      <w:r>
        <w:t xml:space="preserve">were included in the analyses. We computed 95% confidence intervals and used the </w:t>
      </w:r>
      <w:r>
        <w:t xml:space="preserve">significance criterion P&lt;0.05 throughout. Statistical analyses were performed </w:t>
      </w:r>
      <w:r>
        <w:t xml:space="preserve">using Stata 16 (StataCorp LLC, College Station, Texas, USA). We masked the </w:t>
      </w:r>
      <w:r>
        <w:t xml:space="preserve">treatment allocation from the statistician during analysis.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Process outcomes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following figures show marginal predictive probabilities for each process </w:t>
      </w:r>
      <w:r>
        <w:t xml:space="preserve">outcome.</w:t>
      </w:r>
      <w:r>
        <w:drawing>
          <wp:inline distT="0" distB="0" distL="0" distR="0">
            <wp:extent cx="5943600" cy="43208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0819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p>
      <w:pPr>
        <w:jc w:val="both"/>
      </w:pPr>
      <w:r>
        <w:t/>
      </w:r>
      <w:r>
        <w:t xml:space="preserve">Li, F., Turner, E. L., Heagerty, P. J., Murray, D. M., Vollmer, W. M., &amp; </w:t>
      </w:r>
      <w:r>
        <w:t xml:space="preserve">DeLong, E. R. (2017). An evaluation of constrained randomization for the design </w:t>
      </w:r>
      <w:r>
        <w:t xml:space="preserve">and analysis of group‐randomized trials with binary outcomes. Statistics in </w:t>
      </w:r>
      <w:r>
        <w:t xml:space="preserve">medicine, 36(24), 3791-3806.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Rubin, D. B. (2004). Multiple imputation for nonresponse in surveys (Vol. 81). </w:t>
      </w:r>
      <w:r>
        <w:t xml:space="preserve">John Wiley &amp; Sons.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planned to use generalized estimating equations (GEEs) to account for the </w:t>
      </w:r>
      <w:r>
        <w:t xml:space="preserve">cluster-randomized design, but used random-effect logistic regression </w:t>
      </w:r>
      <w:r>
        <w:t xml:space="preserve">because it was necessary to analyze the process outcome data in which outcomes </w:t>
      </w:r>
      <w:r>
        <w:t xml:space="preserve">are clustered within pregnancy (over time) and within clinic. Stata's XTGEE </w:t>
      </w:r>
      <w:r>
        <w:t xml:space="preserve">command can compute robust standard errors that account for clustering within </w:t>
      </w:r>
      <w:r>
        <w:t xml:space="preserve">pregnancy, but not additionally at the clinic level. We chose to use a common </w:t>
      </w:r>
      <w:r>
        <w:t xml:space="preserve">model for all analyses, rather than use GEEs for some outcomes and logistic </w:t>
      </w:r>
      <w:r>
        <w:t xml:space="preserve">regressions for others. We planned to report risk ratios, but report odds ratios </w:t>
      </w:r>
      <w:r>
        <w:t xml:space="preserve">as provided by logistic regression. We did not plan to adjust for the </w:t>
      </w:r>
      <w:r>
        <w:t xml:space="preserve">stratification variable or the variables used as constraints in the </w:t>
      </w:r>
      <w:r>
        <w:t xml:space="preserve">randomization, but have done so based on guidance from the European Medicines </w:t>
      </w:r>
      <w:r>
        <w:t xml:space="preserve">Agency and research that was not available when the protocol was being </w:t>
      </w:r>
      <w:r>
        <w:t xml:space="preserve">developed. We planned to visually explore differences in process outcomes </w:t>
      </w:r>
      <w:r>
        <w:t xml:space="preserve">between clusters using spider graphs but judged that plots of marginal </w:t>
      </w:r>
      <w:r>
        <w:t xml:space="preserve">predictive probabilities show the required information more clearly and provide </w:t>
      </w:r>
      <w:r>
        <w:t xml:space="preserve">confidence intervals.</w:t>
      </w:r>
    </w:p>
    <w:p>
      <w:pPr>
        <w:pStyle w:val="Heading1"/>
      </w:pPr>
      <w:r>
        <w:t/>
      </w:r>
      <w:r>
        <w:t xml:space="preserve"/>
      </w:r>
      <w:r>
        <w:t xml:space="preserve">Appendix 3 — Full Process Outcome Results</w:t>
      </w:r>
    </w:p>
    <w:p>
      <w:pPr>
        <w:jc w:val="both"/>
      </w:pPr>
      <w:r>
        <w:t/>
      </w:r>
      <w:r>
        <w:t xml:space="preserve">The following tables show the full regression results for the process outcomes.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Successful attendance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Successful hypertension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48.99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Successful diabetes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Successful malpresentation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Odds Ratio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9.88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age_over_40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&gt;40 years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Primiparous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/lnsig2u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sigma_u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rho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