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2 Jul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aea6d55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health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50</w:t>
      </w:r>
      <w:r>
        <w:t xml:space="preserve"> multiply-imputed datasets. We imputed using </w:t>
      </w:r>
      <w:r>
        <w:t xml:space="preserve">the auxiliary variables trial arm, years of education, average monthly household </w:t>
      </w:r>
      <w:r>
        <w:t xml:space="preserve">income (transformed to the log scale due to the skewed distribution of income), </w:t>
      </w:r>
      <w:r>
        <w:t xml:space="preserve">body mass index, ultrasound availability, and the variables used as constraints </w:t>
      </w:r>
      <w:r>
        <w:t xml:space="preserve">in the randomization (cluster size, age, lab availability, and parity). We were </w:t>
      </w:r>
      <w:r>
        <w:t xml:space="preserve">not able to include auxiliary variables that indicated previous pregnancy with </w:t>
      </w:r>
      <w:r>
        <w:t xml:space="preserve">pre-eclampsia or previous history of GDM due to collinearity. We evaluated </w:t>
      </w:r>
      <w:r>
        <w:t xml:space="preserve">convergence of the imputation algorithm by inspecting trace plots and evaluated </w:t>
      </w:r>
      <w:r>
        <w:t xml:space="preserve">imputed data by inspecting kernel density and histograms comparing the </w:t>
      </w:r>
      <w:r>
        <w:t xml:space="preserve">distributions of imputed 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for the adverse pregnancy analysis — all participants </w:t>
      </w:r>
      <w:r>
        <w:t xml:space="preserve">were included in the analyses. We computed 95% confidence intervals and used the </w:t>
      </w:r>
      <w:r>
        <w:t xml:space="preserve">significance criterion P&lt;0.05 throughout. Statistical analyses were performed </w:t>
      </w:r>
      <w:r>
        <w:t xml:space="preserve">using Stata 16 (StataCorp LLC, College Station, Texas, USA). The statistician </w:t>
      </w:r>
      <w:r>
        <w:t xml:space="preserve">was not involved in data extraction and was blinded to treatment allocation </w:t>
      </w:r>
      <w:r>
        <w:t xml:space="preserve">during analysis. Protocol 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1.01</w:t>
      </w:r>
      <w:r>
        <w:t xml:space="preserve"> </w:t>
      </w:r>
      <w:r>
        <w:t xml:space="preserve">(95% CI </w:t>
      </w:r>
      <w:r>
        <w:t xml:space="preserve">0.89</w:t>
      </w:r>
      <w:r>
        <w:t xml:space="preserve"> to </w:t>
      </w:r>
      <w:r>
        <w:t xml:space="preserve"/>
      </w:r>
      <w:r>
        <w:t xml:space="preserve">1.15</w:t>
      </w:r>
      <w:r>
        <w:t xml:space="preserve">, P = </w:t>
      </w:r>
      <w:r>
        <w:t xml:space="preserve"/>
      </w:r>
      <w:r>
        <w:t xml:space="preserve">0.84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12.70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-34.83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1758.34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-5.57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142.99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-285.83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274.70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4.42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4.46e+59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14.81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21.68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-47.74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37.25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1.22e+08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-5.18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17.32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-41.08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26.81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664414.67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10.37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-26.99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13.66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924.66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