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09:07:3012 May 2020</w:t>
      </w:r>
      <w:r>
        <w:t xml:space="preserve">)</w:t>
      </w:r>
    </w:p>
    <w:p>
      <w:pPr>
        <w:jc w:val="both"/>
      </w:pPr>
      <w:r>
        <w:t/>
      </w:r>
      <w:r>
        <w:t xml:space="preserve">Git revision: </w:t>
      </w:r>
      <w:r>
        <w:t xml:space="preserve">8abf871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TODO: Write this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Because outcome data were missing for about a third of participants (see </w:t>
      </w:r>
      <w:r>
        <w:t xml:space="preserve">results), we used Little's tests (Little 1988) of the null hypotheses that </w:t>
      </w:r>
      <w:r>
        <w:t xml:space="preserve">missing values of the constituent outcomes were jointly missing completely at </w:t>
      </w:r>
      <w:r>
        <w:t xml:space="preserve">random (MCAR) and covariate-dependent missing (CDM). We then used multiple </w:t>
      </w:r>
      <w:r>
        <w:t xml:space="preserve">imputation via chained equations (van Buuren 2007) to create and analyze </w:t>
      </w:r>
      <w:r>
        <w:t xml:space="preserve"/>
      </w:r>
      <w:r>
        <w:t xml:space="preserve">5</w:t>
      </w:r>
      <w:r>
        <w:t xml:space="preserve"> multiply-imputed datasets. Methodologists </w:t>
      </w:r>
      <w:r>
        <w:t xml:space="preserve">currently regard multiple imputation as a state-of-the-art technique that </w:t>
      </w:r>
      <w:r>
        <w:t xml:space="preserve">is expected to reduce bias and increase precision relative to other missing </w:t>
      </w:r>
      <w:r>
        <w:t xml:space="preserve">data techniques. We imputed each of the constituent outcomes using the auxiliary </w:t>
      </w:r>
      <w:r>
        <w:t xml:space="preserve">variables age, BMI, years of education, average monthly household income </w:t>
      </w:r>
      <w:r>
        <w:t xml:space="preserve">(transformed to the log scale due to the highly skewed distribution of income), </w:t>
      </w:r>
      <w:r>
        <w:t xml:space="preserve">and variables that indicated whether a laboratory or ultrasound were available </w:t>
      </w:r>
      <w:r>
        <w:t xml:space="preserve">at the clinics; the variables included in the analysis described below were also </w:t>
      </w:r>
      <w:r>
        <w:t xml:space="preserve">included. We were not able to include auxiliary variables that indicated previous </w:t>
      </w:r>
      <w:r>
        <w:t xml:space="preserve">pregnancy with pre-eclampsia or previous history of GDM due to collinearity. </w:t>
      </w:r>
      <w:r>
        <w:t xml:space="preserve">We evaluated the convergence of the imputation algorithm by inspecting trace </w:t>
      </w:r>
      <w:r>
        <w:t xml:space="preserve">plots and evaluated imputed data by inspecting kernel density and bar plots </w:t>
      </w:r>
      <w:r>
        <w:t xml:space="preserve">comparing the distributions of imputed and complete case data.</w:t>
      </w:r>
    </w:p>
    <w:p>
      <w:pPr>
        <w:jc w:val="both"/>
      </w:pPr>
      <w:r>
        <w:t/>
      </w:r>
      <w:r>
        <w:t xml:space="preserve">For each imputed data set, we computed the composite outcome from the imputed </w:t>
      </w:r>
      <w:r>
        <w:t xml:space="preserve">constituent outcome data. An adverse pregnancy outcome was defined to have </w:t>
      </w:r>
      <w:r>
        <w:t xml:space="preserve">occurred if at least one of the constituent outcomes occurred, and not to have </w:t>
      </w:r>
      <w:r>
        <w:t xml:space="preserve">occurred if none of the constituent outcomes occurred. Because we imputed values </w:t>
      </w:r>
      <w:r>
        <w:t xml:space="preserve">of the constituent outcomes, none of the composite outcomes could be missing in </w:t>
      </w:r>
      <w:r>
        <w:t xml:space="preserve">the imputed data. For each imputed data set, we estimated an odds ratio to </w:t>
      </w:r>
      <w:r>
        <w:t xml:space="preserve">compare treatment to control, adjusting for the stratification variable as a </w:t>
      </w:r>
      <w:r>
        <w:t xml:space="preserve">fixed effect, using generalized estimating equations (GEE; binomial errors and </w:t>
      </w:r>
      <w:r>
        <w:t xml:space="preserve">logit link) to account for the cluster design. Estimates were then combined </w:t>
      </w:r>
      <w:r>
        <w:t xml:space="preserve">using Rubin's rules. For comparison, we also performed a complete case analysis </w:t>
      </w:r>
      <w:r>
        <w:t xml:space="preserve">under the MCAR assumption.</w:t>
      </w:r>
    </w:p>
    <w:p>
      <w:pPr>
        <w:jc w:val="both"/>
      </w:pPr>
      <w:r>
        <w:t/>
      </w:r>
      <w:r>
        <w:t xml:space="preserve">We followed the intention-to-treat principle: participants were analyzed in the </w:t>
      </w:r>
      <w:r>
        <w:t xml:space="preserve">arms to which they were randomized and — with the exception of the complete case </w:t>
      </w:r>
      <w:r>
        <w:t xml:space="preserve">analysis — all participants were included in the analyses. We computed 95% </w:t>
      </w:r>
      <w:r>
        <w:t xml:space="preserve">confidence intervals and used the significance criterion P&lt;0.05 throughout. </w:t>
      </w:r>
      <w:r>
        <w:t xml:space="preserve">Statistical analyses were performed using Stata 16 (StataCorp LLC, College </w:t>
      </w:r>
      <w:r>
        <w:t xml:space="preserve">Station, Texas, USA).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jc w:val="both"/>
      </w:pPr>
      <w:r>
        <w:t/>
      </w:r>
      <w:r>
        <w:t xml:space="preserve">Outcome data were missing for between </w:t>
      </w:r>
      <w:r>
        <w:t xml:space="preserve"/>
      </w:r>
      <w:r>
        <w:t xml:space="preserve">11.8</w:t>
      </w:r>
      <w:r>
        <w:t xml:space="preserve">% and </w:t>
      </w:r>
      <w:r>
        <w:t xml:space="preserve"/>
      </w:r>
      <w:r>
        <w:t xml:space="preserve">35.5</w:t>
      </w:r>
      <w:r>
        <w:t xml:space="preserve">% of the constituent </w:t>
      </w:r>
      <w:r>
        <w:t xml:space="preserve">outcomes, and </w:t>
      </w:r>
      <w:r>
        <w:t xml:space="preserve">33.8</w:t>
      </w:r>
      <w:r>
        <w:t xml:space="preserve">% of the </w:t>
      </w:r>
      <w:r>
        <w:t xml:space="preserve">composite outcome. We were unable to reject the MCAR and CDM hypotheses </w:t>
      </w:r>
      <w:r>
        <w:t xml:space="preserve">(P=</w:t>
      </w:r>
      <w:r>
        <w:t xml:space="preserve">0.15</w:t>
      </w:r>
      <w:r>
        <w:t xml:space="preserve"> and P=</w:t>
      </w:r>
      <w:r>
        <w:t xml:space="preserve"/>
      </w:r>
      <w:r>
        <w:t xml:space="preserve">0.64</w:t>
      </w:r>
      <w:r>
        <w:t xml:space="preserve">, respectively).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TODO: Main result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exp(b)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t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P&gt;|t|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8d9c30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9d5ed6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e1e1d3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ff4457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-13.28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Appendix</w:t>
      </w:r>
    </w:p>
    <w:p>
      <w:pPr>
        <w:jc w:val="both"/>
      </w:pPr>
      <w:r>
        <w:t/>
      </w:r>
      <w:r>
        <w:t xml:space="preserve">TODO: Write this</w:t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Little, R. J. (1988). A test of missing completely at random for multivariate </w:t>
      </w:r>
      <w:r>
        <w:t xml:space="preserve">data with missing values. Journal of the American statistical Association, </w:t>
      </w:r>
      <w:r>
        <w:t xml:space="preserve">83(404), 1198-1202.</w:t>
      </w:r>
    </w:p>
    <w:p>
      <w:pPr>
        <w:jc w:val="both"/>
      </w:pPr>
      <w:r>
        <w:t/>
      </w:r>
      <w:r>
        <w:t xml:space="preserve">van Buuren, S. (2007). Multiple imputation of discrete and continuous data by </w:t>
      </w:r>
      <w:r>
        <w:t xml:space="preserve">fully conditional specification. Statistical methods in medical research, </w:t>
      </w:r>
      <w:r>
        <w:t xml:space="preserve">16(3), 219-242.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