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13 May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ca3accf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data for the eRegQual trial and presents the corresponding 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Because outcome data were missing for about a third of participants (see </w:t>
      </w:r>
      <w:r>
        <w:t xml:space="preserve">results), we used Little's tests (Little 1988) of the null hypotheses that </w:t>
      </w:r>
      <w:r>
        <w:t xml:space="preserve">missing values of the constituent outcomes were jointly missing completely at </w:t>
      </w:r>
      <w:r>
        <w:t xml:space="preserve">random (MCAR) and covariate-dependent missing (CDM). We then used multiple </w:t>
      </w:r>
      <w:r>
        <w:t xml:space="preserve">imputation via chained equations (van Buuren 2007) to create and analyze </w:t>
      </w:r>
      <w:r>
        <w:t xml:space="preserve"/>
      </w:r>
      <w:r>
        <w:t xml:space="preserve">50</w:t>
      </w:r>
      <w:r>
        <w:t xml:space="preserve"> multiply-imputed datasets. We imputed each </w:t>
      </w:r>
      <w:r>
        <w:t xml:space="preserve">of the constituent outcomes using the auxiliary variables age, BMI, years of </w:t>
      </w:r>
      <w:r>
        <w:t xml:space="preserve">education, average monthly household income (transformed to the log scale due </w:t>
      </w:r>
      <w:r>
        <w:t xml:space="preserve">to the skewed distribution of income), and variables that indicated whether a </w:t>
      </w:r>
      <w:r>
        <w:t xml:space="preserve">laboratory or ultrasound were available at the clinics; the variables included </w:t>
      </w:r>
      <w:r>
        <w:t xml:space="preserve">in the analysis described below were also included. We were not able to include </w:t>
      </w:r>
      <w:r>
        <w:t xml:space="preserve">auxiliary variables that indicated previous pregnancy with pre-eclampsia or </w:t>
      </w:r>
      <w:r>
        <w:t xml:space="preserve">previous history of GDM due to collinearity. We evaluated the convergence of the </w:t>
      </w:r>
      <w:r>
        <w:t xml:space="preserve">imputation algorithm by inspecting trace plots and evaluated imputed data by </w:t>
      </w:r>
      <w:r>
        <w:t xml:space="preserve">inspecting kernel density and bar plots comparing the distributions of imputed </w:t>
      </w:r>
      <w:r>
        <w:t xml:space="preserve">and complete case data.</w:t>
      </w:r>
    </w:p>
    <w:p>
      <w:pPr>
        <w:jc w:val="both"/>
      </w:pPr>
      <w:r>
        <w:t/>
      </w:r>
      <w:r>
        <w:t xml:space="preserve">For each imputed data set, we computed the composite outcome from the imputed </w:t>
      </w:r>
      <w:r>
        <w:t xml:space="preserve">constituent outcome data. An adverse pregnancy outcome was defined to have </w:t>
      </w:r>
      <w:r>
        <w:t xml:space="preserve">occurred if at least one of the constituent outcomes occurred, and not to have </w:t>
      </w:r>
      <w:r>
        <w:t xml:space="preserve">occurred if none of the constituent outcomes occurred. For each imputed data </w:t>
      </w:r>
      <w:r>
        <w:t xml:space="preserve">set and outcome, we estimated a risk ratio to compare treatment to control, </w:t>
      </w:r>
      <w:r>
        <w:t xml:space="preserve">adjusted for the stratification variable as a fixed effect, and used </w:t>
      </w:r>
      <w:r>
        <w:t xml:space="preserve">generalized estimating equations (GEE; binomial errors and log link) to account </w:t>
      </w:r>
      <w:r>
        <w:t xml:space="preserve">for the cluster design. We combined estimates for each outcome using Rubin's </w:t>
      </w:r>
      <w:r>
        <w:t xml:space="preserve">rules (Rubin 2004). For comparison, we also performed a complete case analysis </w:t>
      </w:r>
      <w:r>
        <w:t xml:space="preserve">under the MCAR assumption. We estimated the intraclass correlation coefficient </w:t>
      </w:r>
      <w:r>
        <w:t xml:space="preserve">(ICC) using the complete cases.</w:t>
      </w:r>
    </w:p>
    <w:p>
      <w:pPr>
        <w:jc w:val="both"/>
      </w:pPr>
      <w:r>
        <w:t/>
      </w:r>
      <w:r>
        <w:t xml:space="preserve">We followed the intention-to-treat principle: participants were analyzed in the </w:t>
      </w:r>
      <w:r>
        <w:t xml:space="preserve">arms to which they were randomized and — with the exception of the complete case </w:t>
      </w:r>
      <w:r>
        <w:t xml:space="preserve">analyses — all participants were included in the analyses. We computed 95% </w:t>
      </w:r>
      <w:r>
        <w:t xml:space="preserve">confidence intervals and used the significance criterion P&lt;0.05 throughout. </w:t>
      </w:r>
      <w:r>
        <w:t xml:space="preserve">Statistical analyses were performed using Stata 16 (StataCorp LLC, College </w:t>
      </w:r>
      <w:r>
        <w:t xml:space="preserve">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Outcome data were missing for between </w:t>
      </w:r>
      <w:r>
        <w:t xml:space="preserve"/>
      </w:r>
      <w:r>
        <w:t xml:space="preserve">11.8</w:t>
      </w:r>
      <w:r>
        <w:t xml:space="preserve">% and </w:t>
      </w:r>
      <w:r>
        <w:t xml:space="preserve"/>
      </w:r>
      <w:r>
        <w:t xml:space="preserve">35.5</w:t>
      </w:r>
      <w:r>
        <w:t xml:space="preserve">% of the constituent </w:t>
      </w:r>
      <w:r>
        <w:t xml:space="preserve">outcomes, and </w:t>
      </w:r>
      <w:r>
        <w:t xml:space="preserve">33.8</w:t>
      </w:r>
      <w:r>
        <w:t xml:space="preserve">% of the </w:t>
      </w:r>
      <w:r>
        <w:t xml:space="preserve">composite outcome. We were unable to reject the MCAR and CDM hypotheses </w:t>
      </w:r>
      <w:r>
        <w:t xml:space="preserve">(P=</w:t>
      </w:r>
      <w:r>
        <w:t xml:space="preserve">0.15</w:t>
      </w:r>
      <w:r>
        <w:t xml:space="preserve"> and P=</w:t>
      </w:r>
      <w:r>
        <w:t xml:space="preserve"/>
      </w:r>
      <w:r>
        <w:t xml:space="preserve">0.64</w:t>
      </w:r>
      <w:r>
        <w:t xml:space="preserve">, respectively). Distributions </w:t>
      </w:r>
      <w:r>
        <w:t xml:space="preserve">of the original and the first five imputed data sets are shown in the Appendix. </w:t>
      </w:r>
      <w:r>
        <w:t xml:space="preserve">Table 1 shows the result of the adverse pregnancy outcome analysis. The risk </w:t>
      </w:r>
      <w:r>
        <w:t xml:space="preserve">ratio was estimated to be </w:t>
      </w:r>
      <w:r>
        <w:t xml:space="preserve">1.01</w:t>
      </w:r>
      <w:r>
        <w:t xml:space="preserve"> </w:t>
      </w:r>
      <w:r>
        <w:t xml:space="preserve">(95% CI </w:t>
      </w:r>
      <w:r>
        <w:t xml:space="preserve">0.92</w:t>
      </w:r>
      <w:r>
        <w:t xml:space="preserve"> to </w:t>
      </w:r>
      <w:r>
        <w:t xml:space="preserve"/>
      </w:r>
      <w:r>
        <w:t xml:space="preserve">1.11</w:t>
      </w:r>
      <w:r>
        <w:t xml:space="preserve">, P = </w:t>
      </w:r>
      <w:r>
        <w:t xml:space="preserve"/>
      </w:r>
      <w:r>
        <w:t xml:space="preserve">0.87</w:t>
      </w:r>
      <w:r>
        <w:t xml:space="preserve">). This compares to the </w:t>
      </w:r>
      <w:r>
        <w:t xml:space="preserve">complete case risk ratio of </w:t>
      </w:r>
      <w:r>
        <w:t xml:space="preserve">0.99</w:t>
      </w:r>
      <w:r>
        <w:t xml:space="preserve"> </w:t>
      </w:r>
      <w:r>
        <w:t xml:space="preserve">(95% CI </w:t>
      </w:r>
      <w:r>
        <w:t xml:space="preserve">0.91</w:t>
      </w:r>
      <w:r>
        <w:t xml:space="preserve"> to </w:t>
      </w:r>
      <w:r>
        <w:t xml:space="preserve"/>
      </w:r>
      <w:r>
        <w:t xml:space="preserve">1.08</w:t>
      </w:r>
      <w:r>
        <w:t xml:space="preserve">, P = </w:t>
      </w:r>
      <w:r>
        <w:t xml:space="preserve"/>
      </w:r>
      <w:r>
        <w:t xml:space="preserve">0.85</w:t>
      </w:r>
      <w:r>
        <w:t xml:space="preserve">). Tables 2–6 show results for </w:t>
      </w:r>
      <w:r>
        <w:t xml:space="preserve">the constituent outcomes. The ICC was estimated to be close to zero and no </w:t>
      </w:r>
      <w:r>
        <w:t xml:space="preserve">greater than </w:t>
      </w:r>
      <w:r>
        <w:t xml:space="preserve">0.007</w:t>
      </w:r>
      <w:r>
        <w:t xml:space="preserve"> (upper bound of </w:t>
      </w:r>
      <w:r>
        <w:t xml:space="preserve">95% CI).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Adverse pregnancy outcome (multiply-imputed result)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Risk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Anemia at birth (multiply-imputed result)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Risk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-11.61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Severe hypertension at birth (multiply-imputed result)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y2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Risk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18.87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-8.02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SGA undetected at birth (multiply-imputed result)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y3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Risk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-16.27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Malpresentation undetected at birth (multiply-imputed result)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y4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Risk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Large for gestational age (multiply-imputed result)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y5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Risk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-19.87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p>
      <w:pPr>
        <w:jc w:val="both"/>
      </w:pPr>
      <w:r>
        <w:t/>
      </w:r>
      <w:r>
        <w:t xml:space="preserve">The following figures show the distributions of the original and a selection of </w:t>
      </w:r>
      <w:r>
        <w:t xml:space="preserve">the imputed data.</w:t>
      </w:r>
      <w:r>
        <w:drawing>
          <wp:inline distT="0" distB="0" distL="0" distR="0">
            <wp:extent cx="5943600" cy="43226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619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