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18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4b52b9d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for cluster size and lab </w:t>
      </w:r>
      <w:r>
        <w:t xml:space="preserve">availability (variables used to constrain randomization; Li 2016) as fixed </w:t>
      </w:r>
      <w:r>
        <w:t xml:space="preserve">effects, and cluster and observer as random effects. We exponentiated to </w:t>
      </w:r>
      <w:r>
        <w:t xml:space="preserve">obtain estimates of relative difference and 95% confidence intervals. We </w:t>
      </w:r>
      <w:r>
        <w:t xml:space="preserve">followed the intention-to-treat principle for all analyses: participants were </w:t>
      </w:r>
      <w:r>
        <w:t xml:space="preserve">analyzed in the arms to which they were randomized, and all participants were </w:t>
      </w:r>
      <w:r>
        <w:t xml:space="preserve">included in the analyses. No data were missing. Statistical analyses were </w:t>
      </w:r>
      <w:r>
        <w:t xml:space="preserve">performed using Stata 16 (StataCorp LLC, College Station, Texas, USA). The </w:t>
      </w:r>
      <w:r>
        <w:t xml:space="preserve">statistician was not involved in data collection and was blinded to treatment </w:t>
      </w:r>
      <w:r>
        <w:t xml:space="preserve">allocation during analysis. Protocol deviations are documented in 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model observer as a random effect but </w:t>
      </w:r>
      <w:r>
        <w:t xml:space="preserve">chose to do so as it is plausible that systematic differences may exist between </w:t>
      </w:r>
      <w:r>
        <w:t xml:space="preserve">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