
<file path=[Content_Types].xml><?xml version="1.0" encoding="utf-8"?>
<Types xmlns="http://schemas.openxmlformats.org/package/2006/content-types">
  <Default Extension="rels" ContentType="application/vnd.openxmlformats-package.relationships+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image/png" PartName="/word/media/document_image_rId3.png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
<Relationships xmlns="http://schemas.openxmlformats.org/package/2006/relationships">
    <Relationship Target="word/document.xml" Type="http://schemas.openxmlformats.org/officeDocument/2006/relationships/officeDocument" Id="rId1"/>
    <Relationship Target="docProps/core.xml" Type="http://schemas.openxmlformats.org/package/2006/relationships/metadata/core-properties" Id="rId2"/>
    <Relationship Target="docProps/app.xml" Type="http://schemas.openxmlformats.org/officeDocument/2006/relationships/extended-properties" Id="rId3"/>
</Relationships>

</file>

<file path=word/document.xml><?xml version="1.0" encoding="utf-8"?>
<w:document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w:p>
      <w:pPr>
        <w:pStyle w:val="Title"/>
      </w:pPr>
      <w:r>
        <w:t/>
      </w:r>
      <w:r>
        <w:t xml:space="preserve"/>
      </w:r>
      <w:r>
        <w:t xml:space="preserve">eRegTime analysis - Time and motion study analysis</w:t>
      </w:r>
    </w:p>
    <w:p>
      <w:pPr>
        <w:jc w:val="both"/>
      </w:pPr>
      <w:r>
        <w:t/>
      </w:r>
      <w:r>
        <w:t xml:space="preserve">Chris Rose, Norwegian Institute of Public Health </w:t>
      </w:r>
      <w:r>
        <w:t xml:space="preserve">(</w:t>
      </w:r>
      <w:r>
        <w:t xml:space="preserve"> 8 Oct 2021</w:t>
      </w:r>
      <w:r>
        <w:t xml:space="preserve">)</w:t>
      </w:r>
    </w:p>
    <w:p>
      <w:pPr>
        <w:jc w:val="both"/>
      </w:pPr>
      <w:r>
        <w:t/>
      </w:r>
      <w:r>
        <w:t xml:space="preserve">Generated using git revision: </w:t>
      </w:r>
      <w:r>
        <w:t xml:space="preserve">43e8dac</w:t>
      </w:r>
    </w:p>
    <w:p>
      <w:pPr>
        <w:pStyle w:val="Heading1"/>
      </w:pPr>
      <w:r>
        <w:t/>
      </w:r>
      <w:r>
        <w:t xml:space="preserve"/>
      </w:r>
      <w:r>
        <w:t xml:space="preserve">Introduction</w:t>
      </w:r>
    </w:p>
    <w:p>
      <w:pPr>
        <w:jc w:val="both"/>
      </w:pPr>
      <w:r>
        <w:t/>
      </w:r>
      <w:r>
        <w:t xml:space="preserve">This document presents analyses for the time and motion component of the </w:t>
      </w:r>
      <w:r>
        <w:t xml:space="preserve">eRegTime trial.</w:t>
      </w:r>
    </w:p>
    <w:p>
      <w:pPr>
        <w:pStyle w:val="Heading1"/>
      </w:pPr>
      <w:r>
        <w:t/>
      </w:r>
      <w:r>
        <w:t xml:space="preserve"/>
      </w:r>
      <w:r>
        <w:t xml:space="preserve">Methods</w:t>
      </w:r>
    </w:p>
    <w:p>
      <w:pPr>
        <w:jc w:val="both"/>
      </w:pPr>
      <w:r>
        <w:t/>
      </w:r>
      <w:r>
        <w:t xml:space="preserve">We analyzed time use on the log scale: durations are non-negative, their </w:t>
      </w:r>
      <w:r>
        <w:t xml:space="preserve">distributions are often positively skewed (e.g., many consultations are of </w:t>
      </w:r>
      <w:r>
        <w:t xml:space="preserve">“typical” duration, but some are much longer), and we anticipated that the </w:t>
      </w:r>
      <w:r>
        <w:t xml:space="preserve">intervention is likely to have a multiplicative rather than additive effect. </w:t>
      </w:r>
      <w:r>
        <w:t xml:space="preserve">We used mixed-effects linear regression to estimate relative time use, comparing </w:t>
      </w:r>
      <w:r>
        <w:t xml:space="preserve">treatment to control. We adjusted for the variables used to stratify (CHMP 2015) </w:t>
      </w:r>
      <w:r>
        <w:t xml:space="preserve">and constrain randomization (cluster size and lab availability; Li 2016) as </w:t>
      </w:r>
      <w:r>
        <w:t xml:space="preserve">fixed effects. We anticipated that booking visits would be longer than </w:t>
      </w:r>
      <w:r>
        <w:t xml:space="preserve">follow-up visits, and therefore also adjusted for visit type as a fixed effect. </w:t>
      </w:r>
      <w:r>
        <w:t xml:space="preserve">We modelled the cluster-randomized design using a random intercept for each </w:t>
      </w:r>
      <w:r>
        <w:t xml:space="preserve">clinic, and adjusted confidence intervals for possible within-observer </w:t>
      </w:r>
      <w:r>
        <w:t xml:space="preserve">clustering. We exponentiated to obtain estimates of relative time use, and </w:t>
      </w:r>
      <w:r>
        <w:t xml:space="preserve">computed marginal mean times used in total and on health information management, </w:t>
      </w:r>
      <w:r>
        <w:t xml:space="preserve">client care, finding, reading, and writing, with respect to cluster size, </w:t>
      </w:r>
      <w:r>
        <w:t xml:space="preserve">lab availability, and visit.</w:t>
      </w:r>
    </w:p>
    <w:p>
      <w:pPr>
        <w:jc w:val="both"/>
      </w:pPr>
      <w:r>
        <w:t/>
      </w:r>
      <w:r>
        <w:t xml:space="preserve">We followed the intention-to-treat principle for all analyses: participants were </w:t>
      </w:r>
      <w:r>
        <w:t xml:space="preserve">analyzed in the arms to which they were randomized, and all participants were </w:t>
      </w:r>
      <w:r>
        <w:t xml:space="preserve">included in the analyses. No data were missing. Statistical analyses were </w:t>
      </w:r>
      <w:r>
        <w:t xml:space="preserve">performed using Stata 16 (StataCorp LLC, College Station, Texas, USA). The </w:t>
      </w:r>
      <w:r>
        <w:t xml:space="preserve">statistician was not involved in data collection and was blinded to treatment </w:t>
      </w:r>
      <w:r>
        <w:t xml:space="preserve">allocation for the analyses of relative differences in time used on health </w:t>
      </w:r>
      <w:r>
        <w:t xml:space="preserve">information management, client consultation, and client care. It was not </w:t>
      </w:r>
      <w:r>
        <w:t xml:space="preserve">possible to blind the statistician to treatment allocation for the analyses of </w:t>
      </w:r>
      <w:r>
        <w:t xml:space="preserve">time used finding, reading, and writing files because the treatment allocation </w:t>
      </w:r>
      <w:r>
        <w:t xml:space="preserve">was obvious (control arm participants could not use a computer for these tasks). </w:t>
      </w:r>
      <w:r>
        <w:t xml:space="preserve">Protocol deviations are documented in Appendix 1.</w:t>
      </w:r>
    </w:p>
    <w:p>
      <w:r>
        <w:br w:type="page"/>
      </w:r>
    </w:p>
    <w:p>
      <w:pPr>
        <w:pStyle w:val="Heading1"/>
      </w:pPr>
      <w:r>
        <w:t/>
      </w:r>
      <w:r>
        <w:t xml:space="preserve"/>
      </w:r>
      <w:r>
        <w:t xml:space="preserve">Results</w:t>
      </w:r>
    </w:p>
    <w:p>
      <w:pPr>
        <w:pStyle w:val="Heading2"/>
      </w:pPr>
      <w:r>
        <w:t/>
      </w:r>
      <w:r>
        <w:t xml:space="preserve"/>
      </w:r>
      <w:r>
        <w:t xml:space="preserve">Health information management and client care</w:t>
      </w:r>
    </w:p>
    <w:p>
      <w:pPr>
        <w:jc w:val="both"/>
      </w:pPr>
      <w:r>
        <w:t/>
      </w:r>
      <w:r>
        <w:t xml:space="preserve">The following table presents comparisons of time used on health information </w:t>
      </w:r>
      <w:r>
        <w:t xml:space="preserve">management and client care.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c>
          <w:tcPr>
            <w:gridSpan w:val="8"/>
            <w:tcBorders>
              <w:top w:val="nil" w:color="000000"/>
              <w:left w:val="nil" w:color="000000"/>
              <w:bottom w:val="single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1. Analysis of total time use, and time use on health information management and client care.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</w:pPr>
          </w:p>
        </w:tc>
        <w:tc>
          <w:tcPr>
            <w:tcW w:w="2340" w:type="dxa"/>
            <w:gridSpan w:val="2"/>
            <w:tcBorders>
              <w:top w:val="single" w:color="000000"/>
            </w:tcBorders>
          </w:tcPr>
          <w:p>
            <w:pPr>
              <w:spacing w:after="0"/>
              <w:jc w:val="center"/>
            </w:pPr>
            <w:r>
              <w:t xml:space="preserve">Sample means (mins)*</w:t>
            </w:r>
          </w:p>
        </w:tc>
        <w:tc>
          <w:tcPr>
            <w:tcW w:w="5850" w:type="dxa"/>
            <w:gridSpan w:val="5"/>
            <w:tcBorders>
              <w:top w:val="single" w:color="000000"/>
            </w:tcBorders>
          </w:tcPr>
          <w:p>
            <w:pPr>
              <w:spacing w:after="0"/>
              <w:jc w:val="center"/>
            </w:pPr>
            <w:r>
              <w:t xml:space="preserve">Relative time (intervention / control)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</w:pP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Control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Intervention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Sample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Adjusted†</w:t>
            </w:r>
          </w:p>
        </w:tc>
        <w:tc>
          <w:tcPr>
            <w:tcW w:w="2340" w:type="dxa"/>
            <w:gridSpan w:val="2"/>
          </w:tcPr>
          <w:p>
            <w:pPr>
              <w:spacing w:after="0"/>
              <w:jc w:val="center"/>
            </w:pPr>
            <w:r>
              <w:t xml:space="preserve">95% CI‡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P-value‡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Total Time§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15.56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11.99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0.77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0.74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[0.60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0.90]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0.003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29.36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24.80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0.84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0.96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[0.66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1.39]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0.823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12.91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10.68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0.83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0.72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[0.58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0.90]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0.004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Health Information Management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9.84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6.64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0.67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0.70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[0.59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0.82]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18.91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15.26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0.81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0.96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[0.61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1.50]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0.851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8.10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5.72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0.71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0.69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[0.60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0.79]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Client Care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4.91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5.01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1.02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0.85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[0.64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1.13]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0.270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8.56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8.82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1.03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0.79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[0.36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1.72]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0.547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4.22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4.66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1.10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0.84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[0.60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1.19]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0.328</w:t>
            </w:r>
          </w:p>
        </w:tc>
      </w:tr>
      <w:tr>
        <w:tc>
          <w:tcPr>
            <w:gridSpan w:val="8"/>
            <w:tcBorders>
              <w:top w:val="single" w:color="000000"/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*Sample means were not computed on the log scale. †Estimates of relative time use were adjusted for the stratification variable, cluster size, lab availability, and booking visit. ‡Confidence intervals and P-values were adjusted for possible cluster effects due to the cluster RCT design and observer. §Total time includes activities not accounted for in health information management and client care.</w:t>
            </w:r>
          </w:p>
        </w:tc>
      </w:tr>
    </w:tbl>
    <w:p>
      <w:r>
        <w:t/>
      </w:r>
    </w:p>
    <w:p>
      <w:r>
        <w:br w:type="page"/>
      </w:r>
    </w:p>
    <w:p>
      <w:pPr>
        <w:pStyle w:val="Heading2"/>
      </w:pPr>
      <w:r>
        <w:t/>
      </w:r>
      <w:r>
        <w:t xml:space="preserve"/>
      </w:r>
      <w:r>
        <w:t xml:space="preserve">Activities</w:t>
      </w:r>
    </w:p>
    <w:p>
      <w:pPr>
        <w:jc w:val="both"/>
      </w:pPr>
      <w:r>
        <w:t/>
      </w:r>
      <w:r>
        <w:t xml:space="preserve">The following table shows relative differences in time used on activities such </w:t>
      </w:r>
      <w:r>
        <w:t xml:space="preserve">as finding, reading, and writing in the treatment versus control conditions.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c>
          <w:tcPr>
            <w:gridSpan w:val="8"/>
            <w:tcBorders>
              <w:top w:val="nil" w:color="000000"/>
              <w:left w:val="nil" w:color="000000"/>
              <w:bottom w:val="single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2. Analysis of time used finding, reading, and writing.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</w:pPr>
          </w:p>
        </w:tc>
        <w:tc>
          <w:tcPr>
            <w:tcW w:w="2340" w:type="dxa"/>
            <w:gridSpan w:val="2"/>
            <w:tcBorders>
              <w:top w:val="single" w:color="000000"/>
            </w:tcBorders>
          </w:tcPr>
          <w:p>
            <w:pPr>
              <w:spacing w:after="0"/>
              <w:jc w:val="center"/>
            </w:pPr>
            <w:r>
              <w:t xml:space="preserve">Sample means (mins)*</w:t>
            </w:r>
          </w:p>
        </w:tc>
        <w:tc>
          <w:tcPr>
            <w:tcW w:w="5850" w:type="dxa"/>
            <w:gridSpan w:val="5"/>
            <w:tcBorders>
              <w:top w:val="single" w:color="000000"/>
            </w:tcBorders>
          </w:tcPr>
          <w:p>
            <w:pPr>
              <w:spacing w:after="0"/>
              <w:jc w:val="center"/>
            </w:pPr>
            <w:r>
              <w:t xml:space="preserve">Relative time (intervention / control)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</w:pP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Control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Intervention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Sample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Adjusted†</w:t>
            </w:r>
          </w:p>
        </w:tc>
        <w:tc>
          <w:tcPr>
            <w:tcW w:w="2340" w:type="dxa"/>
            <w:gridSpan w:val="2"/>
          </w:tcPr>
          <w:p>
            <w:pPr>
              <w:spacing w:after="0"/>
              <w:jc w:val="center"/>
            </w:pPr>
            <w:r>
              <w:t xml:space="preserve">95% CI‡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P-value‡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Finding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0.68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0.92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1.34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1.30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[1.16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1.45]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1.21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1.45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1.20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1.96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[0.66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5.79]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0.224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0.60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0.86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1.42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1.22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[1.09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1.36]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Reading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1.20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0.72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0.60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0.92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[0.73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1.15]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0.472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2.10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0.39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0.19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0.80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[0.65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0.98]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0.033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0.99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0.73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0.74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0.92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[0.69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1.22]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0.567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Writing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8.48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5.50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0.65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0.68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[0.56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0.83]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16.48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13.73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0.83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1.30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[0.55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3.05]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0.551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6.94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4.61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0.66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0.65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[0.59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0.72]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gridSpan w:val="8"/>
            <w:tcBorders>
              <w:top w:val="single" w:color="000000"/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*Sample means were not computed on the log scale. †Estimates of relative time use were adjusted for the stratification variable, cluster size, lab availability, and booking visit. ‡Confidence intervals and P-values were adjusted for possible cluster effects due to the cluster RCT design and observer.</w:t>
            </w:r>
          </w:p>
        </w:tc>
      </w:tr>
    </w:tbl>
    <w:p>
      <w:r>
        <w:t/>
      </w:r>
    </w:p>
    <w:p>
      <w:pPr>
        <w:pStyle w:val="Heading1"/>
      </w:pPr>
      <w:r>
        <w:t/>
      </w:r>
      <w:r>
        <w:t xml:space="preserve"/>
      </w:r>
      <w:r>
        <w:t xml:space="preserve">References</w:t>
      </w:r>
    </w:p>
    <w:p>
      <w:pPr>
        <w:jc w:val="both"/>
      </w:pPr>
      <w:r>
        <w:t/>
      </w:r>
      <w:r>
        <w:t xml:space="preserve">Committee for Medicinal Products for Human Use (CHMP) (2015). Guideline on </w:t>
      </w:r>
      <w:r>
        <w:t xml:space="preserve">adjustment for baseline covariates in clinical trials. London: European </w:t>
      </w:r>
      <w:r>
        <w:t xml:space="preserve">Medicines Agency.</w:t>
      </w:r>
    </w:p>
    <w:p>
      <w:pPr>
        <w:jc w:val="both"/>
      </w:pPr>
      <w:r>
        <w:t/>
      </w:r>
      <w:r>
        <w:t xml:space="preserve">Li, F., Lokhnygina, Y., Murray, D. M., Heagerty, P. J., &amp; DeLong, E. R. (2016). </w:t>
      </w:r>
      <w:r>
        <w:t xml:space="preserve">An evaluation of constrained randomization for the design and analysis of </w:t>
      </w:r>
      <w:r>
        <w:t xml:space="preserve">group‐randomized trials. Statistics in Medicine, 35(10), 1565-1579.</w:t>
      </w:r>
    </w:p>
    <w:p>
      <w:pPr>
        <w:pStyle w:val="Heading1"/>
      </w:pPr>
      <w:r>
        <w:t/>
      </w:r>
      <w:r>
        <w:t xml:space="preserve"/>
      </w:r>
      <w:r>
        <w:t xml:space="preserve">Appendix 1 — Protocol Deviations</w:t>
      </w:r>
    </w:p>
    <w:p>
      <w:pPr>
        <w:jc w:val="both"/>
      </w:pPr>
      <w:r>
        <w:t/>
      </w:r>
      <w:r>
        <w:t xml:space="preserve">We did not plan to model relative times via transformation to the log scale, </w:t>
      </w:r>
      <w:r>
        <w:t xml:space="preserve">nor did we plan to adjust for observer but chose to do so as it is plausible </w:t>
      </w:r>
      <w:r>
        <w:t xml:space="preserve">that systematic differences may exist between observers. We did not plan in </w:t>
      </w:r>
      <w:r>
        <w:t xml:space="preserve">detail how time used finding, reading, or writing files would be analyzed.</w:t>
      </w:r>
    </w:p>
    <w:p>
      <w:pPr>
        <w:pStyle w:val="Heading1"/>
      </w:pPr>
      <w:r>
        <w:t/>
      </w:r>
      <w:r>
        <w:t xml:space="preserve"/>
      </w:r>
      <w:r>
        <w:t xml:space="preserve">Appendix 2 — Plots of marginal mean times</w:t>
      </w:r>
    </w:p>
    <w:p>
      <w:pPr>
        <w:jc w:val="both"/>
      </w:pPr>
      <w:r>
        <w:t/>
      </w:r>
      <w:r>
        <w:t xml:space="preserve">The following plots show marginal mean times for a selection of the outcomes.</w:t>
      </w:r>
      <w:r>
        <w:drawing>
          <wp:inline distT="0" distB="0" distL="0" distR="0">
            <wp:extent cx="5943600" cy="432228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</w:p>
    <w:p>
      <w:pPr>
        <w:pStyle w:val="Heading1"/>
      </w:pPr>
      <w:r>
        <w:t/>
      </w:r>
      <w:r>
        <w:t xml:space="preserve"/>
      </w:r>
      <w:r>
        <w:t xml:space="preserve">Appendix 3 — Full Regression Results</w:t>
      </w:r>
    </w:p>
    <w:p>
      <w:pPr>
        <w:pStyle w:val="Heading2"/>
      </w:pPr>
      <w:r>
        <w:t/>
      </w:r>
      <w:r>
        <w:t xml:space="preserve"/>
      </w:r>
      <w:r>
        <w:t xml:space="preserve">Comparisons of time used</w:t>
      </w:r>
    </w:p>
    <w:p>
      <w:pPr>
        <w:jc w:val="both"/>
      </w:pPr>
      <w:r>
        <w:t/>
      </w:r>
      <w:r>
        <w:t xml:space="preserve">The following tables show the full regression results. Note that time was </w:t>
      </w:r>
      <w:r>
        <w:t xml:space="preserve">modelled on the log scale and the full estimation results have not been </w:t>
      </w:r>
      <w:r>
        <w:t xml:space="preserve">exponentiated here.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3. Total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total_time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-7.36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6.04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3.98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4. Total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total_booking_time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2.89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-11.46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-18.53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-4.40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19.16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3.59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4.41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5. Total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total_fup_time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58.36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5.53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1.95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4.10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6. HIM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him_time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-7.20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6.35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2.78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4.48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1.57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4.00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7. HIM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him_booking_time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2.59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4.16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-11.40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11.41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3.33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4.71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8. HIM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him_fup_time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-5.39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89.86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2.84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4.48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1.60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4.09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9. Client care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care_time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8.19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3.44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10. Client care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care_booking_time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-7.37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29.47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-9.94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68.87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-0.82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1.51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-0.54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-3.79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2.15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11. Client care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care_fup_time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7.01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-57.51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-0.94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14.17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12. Finding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find_time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-6.91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-6.71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-4.89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-0.75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13. Finding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find_booking_time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14.35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9.68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33.31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-0.83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-2.44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14. Finding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find_fup_time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-7.01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-5.75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Follow-up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-0.14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15. Reading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read_time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-5.17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-0.79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1.44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16. Reading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read_booking_time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7.47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-13.28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28.23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-0.63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1.88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17. Reading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read_fup_time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-5.64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Follow-up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-0.79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18. Writing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write_time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-7.07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2.41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4.22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19. Writing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write_booking_time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3.15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5.55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-23.10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8.08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-38.94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-7.26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3.84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7.08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2.77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4.90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20. Writing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write_fup_time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1.91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-9.18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88.55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2.47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4.32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sectPr>
      <w:pgSz w:w="12240" w:h="15840" w:code="1"/>
      <w:pgMar w:top="1440" w:right="1440" w:bottom="1440" w:left="1440"/>
    </w:sectPr>
  </w:body>
</w:document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_rels/document.xml.rels><?xml version="1.0" encoding="UTF-8" standalone="yes"?>
<Relationships xmlns="http://schemas.openxmlformats.org/package/2006/relationships">
    <Relationship Target="styles.xml" Type="http://schemas.openxmlformats.org/officeDocument/2006/relationships/styles" Id="rId1"/>
    <Relationship Target="settings.xml" Type="http://schemas.openxmlformats.org/officeDocument/2006/relationships/settings" Id="rId2"/>
    <Relationship Target="media/document_image_rId3.png" Type="http://schemas.openxmlformats.org/officeDocument/2006/relationships/image" Id="rId3"/>
    <Relationship Target="media/document_image_rId4.png" Type="http://schemas.openxmlformats.org/officeDocument/2006/relationships/image" Id="rId4"/>
    <Relationship Target="media/document_image_rId5.png" Type="http://schemas.openxmlformats.org/officeDocument/2006/relationships/image" Id="rId5"/>
    <Relationship Target="media/document_image_rId6.png" Type="http://schemas.openxmlformats.org/officeDocument/2006/relationships/image" Id="rId6"/>
    <Relationship Target="media/document_image_rId7.png" Type="http://schemas.openxmlformats.org/officeDocument/2006/relationships/image" Id="rId7"/>
    <Relationship Target="media/document_image_rId8.png" Type="http://schemas.openxmlformats.org/officeDocument/2006/relationships/image" Id="rId8"/>
</Relationships>
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terms="http://purl.org/dc/terms/" xmlns:dc="http://purl.org/dc/elements/1.1/"/>
</file>