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eRegTime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8 Jan 2021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49caa39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eRegTime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TODO: Write this.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 and client care</w:t>
      </w:r>
    </w:p>
    <w:p>
      <w:pPr>
        <w:jc w:val="both"/>
      </w:pPr>
      <w:r>
        <w:t/>
      </w:r>
      <w:r>
        <w:t xml:space="preserve">The following table presents comparisons of time used on health information </w:t>
      </w:r>
      <w:r>
        <w:t xml:space="preserve">management and client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Analysis of total time use, and time use on health information management and client care.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Total Time§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11.99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0.003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29.36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24.80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1.39]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12.91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10.68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0.90]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0.004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Health Information Management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9.84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6.64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18.91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15.26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0.96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[0.61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1.50]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8.10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5.72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0.71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Client Care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5.01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[0.64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1.13]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0.270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8.56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1.03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0.79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[0.36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1.72]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0.547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4.22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1.10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[0.60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1.19]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0.328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 §Total time includes activities not accounted for in health information management and client care.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on activities such </w:t>
      </w:r>
      <w:r>
        <w:t xml:space="preserve">as finding, reading, and writing in the treatment versus control conditions.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Analysis of time used finding, reading, and writing.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gridSpan w:val="2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Sample means (mins)*</w:t>
            </w:r>
          </w:p>
        </w:tc>
        <w:tc>
          <w:tcPr>
            <w:tcW w:w="5850" w:type="dxa"/>
            <w:gridSpan w:val="5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Relative time (intervention / control)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Control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Intervention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Sample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Adjusted†</w:t>
            </w:r>
          </w:p>
        </w:tc>
        <w:tc>
          <w:tcPr>
            <w:tcW w:w="2340" w:type="dxa"/>
            <w:gridSpan w:val="2"/>
          </w:tcPr>
          <w:p>
            <w:pPr>
              <w:spacing w:after="0"/>
              <w:jc w:val="center"/>
            </w:pPr>
            <w:r>
              <w:t xml:space="preserve">[95% CI]‡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P-value‡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Finding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2.71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[0.98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7.44]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0.054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0.82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1.45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1.76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4.95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[0.15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166.66]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0.373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0.80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1.50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1.68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5.56]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0.393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Reading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0.74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0.25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0.34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0.03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2.60]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0.126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1.55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0.07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0.04]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0.006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0.59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0.27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0.46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0.09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[0.00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2.43]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0.153</w:t>
            </w:r>
          </w:p>
        </w:tc>
      </w:tr>
      <w:tr>
        <w:tc>
          <w:tcPr>
            <w:tcW w:w="9360" w:type="dxa"/>
            <w:gridSpan w:val="8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Writing</w:t>
            </w:r>
          </w:p>
        </w:tc>
      </w:tr>
      <w:tr>
        <w:tc>
          <w:tcPr>
            <w:tcW w:w="1170" w:type="dxa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t xml:space="preserve">Any visit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8.48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5.50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0.68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[0.56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0.83]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Booking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16.48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13.73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0.83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1.30</w:t>
            </w:r>
          </w:p>
        </w:tc>
        <w:tc>
          <w:tcPr>
            <w:tcW w:w="1170" w:type="dxa"/>
          </w:tcPr>
          <w:p>
            <w:pPr>
              <w:spacing w:after="0"/>
              <w:jc w:val="right"/>
            </w:pPr>
            <w:r>
              <w:t xml:space="preserve">[0.55</w:t>
            </w:r>
          </w:p>
        </w:tc>
        <w:tc>
          <w:tcPr>
            <w:tcW w:w="1170" w:type="dxa"/>
          </w:tcPr>
          <w:p>
            <w:pPr>
              <w:spacing w:after="0"/>
              <w:jc w:val="left"/>
            </w:pPr>
            <w:r>
              <w:t xml:space="preserve">3.05]</w:t>
            </w:r>
          </w:p>
        </w:tc>
        <w:tc>
          <w:tcPr>
            <w:tcW w:w="1170" w:type="dxa"/>
          </w:tcPr>
          <w:p>
            <w:pPr>
              <w:spacing w:after="0"/>
              <w:jc w:val="center"/>
            </w:pPr>
            <w:r>
              <w:t xml:space="preserve">0.551</w:t>
            </w:r>
          </w:p>
        </w:tc>
      </w:tr>
      <w:tr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Follow-up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6.94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4.61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0.66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0.65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[0.59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left"/>
            </w:pPr>
            <w:r>
              <w:t xml:space="preserve">0.72]</w:t>
            </w:r>
          </w:p>
        </w:tc>
        <w:tc>
          <w:tcPr>
            <w:tcW w:w="1170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&lt;0.001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*Sample means were not computed on the log scale. †Estimates of relative time use were adjusted for the stratification variable, cluster size, lab availability, and booking visit. ‡Confidence intervals and P-values were adjusted for possible cluster effects due to the cluster RCT design and observer.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Plots of marginal mean times</w:t>
      </w:r>
    </w:p>
    <w:p>
      <w:pPr>
        <w:jc w:val="both"/>
      </w:pPr>
      <w:r>
        <w:t/>
      </w:r>
      <w:r>
        <w:t xml:space="preserve">The following plots show marginal mean times for a selection of the outcomes.</w:t>
      </w:r>
      <w:r>
        <w:drawing>
          <wp:inline distT="0" distB="0" distL="0" distR="0">
            <wp:extent cx="5943600" cy="43222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  <w:r>
        <w:drawing>
          <wp:inline distT="0" distB="0" distL="0" distR="0">
            <wp:extent cx="5943600" cy="4322284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 here.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Total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Total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Total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total_fup_time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58.36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HIM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-11.40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HIM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89.86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Client care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Client care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68.87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Client care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-57.51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Finding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6.68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3.21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Finding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-16.29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-24.05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34.66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Finding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-13.67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-12.89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Reading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-6.66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-13.31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-14.19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Reading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-19.39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-45.29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6.53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-21.47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71.57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97.95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263.55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-6.88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-17.05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3.29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17. Reading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-7.04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29.96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14.30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45.61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-7.10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4.80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-16.50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18. Writing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4.22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19. Writing (booking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write_booking_time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-23.10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-38.94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4.90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20. Writing (follow-up visit) — full regression results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write_fup_time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Intervention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2.42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88.55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4.32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