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 - Time and motion study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23 Sep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1cc87c6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TODO: Write this.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Times (durations) are non-negative and their distributions are positively </w:t>
      </w:r>
      <w:r>
        <w:t xml:space="preserve">skewed (e.g., there are many consultations of “typical” duration, but some </w:t>
      </w:r>
      <w:r>
        <w:t xml:space="preserve">that are much longer). Further, we anticipated that the intervention is likely </w:t>
      </w:r>
      <w:r>
        <w:t xml:space="preserve">to have a multiplicative rather than additive effect. We therefore analyzed </w:t>
      </w:r>
      <w:r>
        <w:t xml:space="preserve">times on the log scale. We used mixed-effects linear regression to estimate </w:t>
      </w:r>
      <w:r>
        <w:t xml:space="preserve">relative differences in time between treatment and control. We adjusted for </w:t>
      </w:r>
      <w:r>
        <w:t xml:space="preserve">the stratification variable (CHMP 2015) and the variables used to constrain </w:t>
      </w:r>
      <w:r>
        <w:t xml:space="preserve">randomization (cluster size and lab availability; Li 2016) as fixed effects. </w:t>
      </w:r>
      <w:r>
        <w:t xml:space="preserve">We estimated the effect of observer and whether a visit was a booking visit </w:t>
      </w:r>
      <w:r>
        <w:t xml:space="preserve">(fixed effects) because we anticipated that these would affect time </w:t>
      </w:r>
      <w:r>
        <w:t xml:space="preserve">measurements. We modelled cluster as a random effect. It was not possible to </w:t>
      </w:r>
      <w:r>
        <w:t xml:space="preserve">obtain reliable variance estimates using a model that adjusted for observer as a </w:t>
      </w:r>
      <w:r>
        <w:t xml:space="preserve">random effect. However, an exploratory analysis that modelled observer as a </w:t>
      </w:r>
      <w:r>
        <w:t xml:space="preserve">random effect showed that point estimates and confidence intervals comparing </w:t>
      </w:r>
      <w:r>
        <w:t xml:space="preserve">treatment to control were almost identical for the primary outcome. </w:t>
      </w:r>
      <w:r>
        <w:t xml:space="preserve">We exponentiated to obtain estimates of relative difference and 95% confidence </w:t>
      </w:r>
      <w:r>
        <w:t xml:space="preserve">intervals. We followed the intention-to-treat principle for all analyses: </w:t>
      </w:r>
      <w:r>
        <w:t xml:space="preserve">participants were analyzed in the arms to which they were randomized, and all </w:t>
      </w:r>
      <w:r>
        <w:t xml:space="preserve">participants were included in the analyses. No data were missing. Statistical </w:t>
      </w:r>
      <w:r>
        <w:t xml:space="preserve">analyses were performed using Stata 16 (StataCorp LLC, College Station, Texas, </w:t>
      </w:r>
      <w:r>
        <w:t xml:space="preserve">USA). The statistician was not involved in data collection and was blinded to </w:t>
      </w:r>
      <w:r>
        <w:t xml:space="preserve">treatment allocation during analysis. Protocol deviations are documented in </w:t>
      </w:r>
      <w:r>
        <w:t xml:space="preserve">Appendix 1.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jc w:val="both"/>
      </w:pPr>
      <w:r>
        <w:t/>
      </w:r>
      <w:r>
        <w:t xml:space="preserve">TODO: Write this.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Consultation time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Client care time within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Time spent finding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7.49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5. Time spent reading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6. Time spent writing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7. Time spent writing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8. Time spent finding files in the eRegistry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9. Time spent reading files in the eRegistry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10. Time spent writing files in the eRegistry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11. Time spent on client care procedures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1.21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Li, F., Lokhnygina, Y., Murray, D. M., Heagerty, P. J., &amp; DeLong, E. R. (2016). </w:t>
      </w:r>
      <w:r>
        <w:t xml:space="preserve">An evaluation of constrained randomization for the design and analysis of </w:t>
      </w:r>
      <w:r>
        <w:t xml:space="preserve">group‐randomized trials. Statistics in Medicine, 35(10), 1565-1579.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did not originally plan to model relative times via transformation to the </w:t>
      </w:r>
      <w:r>
        <w:t xml:space="preserve">log scale. Nor did we originally plan to adjust for observer but chose to do so </w:t>
      </w:r>
      <w:r>
        <w:t xml:space="preserve">as it is plausible that systematic differences may exist between observers.</w:t>
      </w:r>
    </w:p>
    <w:p>
      <w:pPr>
        <w:pStyle w:val="Heading1"/>
      </w:pPr>
      <w:r>
        <w:t/>
      </w:r>
      <w:r>
        <w:t xml:space="preserve"/>
      </w:r>
      <w:r>
        <w:t xml:space="preserve">Appendix 3 — Full Regression Results</w:t>
      </w:r>
    </w:p>
    <w:p>
      <w:pPr>
        <w:jc w:val="both"/>
      </w:pPr>
      <w:r>
        <w:t/>
      </w:r>
      <w:r>
        <w:t xml:space="preserve">The following tables show the full regression results. Note that time was </w:t>
      </w:r>
      <w:r>
        <w:t xml:space="preserve">modelled on the log scale and the full estimation results have not been </w:t>
      </w:r>
      <w:r>
        <w:t xml:space="preserve">exponentiated.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12.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3.65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13. Consultation time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consult_time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7.76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2.56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14. Client care time within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15. Time spent finding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paper_f_him_time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-17.65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-1.09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-2.55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16. Time spent reading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paper_r_him_time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-5.69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-2.18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17. Time spent writing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paper_w_him_time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5.19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16.39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-2.96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18. Time spent writing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paper_w_him_time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5.19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16.39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-2.96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19. Time spent finding files in the eRegistry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comp_f_him_time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-18.10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-0.39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1.96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20. Time spent reading files in the eRegistry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comp_r_him_time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-14.94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13.55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-0.84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-0.89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-2.68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21. Time spent writing files in the eRegistry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comp_w_him_time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12.03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2.72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22. Time spent on client care procedures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proc_care_time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-0.61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