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eRegTime analysis - Time and motion study analysis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 8 Jan 2021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8cb163d</w:t>
      </w:r>
    </w:p>
    <w:p>
      <w:pPr>
        <w:pStyle w:val="Heading1"/>
      </w:pPr>
      <w:r>
        <w:t/>
      </w:r>
      <w:r>
        <w:t xml:space="preserve"/>
      </w:r>
      <w:r>
        <w:t xml:space="preserve">Introduction</w:t>
      </w:r>
    </w:p>
    <w:p>
      <w:pPr>
        <w:jc w:val="both"/>
      </w:pPr>
      <w:r>
        <w:t/>
      </w:r>
      <w:r>
        <w:t xml:space="preserve">This document presents analyses for the time and motion component of the </w:t>
      </w:r>
      <w:r>
        <w:t xml:space="preserve">eRegTime trial.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TODO: Write this.</w:t>
      </w:r>
    </w:p>
    <w:p>
      <w:r>
        <w:br w:type="page"/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p>
      <w:pPr>
        <w:pStyle w:val="Heading2"/>
      </w:pPr>
      <w:r>
        <w:t/>
      </w:r>
      <w:r>
        <w:t xml:space="preserve"/>
      </w:r>
      <w:r>
        <w:t xml:space="preserve">Health information management and client care</w:t>
      </w:r>
    </w:p>
    <w:p>
      <w:pPr>
        <w:jc w:val="both"/>
      </w:pPr>
      <w:r>
        <w:t/>
      </w:r>
      <w:r>
        <w:t xml:space="preserve">The following table presents comparisons of time used on health information </w:t>
      </w:r>
      <w:r>
        <w:t xml:space="preserve">management and client care.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gridSpan w:val="8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1. Analysis of total time use, and time use on health information management and client care.</w:t>
            </w:r>
          </w:p>
        </w:tc>
      </w:tr>
      <w:tr>
        <w:tc>
          <w:tcPr>
            <w:tcW w:w="1170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gridSpan w:val="2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Sample means (mins)*</w:t>
            </w:r>
          </w:p>
        </w:tc>
        <w:tc>
          <w:tcPr>
            <w:tcW w:w="5850" w:type="dxa"/>
            <w:gridSpan w:val="5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Relative time (intervention / control)</w:t>
            </w:r>
          </w:p>
        </w:tc>
      </w:tr>
      <w:tr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Control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Intervention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Sample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Adjusted†</w:t>
            </w:r>
          </w:p>
        </w:tc>
        <w:tc>
          <w:tcPr>
            <w:tcW w:w="2340" w:type="dxa"/>
            <w:gridSpan w:val="2"/>
          </w:tcPr>
          <w:p>
            <w:pPr>
              <w:spacing w:after="0"/>
              <w:jc w:val="center"/>
            </w:pPr>
            <w:r>
              <w:t xml:space="preserve">[95% CI]‡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P-value‡</w:t>
            </w:r>
          </w:p>
        </w:tc>
      </w:tr>
      <w:tr>
        <w:tc>
          <w:tcPr>
            <w:tcW w:w="9360" w:type="dxa"/>
            <w:gridSpan w:val="8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Total Time§</w:t>
            </w:r>
          </w:p>
        </w:tc>
      </w:tr>
      <w:tr>
        <w:tc>
          <w:tcPr>
            <w:tcW w:w="1170" w:type="dxa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t xml:space="preserve">Any visit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15.56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11.99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0.77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0.74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[0.60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0.90]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0.003</w:t>
            </w: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Booking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29.36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24.80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0.84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0.96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[0.66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1.39]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0.823</w:t>
            </w:r>
          </w:p>
        </w:tc>
      </w:tr>
      <w:tr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Follow-up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12.91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10.68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0.83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0.72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[0.58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0.90]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0.004</w:t>
            </w:r>
          </w:p>
        </w:tc>
      </w:tr>
      <w:tr>
        <w:tc>
          <w:tcPr>
            <w:tcW w:w="9360" w:type="dxa"/>
            <w:gridSpan w:val="8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Health Information Management</w:t>
            </w:r>
          </w:p>
        </w:tc>
      </w:tr>
      <w:tr>
        <w:tc>
          <w:tcPr>
            <w:tcW w:w="1170" w:type="dxa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t xml:space="preserve">Any visit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9.84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6.64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0.67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0.70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[0.59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0.82]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&lt;0.001</w:t>
            </w: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Booking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18.91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15.26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0.81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0.96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[0.61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1.50]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0.851</w:t>
            </w:r>
          </w:p>
        </w:tc>
      </w:tr>
      <w:tr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Follow-up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8.10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5.72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0.71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0.69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[0.60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0.79]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&lt;0.001</w:t>
            </w:r>
          </w:p>
        </w:tc>
      </w:tr>
      <w:tr>
        <w:tc>
          <w:tcPr>
            <w:tcW w:w="9360" w:type="dxa"/>
            <w:gridSpan w:val="8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Client Care</w:t>
            </w:r>
          </w:p>
        </w:tc>
      </w:tr>
      <w:tr>
        <w:tc>
          <w:tcPr>
            <w:tcW w:w="1170" w:type="dxa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t xml:space="preserve">Any visit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4.91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5.01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1.02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0.85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[0.64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1.13]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0.270</w:t>
            </w: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Booking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8.56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8.82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1.03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0.79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[0.36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1.72]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0.547</w:t>
            </w:r>
          </w:p>
        </w:tc>
      </w:tr>
      <w:tr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Follow-up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4.22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4.66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1.10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0.84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[0.60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1.19]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0.328</w:t>
            </w:r>
          </w:p>
        </w:tc>
      </w:tr>
      <w:tr>
        <w:tc>
          <w:tcPr>
            <w:gridSpan w:val="8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*Sample means were not computed on the log scale. †Estimates of relative time use were adjusted for the stratification variable, cluster size, lab availability, and booking visit. ‡Confidence intervals and P-values were adjusted for possible cluster effects due to the cluster RCT design and observer. §Total time includes activities not accounted for in health information management and client care.</w:t>
            </w:r>
          </w:p>
        </w:tc>
      </w:tr>
    </w:tbl>
    <w:p>
      <w:r>
        <w:t/>
      </w:r>
    </w:p>
    <w:p>
      <w:r>
        <w:br w:type="page"/>
      </w:r>
    </w:p>
    <w:p>
      <w:pPr>
        <w:pStyle w:val="Heading2"/>
      </w:pPr>
      <w:r>
        <w:t/>
      </w:r>
      <w:r>
        <w:t xml:space="preserve"/>
      </w:r>
      <w:r>
        <w:t xml:space="preserve">Activities</w:t>
      </w:r>
    </w:p>
    <w:p>
      <w:pPr>
        <w:jc w:val="both"/>
      </w:pPr>
      <w:r>
        <w:t/>
      </w:r>
      <w:r>
        <w:t xml:space="preserve">The following table shows relative differences in time used on activities such </w:t>
      </w:r>
      <w:r>
        <w:t xml:space="preserve">as finding, reading, and writing in the treatment versus control conditions.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gridSpan w:val="8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2. Analysis of time used finding, reading, and writing.</w:t>
            </w:r>
          </w:p>
        </w:tc>
      </w:tr>
      <w:tr>
        <w:tc>
          <w:tcPr>
            <w:tcW w:w="1170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gridSpan w:val="2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Sample means (mins)*</w:t>
            </w:r>
          </w:p>
        </w:tc>
        <w:tc>
          <w:tcPr>
            <w:tcW w:w="5850" w:type="dxa"/>
            <w:gridSpan w:val="5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Relative time (intervention / control)</w:t>
            </w:r>
          </w:p>
        </w:tc>
      </w:tr>
      <w:tr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Control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Intervention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Sample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Adjusted†</w:t>
            </w:r>
          </w:p>
        </w:tc>
        <w:tc>
          <w:tcPr>
            <w:tcW w:w="2340" w:type="dxa"/>
            <w:gridSpan w:val="2"/>
          </w:tcPr>
          <w:p>
            <w:pPr>
              <w:spacing w:after="0"/>
              <w:jc w:val="center"/>
            </w:pPr>
            <w:r>
              <w:t xml:space="preserve">[95% CI]‡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P-value‡</w:t>
            </w:r>
          </w:p>
        </w:tc>
      </w:tr>
      <w:tr>
        <w:tc>
          <w:tcPr>
            <w:tcW w:w="9360" w:type="dxa"/>
            <w:gridSpan w:val="8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Finding</w:t>
            </w:r>
          </w:p>
        </w:tc>
      </w:tr>
      <w:tr>
        <w:tc>
          <w:tcPr>
            <w:tcW w:w="1170" w:type="dxa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t xml:space="preserve">Any visit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0.68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0.92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1.34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1.30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[1.16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1.45]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&lt;0.001</w:t>
            </w: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Booking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1.21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1.45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1.20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1.96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[0.66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5.79]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0.224</w:t>
            </w:r>
          </w:p>
        </w:tc>
      </w:tr>
      <w:tr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Follow-up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0.60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0.86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1.42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1.22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[1.09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1.36]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&lt;0.001</w:t>
            </w:r>
          </w:p>
        </w:tc>
      </w:tr>
      <w:tr>
        <w:tc>
          <w:tcPr>
            <w:tcW w:w="9360" w:type="dxa"/>
            <w:gridSpan w:val="8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Reading</w:t>
            </w:r>
          </w:p>
        </w:tc>
      </w:tr>
      <w:tr>
        <w:tc>
          <w:tcPr>
            <w:tcW w:w="1170" w:type="dxa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t xml:space="preserve">Any visit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1.20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0.72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0.60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0.92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[0.73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1.15]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0.472</w:t>
            </w: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Booking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2.10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0.39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0.19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0.80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[0.65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0.98]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0.033</w:t>
            </w:r>
          </w:p>
        </w:tc>
      </w:tr>
      <w:tr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Follow-up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0.99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0.73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0.74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0.92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[0.69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1.22]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0.567</w:t>
            </w:r>
          </w:p>
        </w:tc>
      </w:tr>
      <w:tr>
        <w:tc>
          <w:tcPr>
            <w:tcW w:w="9360" w:type="dxa"/>
            <w:gridSpan w:val="8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Writing</w:t>
            </w:r>
          </w:p>
        </w:tc>
      </w:tr>
      <w:tr>
        <w:tc>
          <w:tcPr>
            <w:tcW w:w="1170" w:type="dxa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t xml:space="preserve">Any visit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8.48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5.50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0.65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0.68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[0.56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0.83]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&lt;0.001</w:t>
            </w: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Booking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16.48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13.73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0.83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1.30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[0.55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3.05]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0.551</w:t>
            </w:r>
          </w:p>
        </w:tc>
      </w:tr>
      <w:tr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Follow-up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6.94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4.61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0.66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0.65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[0.59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0.72]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&lt;0.001</w:t>
            </w:r>
          </w:p>
        </w:tc>
      </w:tr>
      <w:tr>
        <w:tc>
          <w:tcPr>
            <w:gridSpan w:val="8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*Sample means were not computed on the log scale. †Estimates of relative time use were adjusted for the stratification variable, cluster size, lab availability, and booking visit. ‡Confidence intervals and P-values were adjusted for possible cluster effects due to the cluster RCT design and observer.</w:t>
            </w:r>
          </w:p>
        </w:tc>
      </w:tr>
    </w:tbl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Committee for Medicinal Products for Human Use (CHMP) (2015). Guideline on </w:t>
      </w:r>
      <w:r>
        <w:t xml:space="preserve">adjustment for baseline covariates in clinical trials. London: European </w:t>
      </w:r>
      <w:r>
        <w:t xml:space="preserve">Medicines Agency.</w:t>
      </w:r>
    </w:p>
    <w:p>
      <w:pPr>
        <w:jc w:val="both"/>
      </w:pPr>
      <w:r>
        <w:t/>
      </w:r>
      <w:r>
        <w:t xml:space="preserve">Li, F., Lokhnygina, Y., Murray, D. M., Heagerty, P. J., &amp; DeLong, E. R. (2016). </w:t>
      </w:r>
      <w:r>
        <w:t xml:space="preserve">An evaluation of constrained randomization for the design and analysis of </w:t>
      </w:r>
      <w:r>
        <w:t xml:space="preserve">group‐randomized trials. Statistics in Medicine, 35(10), 1565-1579.</w:t>
      </w:r>
    </w:p>
    <w:p>
      <w:pPr>
        <w:pStyle w:val="Heading1"/>
      </w:pPr>
      <w:r>
        <w:t/>
      </w:r>
      <w:r>
        <w:t xml:space="preserve"/>
      </w:r>
      <w:r>
        <w:t xml:space="preserve">Appendix 1 — Protocol Deviations</w:t>
      </w:r>
    </w:p>
    <w:p>
      <w:pPr>
        <w:jc w:val="both"/>
      </w:pPr>
      <w:r>
        <w:t/>
      </w:r>
      <w:r>
        <w:t xml:space="preserve">We did not plan to model relative times via transformation to the log scale. </w:t>
      </w:r>
      <w:r>
        <w:t xml:space="preserve">Nor did we plan to adjust for observer but chose to do so as it is plausible </w:t>
      </w:r>
      <w:r>
        <w:t xml:space="preserve">that systematic differences may exist between observers. We did not plan in </w:t>
      </w:r>
      <w:r>
        <w:t xml:space="preserve">detail how time used finding, reading, or writing files would be analyzed.</w:t>
      </w:r>
    </w:p>
    <w:p>
      <w:pPr>
        <w:pStyle w:val="Heading1"/>
      </w:pPr>
      <w:r>
        <w:t/>
      </w:r>
      <w:r>
        <w:t xml:space="preserve"/>
      </w:r>
      <w:r>
        <w:t xml:space="preserve">Appendix 2 — Plots of marginal mean times</w:t>
      </w:r>
    </w:p>
    <w:p>
      <w:pPr>
        <w:jc w:val="both"/>
      </w:pPr>
      <w:r>
        <w:t/>
      </w:r>
      <w:r>
        <w:t xml:space="preserve">The following plots show marginal mean times for a selection of the outcomes.</w:t>
      </w:r>
      <w:r>
        <w:drawing>
          <wp:inline distT="0" distB="0" distL="0" distR="0">
            <wp:extent cx="5943600" cy="432228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  <w:r>
        <w:drawing>
          <wp:inline distT="0" distB="0" distL="0" distR="0">
            <wp:extent cx="5943600" cy="4322284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  <w:r>
        <w:drawing>
          <wp:inline distT="0" distB="0" distL="0" distR="0">
            <wp:extent cx="5943600" cy="4322284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  <w:r>
        <w:drawing>
          <wp:inline distT="0" distB="0" distL="0" distR="0">
            <wp:extent cx="5943600" cy="4322284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  <w:r>
        <w:drawing>
          <wp:inline distT="0" distB="0" distL="0" distR="0">
            <wp:extent cx="5943600" cy="4322284"/>
            <wp:effectExtent l="0" t="0" r="0" b="0"/>
            <wp:docPr id="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  <w:r>
        <w:drawing>
          <wp:inline distT="0" distB="0" distL="0" distR="0">
            <wp:extent cx="5943600" cy="4322284"/>
            <wp:effectExtent l="0" t="0" r="0" b="0"/>
            <wp:docPr id="1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</w:p>
    <w:p>
      <w:pPr>
        <w:pStyle w:val="Heading1"/>
      </w:pPr>
      <w:r>
        <w:t/>
      </w:r>
      <w:r>
        <w:t xml:space="preserve"/>
      </w:r>
      <w:r>
        <w:t xml:space="preserve">Appendix 3 — Full Regression Results</w:t>
      </w:r>
    </w:p>
    <w:p>
      <w:pPr>
        <w:pStyle w:val="Heading2"/>
      </w:pPr>
      <w:r>
        <w:t/>
      </w:r>
      <w:r>
        <w:t xml:space="preserve"/>
      </w:r>
      <w:r>
        <w:t xml:space="preserve">Comparisons of time used</w:t>
      </w:r>
    </w:p>
    <w:p>
      <w:pPr>
        <w:jc w:val="both"/>
      </w:pPr>
      <w:r>
        <w:t/>
      </w:r>
      <w:r>
        <w:t xml:space="preserve">The following tables show the full regression results. Note that time was </w:t>
      </w:r>
      <w:r>
        <w:t xml:space="preserve">modelled on the log scale and the full estimation results have not been </w:t>
      </w:r>
      <w:r>
        <w:t xml:space="preserve">exponentiated here.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3. Total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total_time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-3.29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10.29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6.04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2.03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3.98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4. Total (booking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total_booking_time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2.89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-11.46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-18.53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-4.40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(omitted)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19.16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3.59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4.41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5. Total (follow-up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total_fup_time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-3.66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-8.31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58.36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3.03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5.53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1.95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4.10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6. HIM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him_time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-3.58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1.01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2.78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4.48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1.57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4.00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7. HIM (booking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him_booking_time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4.16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-20.87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-11.40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(omitted)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4.02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11.41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3.33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4.71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8. HIM (follow-up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him_fup_time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-3.71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-8.05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89.86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0.88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2.84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4.48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1.60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4.09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9. Client care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care_time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-8.10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1.45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-0.21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1.45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10. Client care (booking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care_booking_time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3.37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29.47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-9.94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68.87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(omitted)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-0.82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1.51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-0.54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-3.79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2.15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11. Client care (follow-up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care_fup_time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7.01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-8.08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2.75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-57.51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-0.94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14.17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12. Finding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find_time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-6.91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-8.93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-4.89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-0.75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13. Finding (booking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find_booking_time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14.35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9.68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33.31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(omitted)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-0.83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-1.01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-2.44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14. Finding (follow-up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find_fup_time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-7.01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-10.89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-8.27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-5.75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Follow-up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(omitted)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1.24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-0.14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15. Reading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read_time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-0.79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1.44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16. Reading (booking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read_booking_time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7.47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10.59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-13.28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28.23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-1.92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(omitted)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-0.63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1.88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17. Reading (follow-up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read_fup_time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Follow-up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(omitted)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-0.79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1.35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18. Writing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write_time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-3.21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1.16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2.41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2.62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4.22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19. Writing (booking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write_booking_time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3.15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5.55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-23.10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-38.94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-7.26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(omitted)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3.84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7.08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2.77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4.90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20. Writing (follow-up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write_fup_time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-8.48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2.42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-3.83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-9.18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88.55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1.19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2.47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2.62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4.32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    <Relationship Target="media/document_image_rId4.png" Type="http://schemas.openxmlformats.org/officeDocument/2006/relationships/image" Id="rId4"/>
    <Relationship Target="media/document_image_rId5.png" Type="http://schemas.openxmlformats.org/officeDocument/2006/relationships/image" Id="rId5"/>
    <Relationship Target="media/document_image_rId6.png" Type="http://schemas.openxmlformats.org/officeDocument/2006/relationships/image" Id="rId6"/>
    <Relationship Target="media/document_image_rId7.png" Type="http://schemas.openxmlformats.org/officeDocument/2006/relationships/image" Id="rId7"/>
    <Relationship Target="media/document_image_rId8.png" Type="http://schemas.openxmlformats.org/officeDocument/2006/relationships/image" Id="rId8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