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7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a4b3d5b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Except as noted below, we analyzed the data as specified in the protocol using Stata 16 (StataCorp LLC, College </w:t>
      </w:r>
      <w:r>
        <w:t xml:space="preserve">Station, Texas, USA). Briefly, we analyzed resource use (person-hours) on the log scale </w:t>
      </w:r>
      <w:r>
        <w:t xml:space="preserve">using extended interval regression (eintreg) and used a likelihood-adjusted-censoring </w:t>
      </w:r>
      <w:r>
        <w:t xml:space="preserve">inverse-probability-weighted regression adjustment model (LAC-IPWRA; stteffects) to estimate mean </w:t>
      </w:r>
      <w:r>
        <w:t xml:space="preserve">differences in time-to-completion. Ongoing reviews were right censored at the end of data collection </w:t>
      </w:r>
      <w:r>
        <w:t xml:space="preserve">(31 January 2023) and all analyses accounted for this censoring. We had no reason to suspect informative </w:t>
      </w:r>
      <w:r>
        <w:t xml:space="preserve">(nonrandom) censoring, so did not model a censoring mechanism. Because we did not </w:t>
      </w:r>
      <w:r>
        <w:t xml:space="preserve">randomize reviews to use recommended ML versus no ML (for example), we modelled ML use as an endogenously </w:t>
      </w:r>
      <w:r>
        <w:t xml:space="preserve">assigned treatment predicted by field (healthcare or welfare) and pre-specification (existence </w:t>
      </w:r>
      <w:r>
        <w:t xml:space="preserve">of a protocol), as planned, in all analyses except that for the secondary analysis recommended versus </w:t>
      </w:r>
      <w:r>
        <w:t xml:space="preserve">non-recommended ML use with respect to resource use. While there was some statistically significant evidence </w:t>
      </w:r>
      <w:r>
        <w:t xml:space="preserve">of endogeneity from the corresponding time-to-completion analysis and an exploratory logistic regression, the estimate of </w:t>
      </w:r>
      <w:r>
        <w:t xml:space="preserve">relative resource use obtained using the planned model appeared to dramatically overestimate the </w:t>
      </w:r>
      <w:r>
        <w:t xml:space="preserve">effect of recommended ML use. We therefore used a model for this analysis that did not account for </w:t>
      </w:r>
      <w:r>
        <w:t xml:space="preserve">possible endogeneity. We re-expressed all estimates as ratios (relative resource use and relative </w:t>
      </w:r>
      <w:r>
        <w:t xml:space="preserve">time-to-completion) to aid generalization to other institutions. We present two-sided 95% confidence </w:t>
      </w:r>
      <w:r>
        <w:t xml:space="preserve">intervals and p-values where appropriate and use a prespecified p &lt; 0.05 significance criterion </w:t>
      </w:r>
      <w:r>
        <w:t xml:space="preserve">throughout. We also present the time-to-completion data using Kaplan-Meier estimates of survivor functions.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0.10 (0.06 to 0.17)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&lt;0.0001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1.49 (0.78 to 2.85)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0.223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0.08 (0.04 to 0.20)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&lt;0.0001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1.10 (0.69 to 1.78)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0.683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0.89 (0.55 to 1.42)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0.616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29.3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1.10 (0.68 to 1.79)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0.698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reviews and may underestimate resource use (person-hours) and time-to-completion (weeks) due to right-censoring of ongoing projects. ²Estimates are relative resource use and relative time-to-completion, account for right-censored outcomes and nonrandom endogenous treatment allocation, and are adjusted for planned meta-analysis.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 (TODO: Cite revision).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6.59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(H vs G)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-12.77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19.22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38.98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6.70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(K vs J)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-19.73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11.87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34.36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48.78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6.82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-1.11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 vs Q)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20.36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Q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32.36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23.48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41.23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