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image/png" PartName="/word/media/document_image_rId4.png"/>
  <Override ContentType="image/png" PartName="/word/media/document_image_rId5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/>
      </w:r>
      <w:r>
        <w:t xml:space="preserve"/>
      </w:r>
      <w:r>
        <w:t xml:space="preserve">The effect of machine learning tools for evidence synthesis on resource use and time-to-completion</w:t>
      </w:r>
    </w:p>
    <w:p>
      <w:pPr>
        <w:jc w:val="both"/>
      </w:pPr>
      <w:r>
        <w:t/>
      </w:r>
      <w:r>
        <w:t xml:space="preserve">Chris Rose, Norwegian Institute of Public Health </w:t>
      </w:r>
      <w:r>
        <w:t xml:space="preserve">(</w:t>
      </w:r>
      <w:r>
        <w:t xml:space="preserve"> 5 Jun 2023</w:t>
      </w:r>
      <w:r>
        <w:t xml:space="preserve">)</w:t>
      </w:r>
    </w:p>
    <w:p>
      <w:pPr>
        <w:jc w:val="both"/>
      </w:pPr>
      <w:r>
        <w:t/>
      </w:r>
      <w:r>
        <w:t xml:space="preserve">Generated using git revision: </w:t>
      </w:r>
      <w:r>
        <w:t xml:space="preserve">fadede9</w:t>
      </w:r>
    </w:p>
    <w:p>
      <w:pPr>
        <w:pStyle w:val="Heading1"/>
      </w:pPr>
      <w:r>
        <w:t/>
      </w:r>
      <w:r>
        <w:t xml:space="preserve"/>
      </w:r>
      <w:r>
        <w:t xml:space="preserve">Methods</w:t>
      </w:r>
    </w:p>
    <w:p>
      <w:pPr>
        <w:jc w:val="both"/>
      </w:pPr>
      <w:r>
        <w:t/>
      </w:r>
      <w:r>
        <w:t xml:space="preserve">Except as noted in Protocol Deviations, the statistical analyses were performed </w:t>
      </w:r>
      <w:r>
        <w:t xml:space="preserve">as specified in our protocol using Stata 16 (StataCorp LLC, College Station, Texas, USA). </w:t>
      </w:r>
      <w:r>
        <w:t xml:space="preserve">The study is retrospective, and reviews were not randomized to use recommended ML versus </w:t>
      </w:r>
      <w:r>
        <w:t xml:space="preserve">no ML (for example). We therefore modelled ML use as an endogenously assigned </w:t>
      </w:r>
      <w:r>
        <w:t xml:space="preserve">treatment predicted by field (healthcare or welfare) and prespecification </w:t>
      </w:r>
      <w:r>
        <w:t xml:space="preserve">(existence of a protocol). Resource use was analyzed using </w:t>
      </w:r>
      <w:r>
        <w:t xml:space="preserve">extended interval regression (Stata's eintreg command) and time-to-completion </w:t>
      </w:r>
      <w:r>
        <w:t xml:space="preserve">was analyzed using a likelihood-adjusted-censoring inverse-probability-weighted </w:t>
      </w:r>
      <w:r>
        <w:t xml:space="preserve">regression adjustment model (LAC-IPWRA; Stata's stteffects command). Ongoing </w:t>
      </w:r>
      <w:r>
        <w:t xml:space="preserve">reviews were right censored at the end of data collection (31 January 2023) </w:t>
      </w:r>
      <w:r>
        <w:t xml:space="preserve">and all analyses accounted for this censoring. We had no reason to suspect </w:t>
      </w:r>
      <w:r>
        <w:t xml:space="preserve">informative (nonrandom) censoring, so did not model a censoring mechanism. </w:t>
      </w:r>
      <w:r>
        <w:t xml:space="preserve">Normality of residuals from the analyses of resource use were assessed using </w:t>
      </w:r>
      <w:r>
        <w:t xml:space="preserve">the Shapiro-Wilk test. To aid generalization to other institutions, we </w:t>
      </w:r>
      <w:r>
        <w:t xml:space="preserve">re-expressed analysis results as estimates of ratios (relative resource </w:t>
      </w:r>
      <w:r>
        <w:t xml:space="preserve">use and relative time-to-completion). We did this by exponentiating differences </w:t>
      </w:r>
      <w:r>
        <w:t xml:space="preserve">in mean log resource use, and by computing ratios of mean times-to-completion </w:t>
      </w:r>
      <w:r>
        <w:t xml:space="preserve">using the delta method. We present two-sided 95% confidence intervals and </w:t>
      </w:r>
      <w:r>
        <w:t xml:space="preserve">p-values where appropriate and use a prespecified p &lt; 0.05 significance </w:t>
      </w:r>
      <w:r>
        <w:t xml:space="preserve">criterion throughout. We also present the time-to-completion data using </w:t>
      </w:r>
      <w:r>
        <w:t xml:space="preserve">Kaplan-Meier estimates of survivor functions (but note that these do not account </w:t>
      </w:r>
      <w:r>
        <w:t xml:space="preserve">for nonrandom endogenous treatment assignment and are not adjusted for planned </w:t>
      </w:r>
      <w:r>
        <w:t xml:space="preserve">meta-analysis).</w:t>
      </w:r>
    </w:p>
    <w:p>
      <w:pPr>
        <w:pStyle w:val="Heading1"/>
      </w:pPr>
      <w:r>
        <w:t/>
      </w:r>
      <w:r>
        <w:t xml:space="preserve"/>
      </w:r>
      <w:r>
        <w:t xml:space="preserve">Protocol Deviations</w:t>
      </w:r>
    </w:p>
    <w:p>
      <w:pPr>
        <w:jc w:val="both"/>
      </w:pPr>
      <w:r>
        <w:t/>
      </w:r>
      <w:r>
        <w:t xml:space="preserve">It was not possible to model nonrandom endogenous treatment assignment using </w:t>
      </w:r>
      <w:r>
        <w:t xml:space="preserve">both prespecified variables (field and prespecification) in the analyses of </w:t>
      </w:r>
      <w:r>
        <w:t xml:space="preserve">resource use because the models did not converge. We therefore used one of </w:t>
      </w:r>
      <w:r>
        <w:t xml:space="preserve">the two variables, choosing the variable with the smallest standard error </w:t>
      </w:r>
      <w:r>
        <w:t xml:space="preserve">in the model of treatment assignment. Endogenous assignment of any or </w:t>
      </w:r>
      <w:r>
        <w:t xml:space="preserve">recommended ML was modelled by field (welfare reviews were generally more </w:t>
      </w:r>
      <w:r>
        <w:t xml:space="preserve">likely to use ML) and recommended ML use was modelled by prespecification </w:t>
      </w:r>
      <w:r>
        <w:t xml:space="preserve">(reviews with protocols were generally less likely to use recommended ML).</w:t>
      </w:r>
    </w:p>
    <w:p>
      <w:pPr>
        <w:jc w:val="both"/>
      </w:pPr>
      <w:r>
        <w:t/>
      </w:r>
      <w:r>
        <w:t xml:space="preserve">We updated the preprint version of the protocol during data extraction but before starting the </w:t>
      </w:r>
      <w:r>
        <w:t xml:space="preserve">analysis or unblinding the statistician (CJR) to redefine the comparisons in terms of under- and </w:t>
      </w:r>
      <w:r>
        <w:t xml:space="preserve">overuse of machine learning. However, too few reviews were judged to have </w:t>
      </w:r>
      <w:r>
        <w:t xml:space="preserve">under- or overused ML, so it was not possible to run these analyses. We </w:t>
      </w:r>
      <w:r>
        <w:t xml:space="preserve">therefore performed and report the analyses as originally planned.</w:t>
      </w:r>
    </w:p>
    <w:p>
      <w:r>
        <w:br w:type="page"/>
      </w:r>
    </w:p>
    <w:p>
      <w:pPr>
        <w:pStyle w:val="Heading1"/>
      </w:pPr>
      <w:r>
        <w:t/>
      </w:r>
      <w:r>
        <w:t xml:space="preserve"/>
      </w:r>
      <w:r>
        <w:t xml:space="preserve">Results</w:t>
      </w:r>
    </w:p>
    <w:tbl>
      <w:tblPr>
        <w:tblStyle w:val="TableGrid"/>
        <w:tblW w:w="0" w:type="auto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Any</w:t>
            </w: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Commissioned reviews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 (54%)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 (54%)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 (69%)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Completed reviews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 (13%)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24 (62%)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Review type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HTA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 ( 8%)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 ( 5%)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 ( 5%)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 ( 5%)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 ( 8%)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Non-HTA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 (23%)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 (23%)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23 (59%)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Synthesis type planned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 (quantitative or qualitative)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 (28%)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11 (28%)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25 (64%)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Pairwise meta-analysis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10 (26%)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10 (26%)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4 (10%)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 (36%)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Network meta-analysis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ML used during study identification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Ranking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19 (49%)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25 (64%)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Classifiers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 (23%)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 ( 8%)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9 (23%)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 (31%)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Clustering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 ( 5%)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 (15%)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8 (21%)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OpenAlex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 (13%)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 (13%)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 (13%)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ML used during data extraction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Classifiers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Clustering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 ( 3%)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 ( 3%)</w:t>
            </w:r>
          </w:p>
        </w:tc>
        <w:tc>
          <w:tcPr>
            <w:tcW w:w="0" w:type="auto"/>
            <w:tcBorders>
              <w:lef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 ( 3%)</w:t>
            </w:r>
          </w:p>
        </w:tc>
      </w:tr>
      <w:tr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Automated data extraction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Other ML functions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</w:t>
            </w:r>
          </w:p>
        </w:tc>
      </w:tr>
      <w:tr>
        <w:tc>
          <w:tcPr>
            <w:gridSpan w:val="7"/>
            <w:tcBorders>
              <w:top w:val="single" w:color="000000"/>
              <w:left w:val="nil" w:color="000000"/>
              <w:bottom w:val="nil" w:color="000000"/>
              <w:right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Data are number of reviews and percent of all included reviews.</w:t>
            </w:r>
          </w:p>
        </w:tc>
      </w:tr>
    </w:tbl>
    <w:p>
      <w:r>
        <w:t/>
      </w:r>
    </w:p>
    <w:tbl>
      <w:tblPr>
        <w:tblStyle w:val="TableGrid"/>
        <w:tblW w:w="0" w:type="auto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Type of ML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Reviews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Sample Mean¹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Effect Estimate²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p-value</w:t>
            </w: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Resource Use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Person-hours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3.7 (0.4 to 37.9)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0.269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888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0.5 (0.0 to 10.7)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0.658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569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140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 (0.2 to 1.9)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0.439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625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b w:val="true"/>
                <w:sz w:val="16"/>
              </w:rPr>
              <w:t xml:space="preserve">Time-to-completion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Weeks</w:t>
            </w: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top w:val="single" w:color="000000"/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0.9 (0.5 to 1.6)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0.753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27.6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Non-recommended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6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36.2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1.1 (0.7 to 1.9)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0.658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Recommended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21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27.6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None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12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28.2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0.9 (0.6 to 1.5)</w:t>
            </w:r>
          </w:p>
        </w:tc>
        <w:tc>
          <w:tcPr>
            <w:tcW w:w="0" w:type="auto"/>
            <w:tcBorders>
              <w:top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0.784</w:t>
            </w:r>
          </w:p>
        </w:tc>
      </w:tr>
      <w:tr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Any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27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29.5</w:t>
            </w: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  <w:tc>
          <w:tcPr>
            <w:tcW w:w="0" w:type="auto"/>
            <w:tcBorders>
              <w:bottom w:val="single" w:color="000000"/>
            </w:tcBorders>
          </w:tcPr>
          <w:p>
            <w:pPr>
              <w:spacing w:after="0"/>
            </w:pPr>
          </w:p>
        </w:tc>
      </w:tr>
      <w:tr>
        <w:tc>
          <w:tcPr>
            <w:gridSpan w:val="5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  <w:r>
              <w:rPr>
                <w:rFonts w:ascii="Calibri (Body)" w:hAnsi="Calibri (Body)" w:eastAsia="Calibri (Body)" w:cs="Calibri (Body)"/>
                <w:sz w:val="16"/>
              </w:rPr>
              <w:t xml:space="preserve">¹Data are means of samples restricted to completed (uncensored) reviews and do not account for nonrandom endogenous treatment allocation. ²Estimates are relative resource use and relative time-to-completion, and account for right-censored outcomes and nonrandom endogenous treatment allocation. An effect estimate &lt; 1 indicates that recommended or any ML use is associated with less resource use or shorter time-to-completion than to the comparator. All estimates are adjusted for planned meta-analysis.</w:t>
            </w:r>
          </w:p>
        </w:tc>
      </w:tr>
    </w:tbl>
    <w:p>
      <w:r>
        <w:t/>
      </w:r>
    </w:p>
    <w:p>
      <w:pPr>
        <w:jc w:val="both"/>
      </w:pPr>
      <w:r>
        <w:t/>
      </w:r>
      <w:r>
        <w:t xml:space="preserve">The strength of evidence for endogeneity varied by comparison. For example, </w:t>
      </w:r>
      <w:r>
        <w:t xml:space="preserve">the correlation between use of any versus no ML and resource use was 0.95 </w:t>
      </w:r>
      <w:r>
        <w:t xml:space="preserve">(95% CI 0.25 to 1.00; p&lt;0.0001) while that for recommended versus </w:t>
      </w:r>
      <w:r>
        <w:t xml:space="preserve">no ML use was 0.01 (95% CI -0.97 to 0.97; p=0.99). However, as far as possible, </w:t>
      </w:r>
      <w:r>
        <w:t xml:space="preserve">we chose to account for possible endogeneity according to our protocol.</w:t>
      </w:r>
    </w:p>
    <w:p>
      <w:pPr>
        <w:jc w:val="both"/>
      </w:pPr>
      <w:r>
        <w:t/>
      </w:r>
      <w:r>
        <w:t xml:space="preserve">Due to the smaller than anticipated sample size, none of the effect estimates were </w:t>
      </w:r>
      <w:r>
        <w:t xml:space="preserve">sufficiently precise to be able to conclude that use of recommended or any ML is </w:t>
      </w:r>
      <w:r>
        <w:t xml:space="preserve">associated with more or less resource use, or longer or shorter time-to-completion, </w:t>
      </w:r>
      <w:r>
        <w:t xml:space="preserve">compared to no or non-recommended ML use (i.e., all confidence intervals include the </w:t>
      </w:r>
      <w:r>
        <w:t xml:space="preserve">null). For resource use, point estimates favor recommended and any ML use over </w:t>
      </w:r>
      <w:r>
        <w:t xml:space="preserve">non-recommended and no ML use, while no ML use is favored over recommended ML use. </w:t>
      </w:r>
      <w:r>
        <w:t xml:space="preserve">For time-to-completion, point estimates favor recommended and any ML use over </w:t>
      </w:r>
      <w:r>
        <w:t xml:space="preserve">no ML use, while non-recommended ML use is favored over recommended ML use. The </w:t>
      </w:r>
      <w:r>
        <w:t xml:space="preserve">estimates are generally but not always consistent with the sample means and </w:t>
      </w:r>
      <w:r>
        <w:t xml:space="preserve">Kaplan-Meier plots. However, the sample means may be quite misleading due to </w:t>
      </w:r>
      <w:r>
        <w:t xml:space="preserve">possible confounding (nonrandom endogenous treatment assignment), do not account </w:t>
      </w:r>
      <w:r>
        <w:t xml:space="preserve">for censoring, and are not adjusted for the effect of planned meta-analysis, which </w:t>
      </w:r>
      <w:r>
        <w:t xml:space="preserve">is associated with more resource use and longer time-to-completion. The Kaplan-Meier </w:t>
      </w:r>
      <w:r>
        <w:t xml:space="preserve">plots show censored reviews, but do not account for endogeneity and are not adjusted </w:t>
      </w:r>
      <w:r>
        <w:t xml:space="preserve">for planned meta-analysis. Recall that we estimated ratios of means, while Kaplan-Meier </w:t>
      </w:r>
      <w:r>
        <w:t xml:space="preserve">plots are generally interpreted in terms of quantiles (e.g., median </w:t>
      </w:r>
      <w:r>
        <w:t xml:space="preserve">time-to-completion).</w:t>
      </w:r>
    </w:p>
    <w:p>
      <w:r>
        <w:br w:type="page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 ML Use</w:t>
      </w:r>
      <w:r>
        <w:drawing>
          <wp:inline distT="0" distB="0" distL="0" distR="0">
            <wp:extent cx="5943600" cy="432297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Recommended vs Non-recommended ML Use</w:t>
      </w:r>
      <w:r>
        <w:drawing>
          <wp:inline distT="0" distB="0" distL="0" distR="0">
            <wp:extent cx="5943600" cy="4322979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2"/>
      </w:pPr>
      <w:r>
        <w:t/>
      </w:r>
      <w:r>
        <w:t xml:space="preserve"/>
      </w:r>
      <w:r>
        <w:t xml:space="preserve">Kaplan-Meier estimates for Any vs No ML Use</w:t>
      </w:r>
      <w:r>
        <w:drawing>
          <wp:inline distT="0" distB="0" distL="0" distR="0">
            <wp:extent cx="5943600" cy="4322979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 w:type="textWrapping"/>
      </w:r>
    </w:p>
    <w:p>
      <w:pPr>
        <w:pStyle w:val="Heading1"/>
      </w:pPr>
      <w:r>
        <w:t/>
      </w:r>
      <w:r>
        <w:t xml:space="preserve"/>
      </w:r>
      <w:r>
        <w:t xml:space="preserve">Discussion</w:t>
      </w:r>
    </w:p>
    <w:p>
      <w:pPr>
        <w:jc w:val="both"/>
      </w:pPr>
      <w:r>
        <w:t/>
      </w:r>
      <w:r>
        <w:t xml:space="preserve">Results for the resource use outcome are a little challenging to interpret. The effect </w:t>
      </w:r>
      <w:r>
        <w:t xml:space="preserve">estimates suggest that recommended or any ML use is associated with less resource use </w:t>
      </w:r>
      <w:r>
        <w:t xml:space="preserve">compared to non-recommended or no ML use, but the sample means for the any versus no ML use </w:t>
      </w:r>
      <w:r>
        <w:t xml:space="preserve">comparison suggest the opposite (but could be quite misleading). The effect estimate suggests that </w:t>
      </w:r>
      <w:r>
        <w:t xml:space="preserve">recommended ML use is associated with substantially more resource use compared to no ML use, </w:t>
      </w:r>
      <w:r>
        <w:t xml:space="preserve">and this is also reflected by the sample means. We find this result quite surprising, but it </w:t>
      </w:r>
      <w:r>
        <w:t xml:space="preserve">could be explained by confounding that we have not been able to account for. For example, </w:t>
      </w:r>
      <w:r>
        <w:t xml:space="preserve">perhaps reviews that did not use ML did not do so because they were judged to be "easy", and </w:t>
      </w:r>
      <w:r>
        <w:t xml:space="preserve">"easy" reviews are not resource intensive.</w:t>
      </w:r>
    </w:p>
    <w:p>
      <w:pPr>
        <w:jc w:val="both"/>
      </w:pPr>
      <w:r>
        <w:t/>
      </w:r>
      <w:r>
        <w:t xml:space="preserve">Results for the time-to-completion outcome are somewhat easier to interpret. The effect </w:t>
      </w:r>
      <w:r>
        <w:t xml:space="preserve">estimates suggest that recommended or any ML use is associated with shorter time-to-completion </w:t>
      </w:r>
      <w:r>
        <w:t xml:space="preserve">compared to no ML use. These results are consistent with our experience and with one of </w:t>
      </w:r>
      <w:r>
        <w:t xml:space="preserve">the associated sets of sample means. The point estimate for the recommended versus </w:t>
      </w:r>
      <w:r>
        <w:t xml:space="preserve">non-recommended comparison slightly favors non-recommended ML use, but the sample means </w:t>
      </w:r>
      <w:r>
        <w:t xml:space="preserve">strongly suggest otherwise. Because the estimate is imprecise, and the point estimate is </w:t>
      </w:r>
      <w:r>
        <w:t xml:space="preserve">close to the null, it would not surprise us if the direction of effect is wrong.</w:t>
      </w:r>
    </w:p>
    <w:p>
      <w:pPr>
        <w:jc w:val="both"/>
      </w:pPr>
      <w:r>
        <w:t/>
      </w:r>
      <w:r>
        <w:t xml:space="preserve">We think the results for the time-to-completion outcome are somewhat easier to interpret than </w:t>
      </w:r>
      <w:r>
        <w:t xml:space="preserve">those for resource use because review commission and completion dates (which are used to </w:t>
      </w:r>
      <w:r>
        <w:t xml:space="preserve">define time-to-completion) are well-defined and easy to measure, while resource use is essentially </w:t>
      </w:r>
      <w:r>
        <w:t xml:space="preserve">a self-reported outcome. Researchers at our institute use a web- or mobile app-based system </w:t>
      </w:r>
      <w:r>
        <w:t xml:space="preserve">to allocate hours worked to specific projects. There is likely to be inter-researcher </w:t>
      </w:r>
      <w:r>
        <w:t xml:space="preserve">differences in reporting, which could lead to substantial variation in outcome measurements. </w:t>
      </w:r>
      <w:r>
        <w:t xml:space="preserve">In addition, confounding may occur if researchers who under- or over-allocate hours are also more likely to </w:t>
      </w:r>
      <w:r>
        <w:t xml:space="preserve">use or not use ML. While confounding may also occur for time-to-completion outcomes, it may be </w:t>
      </w:r>
      <w:r>
        <w:t xml:space="preserve">easier to account for in analysis. For these reasons, we suggest that future studies specify </w:t>
      </w:r>
      <w:r>
        <w:t xml:space="preserve">well-defined time-to-completion outcomes as being of primary interest.</w:t>
      </w:r>
    </w:p>
    <w:p>
      <w:pPr>
        <w:pStyle w:val="Heading1"/>
      </w:pPr>
      <w:r>
        <w:t/>
      </w:r>
      <w:r>
        <w:t xml:space="preserve"/>
      </w:r>
      <w:r>
        <w:t xml:space="preserve">Appendix — Full Regression Results</w:t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2.63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1.70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Recommended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1.31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-1.01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3.64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4.69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6.43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1.83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-0.10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-0.78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0.15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0.35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0.96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(Recommended vs None)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-3.02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9.65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-0.31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-21.93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15.90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36.34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7.68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21.28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51.40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0.32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1.11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0.27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-0.24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0.87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Recommended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-0.69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-3.76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2.37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6.94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4.43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9.45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rec_vs_nonrec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prespecified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-0.26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-0.47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-1.37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2.11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1.78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0.49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1.15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corr(e.rec_vs_nonrec,e.log_resource1)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1.24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0.84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-0.98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rec_vs_nonrec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(Recommended vs Non-recommended)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3.83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8.79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-13.39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21.06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rec_vs_nonrec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Non-recommended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30.87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5.66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5.45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19.77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41.97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resource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meta_analysis_planned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Yes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0.99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3.17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0.38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1.61</w:t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-0.43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-0.77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0.44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-1.52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0.66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14.42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5.16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6.79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any_vs_none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field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Welfare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>0.59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1.89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0.06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-0.02</w:t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>1.20</w:t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_cons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1.13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0.76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var(e.log_resource1)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1.34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0.55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0.61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2.98</w:t>
            </w:r>
          </w:p>
        </w:tc>
      </w:tr>
      <w:tr>
        <w:tc>
          <w:tcPr>
            <w:tcW w:w="1337" w:type="dxa"/>
            <w:tcBorders>
              <w:top w:val="single" w:color="000000"/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corr(e.any_vs_none,e.log_resource1)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0.95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0.08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12.47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0.25</w:t>
            </w:r>
          </w:p>
        </w:tc>
        <w:tc>
          <w:tcPr>
            <w:tcW w:w="1337" w:type="dxa"/>
            <w:tcBorders>
              <w:top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</w:tbl>
    <w:p>
      <w:r>
        <w:t/>
      </w:r>
    </w:p>
    <w:p>
      <w:pPr>
        <w:pStyle w:val="Heading2"/>
      </w:pPr>
      <w:r>
        <w:t/>
      </w:r>
      <w:r>
        <w:t xml:space="preserve"/>
      </w:r>
      <w:r>
        <w:t xml:space="preserve">Regression results for any_vs_none with respect to time</w:t>
      </w:r>
    </w:p>
    <w:tbl>
      <w:tblPr>
        <w:tblStyle w:val="TableGrid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>Robust</w:t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_t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Coef.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Std. Err.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z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P&gt;|z|</w:t>
            </w:r>
          </w:p>
        </w:tc>
        <w:tc>
          <w:tcPr>
            <w:tcW w:w="2674" w:type="dxa"/>
            <w:gridSpan w:val="2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[95% Conf. Interval]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ATE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(Any vs None)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-2.48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9.15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-0.27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0.79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-20.41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15.45</w:t>
            </w:r>
          </w:p>
        </w:tc>
      </w:tr>
      <w:tr>
        <w:tc>
          <w:tcPr>
            <w:tcW w:w="1337" w:type="dxa"/>
            <w:tcBorders>
              <w:top w:val="single" w:color="000000"/>
              <w:right w:val="single" w:color="000000"/>
            </w:tcBorders>
          </w:tcPr>
          <w:p>
            <w:pPr>
              <w:spacing w:after="0"/>
            </w:pPr>
            <w:r>
              <w:t xml:space="preserve">POmean</w:t>
            </w:r>
          </w:p>
        </w:tc>
        <w:tc>
          <w:tcPr>
            <w:tcW w:w="1337" w:type="dxa"/>
            <w:tcBorders>
              <w:top w:val="single" w:color="000000"/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  <w:tcBorders>
              <w:top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any_vs_none</w:t>
            </w:r>
          </w:p>
        </w:tc>
        <w:tc>
          <w:tcPr>
            <w:tcW w:w="1337" w:type="dxa"/>
            <w:tcBorders>
              <w:left w:val="single" w:color="000000"/>
            </w:tcBorders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  <w:tc>
          <w:tcPr>
            <w:tcW w:w="1337" w:type="dxa"/>
          </w:tcPr>
          <w:p>
            <w:pPr>
              <w:spacing w:after="0"/>
              <w:jc w:val="right"/>
            </w:pPr>
            <w:r>
              <w:t xml:space="preserve"/>
            </w:r>
          </w:p>
        </w:tc>
      </w:tr>
      <w:tr>
        <w:tc>
          <w:tcPr>
            <w:tcW w:w="1337" w:type="dxa"/>
            <w:tcBorders>
              <w:bottom w:val="single" w:color="000000"/>
              <w:right w:val="single" w:color="000000"/>
            </w:tcBorders>
          </w:tcPr>
          <w:p>
            <w:pPr>
              <w:spacing w:after="0"/>
              <w:jc w:val="right"/>
            </w:pPr>
            <w:r>
              <w:t xml:space="preserve">None</w:t>
            </w:r>
          </w:p>
        </w:tc>
        <w:tc>
          <w:tcPr>
            <w:tcW w:w="1337" w:type="dxa"/>
            <w:tcBorders>
              <w:left w:val="single" w:color="000000"/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37.97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7.98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4.76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22.34</w:t>
            </w:r>
          </w:p>
        </w:tc>
        <w:tc>
          <w:tcPr>
            <w:tcW w:w="1337" w:type="dxa"/>
            <w:tcBorders>
              <w:bottom w:val="single" w:color="000000"/>
            </w:tcBorders>
          </w:tcPr>
          <w:p>
            <w:pPr>
              <w:spacing w:after="0"/>
              <w:jc w:val="right"/>
            </w:pPr>
            <w:r>
              <w:t xml:space="preserve">53.60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png" Type="http://schemas.openxmlformats.org/officeDocument/2006/relationships/image" Id="rId3"/>
    <Relationship Target="media/document_image_rId4.png" Type="http://schemas.openxmlformats.org/officeDocument/2006/relationships/image" Id="rId4"/>
    <Relationship Target="media/document_image_rId5.png" Type="http://schemas.openxmlformats.org/officeDocument/2006/relationships/image" Id="rId5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