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[MSC_VER_NAME_C]</w:t>
            </w:r>
          </w:p>
        </w:tc>
      </w:tr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起初，　神 創造 天 地。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地 是 空虛 混沌，淵面 黑暗；　神 的靈 運行 在 水 面上。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神 說：「要有 光」，就有了 光。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神 看 光 是好的， 就把 光 暗 分開了。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神 就照著自己的形像 造 人，乃是照著他 的形像 造 男 造 女。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>
              <w:t>[MSC_TEXT_1C]</w:t>
            </w:r>
          </w:p>
          <w:p>
            <w:pPr>
              <w:pStyle w:val="MSC_Paragraph_C"/>
            </w:pPr>
            <w:r>
              <w:t>[MSC_TEXT_JOIN_C]</w:t>
            </w:r>
          </w:p>
          <w:p>
            <w:pPr>
              <w:pStyle w:val="MSC_Paragraph_C"/>
            </w:pPr>
            <w:r>
              <w:t>[MSC_TEXT_2C]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神的 兒子，耶穌 基督 福音的 起頭。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約翰 下監 以後，耶穌 來 到 加利利，宣傳　神的 福音，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說：「 日期 滿了，　神的 國 近了。你們當悔改， 信 福音！」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耶穌 對他們 說：「來 跟從 我， 我要叫 你們 得人 如得魚一樣。」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他們就 立刻 捨了 網，跟從了 他。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>
              <w:t>[MSC_TEXT_3C]</w:t>
            </w:r>
          </w:p>
          <w:p>
            <w:pPr>
              <w:pStyle w:val="MSC_Paragraph_C"/>
            </w:pPr>
            <w:r>
              <w:t>[MSC_TEXT_JOIN_C]</w:t>
            </w:r>
          </w:p>
          <w:p>
            <w:pPr>
              <w:pStyle w:val="MSC_Paragraph_C"/>
            </w:pPr>
            <w:r>
              <w:t>[MSC_TEXT_4C]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[MSC_COPYRIGHT_C]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_Paragraph_A">
    <w:name w:val="MSC_Paragraph_A"/>
    <w:basedOn w:val="MSCParagraph"/>
  </w:style>
  <w:style w:type="paragraph" w:customStyle="1" w:styleId="MSC_Paragraph_B">
    <w:name w:val="MSC_Paragraph_B"/>
    <w:basedOn w:val="MSCParagraph"/>
    <w:rPr>
      <w:rFonts w:ascii="Noto Sans CJK TC" w:hAnsi="Noto Sans CJK TC" w:eastAsia="Noto Sans CJK TC" w:cs="Noto Sans CJK TC"/>
    </w:rPr>
  </w:style>
  <w:style w:type="paragraph" w:customStyle="1" w:styleId="MSC_Paragraph_C">
    <w:name w:val="MSC_Paragraph_C"/>
    <w:basedOn w:val="MSCParagraph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