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00"/>
        <w:gridCol w:w="3080"/>
        <w:tblGridChange w:id="0">
          <w:tblGrid>
            <w:gridCol w:w="7000"/>
            <w:gridCol w:w="3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2">
            <w:pPr>
              <w:spacing w:after="40" w:lineRule="auto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1b2a4a"/>
                <w:sz w:val="28"/>
                <w:szCs w:val="28"/>
                <w:rtl w:val="0"/>
              </w:rPr>
              <w:t xml:space="preserve">MULTIVERSAL VENTURES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spacing w:after="0" w:lineRule="auto"/>
              <w:rPr/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color w:val="2e75b6"/>
                <w:sz w:val="22"/>
                <w:szCs w:val="22"/>
                <w:rtl w:val="0"/>
              </w:rPr>
              <w:t xml:space="preserve">Data-Driven Real Estate Investment Fund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2a4a" w:val="clear"/>
            <w:tcMar>
              <w:top w:w="120.0" w:type="dxa"/>
              <w:left w:w="200.0" w:type="dxa"/>
              <w:bottom w:w="12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spacing w:after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Powered by AI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cb4ee"/>
                <w:sz w:val="18"/>
                <w:szCs w:val="18"/>
                <w:rtl w:val="0"/>
              </w:rPr>
              <w:t xml:space="preserve">&amp; Fenero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pBdr>
          <w:bottom w:color="1b2a4a" w:space="1" w:sz="6" w:val="single"/>
        </w:pBd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bottom w:color="2e75b6" w:space="4" w:sz="4" w:val="single"/>
        </w:pBdr>
        <w:spacing w:after="100" w:before="2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b2a4a"/>
          <w:sz w:val="20"/>
          <w:szCs w:val="20"/>
          <w:rtl w:val="0"/>
        </w:rPr>
        <w:t xml:space="preserve">INVESTMENT THESIS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00" w:before="80" w:lineRule="auto"/>
        <w:rPr/>
      </w:pPr>
      <w:r w:rsidDel="00000000" w:rsidR="00000000" w:rsidRPr="00000000">
        <w:rPr>
          <w:rFonts w:ascii="Arial" w:cs="Arial" w:eastAsia="Arial" w:hAnsi="Arial"/>
          <w:color w:val="333333"/>
          <w:sz w:val="19"/>
          <w:szCs w:val="19"/>
          <w:rtl w:val="0"/>
        </w:rPr>
        <w:t xml:space="preserve">We acquire 20-100 unit apartment buildings in high-growth Midwest markets that are fully occupied and cash-flowing, requiring only light value-add improvements. Our AI-powered underwriting platform, Fenero, enables institutional-grade analysis at a fraction of the cost and time - identifying optimal investment opportunities through data-driven market selection. We hold assets for 3-5 years, delivering consistent cash distributions before exiting via sale or refinance.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bottom w:color="2e75b6" w:space="4" w:sz="4" w:val="single"/>
        </w:pBdr>
        <w:spacing w:after="100" w:before="2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b2a4a"/>
          <w:sz w:val="20"/>
          <w:szCs w:val="20"/>
          <w:rtl w:val="0"/>
        </w:rPr>
        <w:t xml:space="preserve">WHY THIS FUND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360"/>
        <w:gridCol w:w="3360"/>
        <w:gridCol w:w="3360"/>
        <w:tblGridChange w:id="0">
          <w:tblGrid>
            <w:gridCol w:w="3360"/>
            <w:gridCol w:w="3360"/>
            <w:gridCol w:w="3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f0fe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0B">
            <w:pPr>
              <w:spacing w:after="60" w:lineRule="auto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1b2a4a"/>
                <w:sz w:val="18"/>
                <w:szCs w:val="18"/>
                <w:rtl w:val="0"/>
              </w:rPr>
              <w:t xml:space="preserve">AI-Powered Underwriting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66666"/>
                <w:sz w:val="16"/>
                <w:szCs w:val="16"/>
                <w:rtl w:val="0"/>
              </w:rPr>
              <w:t xml:space="preserve">Fenero's DSCR analysis and automated income verification replaces weeks of manual diligence with institutional-grade insights in minutes.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f7fa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0D">
            <w:pPr>
              <w:spacing w:after="60" w:lineRule="auto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1b2a4a"/>
                <w:sz w:val="18"/>
                <w:szCs w:val="18"/>
                <w:rtl w:val="0"/>
              </w:rPr>
              <w:t xml:space="preserve">Data-Driven Market Selection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66666"/>
                <w:sz w:val="16"/>
                <w:szCs w:val="16"/>
                <w:rtl w:val="0"/>
              </w:rPr>
              <w:t xml:space="preserve">BLS employment data, Census demographics, and local housing reports feed our proprietary analysis engine to identify optimal markets.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f0fe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0F">
            <w:pPr>
              <w:spacing w:after="60" w:lineRule="auto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1b2a4a"/>
                <w:sz w:val="18"/>
                <w:szCs w:val="18"/>
                <w:rtl w:val="0"/>
              </w:rPr>
              <w:t xml:space="preserve">Positive Economies of Scale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66666"/>
                <w:sz w:val="16"/>
                <w:szCs w:val="16"/>
                <w:rtl w:val="0"/>
              </w:rPr>
              <w:t xml:space="preserve">Unlike flipping or wholesaling, our buy-and-hold multifamily strategy reduces per-unit costs as the portfolio grows.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pBdr>
          <w:bottom w:color="2e75b6" w:space="4" w:sz="4" w:val="single"/>
        </w:pBdr>
        <w:spacing w:after="100" w:before="2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b2a4a"/>
          <w:sz w:val="20"/>
          <w:szCs w:val="20"/>
          <w:rtl w:val="0"/>
        </w:rPr>
        <w:t xml:space="preserve">FUND 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40"/>
        <w:gridCol w:w="5040"/>
        <w:tblGridChange w:id="0">
          <w:tblGrid>
            <w:gridCol w:w="5040"/>
            <w:gridCol w:w="50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2a4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CLASS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75b6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CLASS 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dddddd" w:space="0" w:sz="4" w:val="single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15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66666"/>
                <w:sz w:val="17"/>
                <w:szCs w:val="17"/>
                <w:rtl w:val="0"/>
              </w:rPr>
              <w:t xml:space="preserve">Minimum Investment: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$100,000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66666"/>
                <w:sz w:val="17"/>
                <w:szCs w:val="17"/>
                <w:rtl w:val="0"/>
              </w:rPr>
              <w:t xml:space="preserve">Target IRR: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16%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66666"/>
                <w:sz w:val="17"/>
                <w:szCs w:val="17"/>
                <w:rtl w:val="0"/>
              </w:rPr>
              <w:t xml:space="preserve">Preferred Return: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8% Annual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66666"/>
                <w:sz w:val="17"/>
                <w:szCs w:val="17"/>
                <w:rtl w:val="0"/>
              </w:rPr>
              <w:t xml:space="preserve">Hold Period: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3-5 Years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66666"/>
                <w:sz w:val="17"/>
                <w:szCs w:val="17"/>
                <w:rtl w:val="0"/>
              </w:rPr>
              <w:t xml:space="preserve">Cash Distributions: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Quarterly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dddddd" w:space="0" w:sz="4" w:val="single"/>
              <w:bottom w:color="000000" w:space="0" w:sz="0" w:val="nil"/>
              <w:right w:color="000000" w:space="0" w:sz="0" w:val="nil"/>
            </w:tcBorders>
            <w:shd w:fill="f5f7fa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1A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66666"/>
                <w:sz w:val="17"/>
                <w:szCs w:val="17"/>
                <w:rtl w:val="0"/>
              </w:rPr>
              <w:t xml:space="preserve">Minimum Investment: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$25,000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66666"/>
                <w:sz w:val="17"/>
                <w:szCs w:val="17"/>
                <w:rtl w:val="0"/>
              </w:rPr>
              <w:t xml:space="preserve">Target IRR: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15%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66666"/>
                <w:sz w:val="17"/>
                <w:szCs w:val="17"/>
                <w:rtl w:val="0"/>
              </w:rPr>
              <w:t xml:space="preserve">Preferred Return: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7% Annual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66666"/>
                <w:sz w:val="17"/>
                <w:szCs w:val="17"/>
                <w:rtl w:val="0"/>
              </w:rPr>
              <w:t xml:space="preserve">Hold Period: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3-5 Years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66666"/>
                <w:sz w:val="17"/>
                <w:szCs w:val="17"/>
                <w:rtl w:val="0"/>
              </w:rPr>
              <w:t xml:space="preserve">Cash Distributions: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Quarterly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pBdr>
          <w:bottom w:color="2e75b6" w:space="4" w:sz="4" w:val="single"/>
        </w:pBdr>
        <w:spacing w:after="100" w:before="2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b2a4a"/>
          <w:sz w:val="20"/>
          <w:szCs w:val="20"/>
          <w:rtl w:val="0"/>
        </w:rPr>
        <w:t xml:space="preserve">THE FENERO ADVANTAGE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40"/>
        <w:gridCol w:w="5040"/>
        <w:tblGridChange w:id="0">
          <w:tblGrid>
            <w:gridCol w:w="5040"/>
            <w:gridCol w:w="50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1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⚡ </w:t>
            </w: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1b2a4a"/>
                <w:sz w:val="18"/>
                <w:szCs w:val="18"/>
                <w:rtl w:val="0"/>
              </w:rPr>
              <w:t xml:space="preserve">Automated DSCR Analysis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66666"/>
                <w:sz w:val="15"/>
                <w:szCs w:val="15"/>
                <w:rtl w:val="0"/>
              </w:rPr>
              <w:t xml:space="preserve">Real-time debt service coverage ratio calculations powered by AI, replacing manual spreadsheet underwriting.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3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🔍 </w:t>
            </w: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1b2a4a"/>
                <w:sz w:val="18"/>
                <w:szCs w:val="18"/>
                <w:rtl w:val="0"/>
              </w:rPr>
              <w:t xml:space="preserve">Intelligent Income Verification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66666"/>
                <w:sz w:val="15"/>
                <w:szCs w:val="15"/>
                <w:rtl w:val="0"/>
              </w:rPr>
              <w:t xml:space="preserve">Automated bank statement classification and income analysis for property-level and borrower-level verification.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5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📊 </w:t>
            </w: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1b2a4a"/>
                <w:sz w:val="18"/>
                <w:szCs w:val="18"/>
                <w:rtl w:val="0"/>
              </w:rPr>
              <w:t xml:space="preserve">Market Intelligence Engine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66666"/>
                <w:sz w:val="15"/>
                <w:szCs w:val="15"/>
                <w:rtl w:val="0"/>
              </w:rPr>
              <w:t xml:space="preserve">Proprietary scoring model integrating employment trends, population growth, rent trajectories, and supply/demand dynamics.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7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🛡️ </w:t>
            </w: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1b2a4a"/>
                <w:sz w:val="18"/>
                <w:szCs w:val="18"/>
                <w:rtl w:val="0"/>
              </w:rPr>
              <w:t xml:space="preserve">Risk-Adjusted Portfolio Modeling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66666"/>
                <w:sz w:val="15"/>
                <w:szCs w:val="15"/>
                <w:rtl w:val="0"/>
              </w:rPr>
              <w:t xml:space="preserve">Scenario analysis and stress testing across interest rate environments, vacancy assumptions, and exit timing.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pBdr>
          <w:bottom w:color="2e75b6" w:space="4" w:sz="4" w:val="single"/>
        </w:pBdr>
        <w:spacing w:after="100" w:before="2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b2a4a"/>
          <w:sz w:val="20"/>
          <w:szCs w:val="20"/>
          <w:rtl w:val="0"/>
        </w:rPr>
        <w:t xml:space="preserve">TARGET MARKET SNAPSHOT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20"/>
        <w:gridCol w:w="2520"/>
        <w:gridCol w:w="2520"/>
        <w:gridCol w:w="2520"/>
        <w:tblGridChange w:id="0">
          <w:tblGrid>
            <w:gridCol w:w="2520"/>
            <w:gridCol w:w="2520"/>
            <w:gridCol w:w="2520"/>
            <w:gridCol w:w="25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8f0fe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B">
            <w:pPr>
              <w:spacing w:after="20" w:lineRule="auto"/>
              <w:jc w:val="center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1b2a4a"/>
                <w:sz w:val="24"/>
                <w:szCs w:val="24"/>
                <w:rtl w:val="0"/>
              </w:rPr>
              <w:t xml:space="preserve">95%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666666"/>
                <w:sz w:val="14"/>
                <w:szCs w:val="14"/>
                <w:rtl w:val="0"/>
              </w:rPr>
              <w:t xml:space="preserve">Occupancy 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8f0fe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D">
            <w:pPr>
              <w:spacing w:after="20" w:lineRule="auto"/>
              <w:jc w:val="center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1b2a4a"/>
                <w:sz w:val="24"/>
                <w:szCs w:val="24"/>
                <w:rtl w:val="0"/>
              </w:rPr>
              <w:t xml:space="preserve">3.7%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666666"/>
                <w:sz w:val="14"/>
                <w:szCs w:val="14"/>
                <w:rtl w:val="0"/>
              </w:rPr>
              <w:t xml:space="preserve">YoY Rent Growth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8f0fe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F">
            <w:pPr>
              <w:spacing w:after="20" w:lineRule="auto"/>
              <w:jc w:val="center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1b2a4a"/>
                <w:sz w:val="24"/>
                <w:szCs w:val="24"/>
                <w:rtl w:val="0"/>
              </w:rPr>
              <w:t xml:space="preserve">$1,913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666666"/>
                <w:sz w:val="14"/>
                <w:szCs w:val="14"/>
                <w:rtl w:val="0"/>
              </w:rPr>
              <w:t xml:space="preserve">Avg Effective Rent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8f0fe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1">
            <w:pPr>
              <w:spacing w:after="20" w:lineRule="auto"/>
              <w:jc w:val="center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1b2a4a"/>
                <w:sz w:val="24"/>
                <w:szCs w:val="24"/>
                <w:rtl w:val="0"/>
              </w:rPr>
              <w:t xml:space="preserve">0.74%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666666"/>
                <w:sz w:val="14"/>
                <w:szCs w:val="14"/>
                <w:rtl w:val="0"/>
              </w:rPr>
              <w:t xml:space="preserve">Population Growth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spacing w:after="80" w:before="4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15"/>
          <w:szCs w:val="15"/>
          <w:rtl w:val="0"/>
        </w:rPr>
        <w:t xml:space="preserve">Initial target market: Chicago metro area | No rent control | Constrained supply driving rent growth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top w:color="1b2a4a" w:space="6" w:sz="4" w:val="single"/>
        </w:pBdr>
        <w:spacing w:after="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14"/>
          <w:szCs w:val="14"/>
          <w:rtl w:val="0"/>
        </w:rPr>
        <w:t xml:space="preserve">CONFIDENTIAL</w:t>
      </w:r>
      <w:r w:rsidDel="00000000" w:rsidR="00000000" w:rsidRPr="00000000">
        <w:rPr>
          <w:rFonts w:ascii="Arial" w:cs="Arial" w:eastAsia="Arial" w:hAnsi="Arial"/>
          <w:color w:val="666666"/>
          <w:sz w:val="13"/>
          <w:szCs w:val="13"/>
          <w:rtl w:val="0"/>
        </w:rPr>
        <w:t xml:space="preserve">  |  This document is for informational purposes only and does not constitute an offer to sell or a solicitation of an offer to buy any securities. Past performance is not indicative of future results. All investments involve risk, including loss of principal.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before="80" w:lineRule="auto"/>
        <w:jc w:val="center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pGY2bw9Iw82qNknI+nUJ+k/CF4A==">CgMxLjA4AHIhMThsRmxveG5FYTZBbnVrcmd2VnZ5N0FlZ0hvZmRpWF9y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2026-03-15T19:15:13.237Z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