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E550C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40" w:beforeAutospacing="0" w:after="60" w:afterAutospacing="0" w:line="540" w:lineRule="atLeast"/>
        <w:ind w:left="392" w:right="240"/>
        <w:rPr>
          <w:rFonts w:ascii="Segoe UI Emoji" w:hAnsi="Segoe UI Emoji" w:eastAsia="Segoe UI Emoji" w:cs="Segoe UI Emoji"/>
          <w:b/>
          <w:bCs/>
          <w:spacing w:val="10"/>
          <w:sz w:val="39"/>
          <w:szCs w:val="39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10"/>
          <w:sz w:val="39"/>
          <w:szCs w:val="39"/>
          <w:bdr w:val="single" w:color="auto" w:sz="2" w:space="0"/>
          <w:shd w:val="clear" w:fill="FCFCFC"/>
        </w:rPr>
        <w:t>财税票智能风控报告产品企划</w:t>
      </w:r>
    </w:p>
    <w:p w14:paraId="1572754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270" w:lineRule="atLeast"/>
        <w:ind w:left="392" w:right="24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18"/>
          <w:szCs w:val="18"/>
          <w:bdr w:val="single" w:color="auto" w:sz="2" w:space="0"/>
          <w:shd w:val="clear" w:fill="FCFCFC"/>
          <w:lang w:val="en-US" w:eastAsia="zh-CN" w:bidi="ar"/>
        </w:rPr>
        <w:t>2026 年 8 月 27 日•AI 生成可能有误 注意核实</w:t>
      </w:r>
    </w:p>
    <w:p w14:paraId="6C8002D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80" w:beforeAutospacing="0" w:after="1740" w:afterAutospacing="0" w:line="420" w:lineRule="atLeast"/>
        <w:ind w:left="0" w:right="0"/>
        <w:rPr>
          <w:b/>
          <w:bCs/>
          <w:color w:val="000000"/>
          <w:sz w:val="30"/>
          <w:szCs w:val="30"/>
        </w:rPr>
      </w:pPr>
      <w:r>
        <w:rPr>
          <w:b/>
          <w:bCs/>
          <w:i w:val="0"/>
          <w:iCs w:val="0"/>
          <w:caps w:val="0"/>
          <w:color w:val="000000"/>
          <w:spacing w:val="0"/>
          <w:sz w:val="30"/>
          <w:szCs w:val="30"/>
          <w:bdr w:val="single" w:color="auto" w:sz="2" w:space="0"/>
          <w:shd w:val="clear" w:fill="FCFCFC"/>
        </w:rPr>
        <w:t>「明鉴・财税票・万景」智能风控报告产品企划书</w:t>
      </w:r>
    </w:p>
    <w:p w14:paraId="2955F04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42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7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CFCFC"/>
          <w:lang w:val="en-US" w:eastAsia="zh-CN" w:bidi="ar"/>
        </w:rPr>
        <w:t>Slogan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CFCFC"/>
          <w:lang w:val="en-US" w:eastAsia="zh-CN" w:bidi="ar"/>
        </w:rPr>
        <w:t>：因景而生，随需而报 —— 万千风控场景，一键智能生成</w:t>
      </w:r>
    </w:p>
    <w:p w14:paraId="70976888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80" w:beforeAutospacing="0" w:after="1740" w:afterAutospacing="0" w:line="420" w:lineRule="atLeast"/>
        <w:ind w:left="0" w:right="0"/>
        <w:rPr>
          <w:b/>
          <w:bCs/>
          <w:color w:val="000000"/>
          <w:sz w:val="27"/>
          <w:szCs w:val="27"/>
        </w:rPr>
      </w:pPr>
      <w:r>
        <w:rPr>
          <w:b/>
          <w:bCs/>
          <w:i w:val="0"/>
          <w:iCs w:val="0"/>
          <w:caps w:val="0"/>
          <w:color w:val="000000"/>
          <w:spacing w:val="0"/>
          <w:sz w:val="27"/>
          <w:szCs w:val="27"/>
          <w:bdr w:val="single" w:color="auto" w:sz="2" w:space="0"/>
          <w:shd w:val="clear" w:fill="FCFCFC"/>
        </w:rPr>
        <w:t>一、项目定位与核心价值</w:t>
      </w:r>
    </w:p>
    <w:p w14:paraId="58329BD9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80" w:beforeAutospacing="0" w:after="1740" w:afterAutospacing="0" w:line="420" w:lineRule="atLeast"/>
        <w:ind w:left="0" w:right="0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1. 赛道与服务对象</w:t>
      </w:r>
    </w:p>
    <w:p w14:paraId="1662BAD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42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CFCFC"/>
          <w:lang w:val="en-US" w:eastAsia="zh-CN" w:bidi="ar"/>
        </w:rPr>
        <w:t>聚焦</w:t>
      </w:r>
      <w:r>
        <w:rPr>
          <w:rStyle w:val="7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CFCFC"/>
          <w:lang w:val="en-US" w:eastAsia="zh-CN" w:bidi="ar"/>
        </w:rPr>
        <w:t>小微普惠金融风控赛道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CFCFC"/>
          <w:lang w:val="en-US" w:eastAsia="zh-CN" w:bidi="ar"/>
        </w:rPr>
        <w:t>，核心客户为开展小微业务的银行、信贷机构、普惠金融部门等金融机构，以企业财税票核心数据为支撑，提供专业化、场景化的风控报告生成服务。</w:t>
      </w:r>
    </w:p>
    <w:p w14:paraId="14989F53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80" w:beforeAutospacing="0" w:after="1740" w:afterAutospacing="0" w:line="420" w:lineRule="atLeast"/>
        <w:ind w:left="0" w:right="0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2. 产品本质</w:t>
      </w:r>
    </w:p>
    <w:p w14:paraId="78350F5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42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7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CFCFC"/>
          <w:lang w:val="en-US" w:eastAsia="zh-CN" w:bidi="ar"/>
        </w:rPr>
        <w:t>不卖系统，卖报告服务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CFCFC"/>
          <w:lang w:val="en-US" w:eastAsia="zh-CN" w:bidi="ar"/>
        </w:rPr>
        <w:t>：系统仅为生成工具，最终交付核心是可落地、可复用的风控报告。依托大模型能力，基于同一批企业数据，可适配不同风控场景需求，自动生成对应专业报告，解决传统风控效率低、场景单一、成本高的痛点。</w:t>
      </w:r>
    </w:p>
    <w:p w14:paraId="08E0C8AF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80" w:beforeAutospacing="0" w:after="1740" w:afterAutospacing="0" w:line="420" w:lineRule="atLeast"/>
        <w:ind w:left="0" w:right="0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3. 核心价值</w:t>
      </w:r>
    </w:p>
    <w:p w14:paraId="3BE3E62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120" w:afterAutospacing="0" w:line="360" w:lineRule="atLeast"/>
        <w:ind w:left="0" w:right="0" w:hanging="360"/>
      </w:pPr>
      <w:r>
        <w:rPr>
          <w:rStyle w:val="7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降本提效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：替代人工数据整理与报告撰写，大幅缩短风控报告产出周期</w:t>
      </w:r>
    </w:p>
    <w:p w14:paraId="4477132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120" w:afterAutospacing="0" w:line="360" w:lineRule="atLeast"/>
        <w:ind w:left="0" w:right="0" w:hanging="360"/>
      </w:pPr>
      <w:r>
        <w:rPr>
          <w:rStyle w:val="7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场景灵活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：同一份财税票数据，可匹配不同风控场景生成差异化报告</w:t>
      </w:r>
    </w:p>
    <w:p w14:paraId="279ADCA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360" w:lineRule="atLeast"/>
        <w:ind w:left="0" w:right="0" w:hanging="360"/>
      </w:pPr>
      <w:r>
        <w:rPr>
          <w:rStyle w:val="7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专业可信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：内置风控专业框架，配套指标可追溯机制，规避大模型幻觉风险</w:t>
      </w:r>
    </w:p>
    <w:p w14:paraId="4B106B3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80" w:beforeAutospacing="0" w:after="1740" w:afterAutospacing="0" w:line="420" w:lineRule="atLeast"/>
        <w:ind w:left="0" w:right="0"/>
        <w:rPr>
          <w:b/>
          <w:bCs/>
          <w:color w:val="000000"/>
          <w:sz w:val="27"/>
          <w:szCs w:val="27"/>
        </w:rPr>
      </w:pPr>
      <w:r>
        <w:rPr>
          <w:b/>
          <w:bCs/>
          <w:i w:val="0"/>
          <w:iCs w:val="0"/>
          <w:caps w:val="0"/>
          <w:color w:val="000000"/>
          <w:spacing w:val="0"/>
          <w:sz w:val="27"/>
          <w:szCs w:val="27"/>
          <w:bdr w:val="single" w:color="auto" w:sz="2" w:space="0"/>
          <w:shd w:val="clear" w:fill="FCFCFC"/>
        </w:rPr>
        <w:t>二、产品核心架构</w:t>
      </w:r>
    </w:p>
    <w:p w14:paraId="3C31E04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42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CFCFC"/>
          <w:lang w:val="en-US" w:eastAsia="zh-CN" w:bidi="ar"/>
        </w:rPr>
        <w:t>以「财税票数据为骨，大模型能力为魂」，构建四大核心风控模块，所有模块均支持</w:t>
      </w:r>
      <w:r>
        <w:rPr>
          <w:rStyle w:val="7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CFCFC"/>
          <w:lang w:val="en-US" w:eastAsia="zh-CN" w:bidi="ar"/>
        </w:rPr>
        <w:t>标准报告自动生成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CFCFC"/>
          <w:lang w:val="en-US" w:eastAsia="zh-CN" w:bidi="ar"/>
        </w:rPr>
        <w:t>、</w:t>
      </w:r>
      <w:r>
        <w:rPr>
          <w:rStyle w:val="7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CFCFC"/>
          <w:lang w:val="en-US" w:eastAsia="zh-CN" w:bidi="ar"/>
        </w:rPr>
        <w:t>定制场景交互生成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CFCFC"/>
          <w:lang w:val="en-US" w:eastAsia="zh-CN" w:bidi="ar"/>
        </w:rPr>
        <w:t>双模式，统一支持 PDF、Word 格式报告下载导出。</w:t>
      </w:r>
    </w:p>
    <w:p w14:paraId="718BFD7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3F4F6"/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3F4F6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91"/>
        <w:gridCol w:w="2497"/>
        <w:gridCol w:w="2661"/>
        <w:gridCol w:w="2497"/>
      </w:tblGrid>
      <w:tr w14:paraId="5135850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6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9DB3D60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3" w:lineRule="atLeast"/>
              <w:ind w:left="0" w:right="0"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模块名称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6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A908D67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3" w:lineRule="atLeast"/>
              <w:ind w:left="0" w:right="0"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数据基础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6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6261F77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3" w:lineRule="atLeast"/>
              <w:ind w:left="0" w:right="0"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核心能力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401F300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3" w:lineRule="atLeast"/>
              <w:ind w:left="0" w:right="0"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典型适用场景</w:t>
            </w:r>
          </w:p>
        </w:tc>
      </w:tr>
      <w:tr w14:paraId="23A192ED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6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7F43FAA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3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综合风控模块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6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340A348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3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税务 + 发票 + 财务 + 工商基础全量数据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6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71517CE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3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生成全维度企业综合风险画像，覆盖通识风控需求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2147E4A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3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信贷审批初筛、授信准入辅助、企业尽职调查</w:t>
            </w:r>
          </w:p>
        </w:tc>
      </w:tr>
      <w:tr w14:paraId="4F329B0D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6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AA64F2A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3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税务风控模块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6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5114734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3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纳税申报、缴税记录、税种明细等税务数据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6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D48687A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3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税务合规性核查、税负异常识别、税务风险排查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4421680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3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贷前税务核验、税务风险专项筛查</w:t>
            </w:r>
          </w:p>
        </w:tc>
      </w:tr>
      <w:tr w14:paraId="5FDF0EFE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6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06C7980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3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发票风控模块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6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E4BA58E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3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进销项发票、开票明细、交易往来等发票数据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6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89E99AC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3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发票异常识别、虚开风险排查、交易真实性验证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93FE2FD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3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反欺诈风控、交易背景核验</w:t>
            </w:r>
          </w:p>
        </w:tc>
      </w:tr>
      <w:tr w14:paraId="5DE0ACB5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6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BF55720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3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财务风控模块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6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992C893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3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财务报表、经营指标、科目明细等财务数据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6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A39F897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3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财务健康度评估、偿债 / 盈利 / 营运能力分析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90075E3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3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授信额度测算、财务风险深度评估</w:t>
            </w:r>
          </w:p>
        </w:tc>
      </w:tr>
    </w:tbl>
    <w:p w14:paraId="3C7C059B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80" w:beforeAutospacing="0" w:after="1740" w:afterAutospacing="0" w:line="420" w:lineRule="atLeast"/>
        <w:ind w:left="0" w:right="0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两类报告生成模式</w:t>
      </w:r>
    </w:p>
    <w:p w14:paraId="17398F5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120" w:afterAutospacing="0" w:line="360" w:lineRule="atLeast"/>
        <w:ind w:left="0" w:right="0" w:hanging="360"/>
      </w:pPr>
      <w:r>
        <w:rPr>
          <w:rStyle w:val="7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标准自动报告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上传数据后无需额外交互，一键生成对应模块的标准化风控报告，报告框架、指标体系、分析逻辑均为行业通用标准，适配高频通用风控场景。</w:t>
      </w:r>
    </w:p>
    <w:p w14:paraId="034EAC9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360" w:lineRule="atLeast"/>
        <w:ind w:left="0" w:right="0" w:hanging="360"/>
      </w:pPr>
      <w:r>
        <w:rPr>
          <w:rStyle w:val="7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场景定制报告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支持客户通过自然语言输入风控场景需求（如 “基于以上数据，识别企业欺诈风险”“分析重庆摩配行业经营风向与核心风险点”），系统通过语义意图识别，匹配预置的场景模板，生成聚焦特定维度的专项报告。</w:t>
      </w:r>
    </w:p>
    <w:p w14:paraId="3C5A42C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420" w:lineRule="atLeast"/>
        <w:ind w:left="720" w:right="720" w:firstLine="0"/>
        <w:jc w:val="left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CFCFC"/>
          <w:lang w:val="en-US" w:eastAsia="zh-CN" w:bidi="ar"/>
        </w:rPr>
        <w:t>产品内置 5-6 类主流风控场景模板，客户无需专业指令即可生成对应报告，实现 “用户无感交互，专业框架输出”。</w:t>
      </w:r>
    </w:p>
    <w:p w14:paraId="0A44271B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80" w:beforeAutospacing="0" w:after="1740" w:afterAutospacing="0" w:line="420" w:lineRule="atLeast"/>
        <w:ind w:left="0" w:right="0"/>
        <w:rPr>
          <w:b/>
          <w:bCs/>
          <w:color w:val="000000"/>
          <w:sz w:val="27"/>
          <w:szCs w:val="27"/>
        </w:rPr>
      </w:pPr>
      <w:r>
        <w:rPr>
          <w:b/>
          <w:bCs/>
          <w:i w:val="0"/>
          <w:iCs w:val="0"/>
          <w:caps w:val="0"/>
          <w:color w:val="000000"/>
          <w:spacing w:val="0"/>
          <w:sz w:val="27"/>
          <w:szCs w:val="27"/>
          <w:bdr w:val="single" w:color="auto" w:sz="2" w:space="0"/>
          <w:shd w:val="clear" w:fill="FCFCFC"/>
        </w:rPr>
        <w:t>三、核心创新与差异化亮点</w:t>
      </w:r>
    </w:p>
    <w:p w14:paraId="462DED97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80" w:beforeAutospacing="0" w:after="1740" w:afterAutospacing="0" w:line="420" w:lineRule="atLeast"/>
        <w:ind w:left="0" w:right="0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1. 产品模式创新：从 “系统交付” 到 “报告交付”</w:t>
      </w:r>
    </w:p>
    <w:p w14:paraId="6B3C3C5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42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CFCFC"/>
          <w:lang w:val="en-US" w:eastAsia="zh-CN" w:bidi="ar"/>
        </w:rPr>
        <w:t>打破同类项目 “重系统、轻价值” 的通病，以金融机构实际采购需求为导向，直接交付可直接使用的风控报告产品，降低客户使用门槛与决策成本，更符合 B 端金融机构的采购与业务习惯。</w:t>
      </w:r>
    </w:p>
    <w:p w14:paraId="5771D011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80" w:beforeAutospacing="0" w:after="1740" w:afterAutospacing="0" w:line="420" w:lineRule="atLeast"/>
        <w:ind w:left="0" w:right="0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2. 场景化能力：同数据，多场景输出</w:t>
      </w:r>
    </w:p>
    <w:p w14:paraId="7B2FCF5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42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CFCFC"/>
          <w:lang w:val="en-US" w:eastAsia="zh-CN" w:bidi="ar"/>
        </w:rPr>
        <w:t>核心竞争力在于</w:t>
      </w:r>
      <w:r>
        <w:rPr>
          <w:rStyle w:val="7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CFCFC"/>
          <w:lang w:val="en-US" w:eastAsia="zh-CN" w:bidi="ar"/>
        </w:rPr>
        <w:t>同一批财税票数据，可适配不同业务场景生成差异化报告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CFCFC"/>
          <w:lang w:val="en-US" w:eastAsia="zh-CN" w:bidi="ar"/>
        </w:rPr>
        <w:t>。从通用综合风控到反欺诈、行业分析、尽职调查等专项场景，覆盖客户从基础初筛到深度风控的进阶需求，形成标准化 + 定制化的产品矩阵。</w:t>
      </w:r>
    </w:p>
    <w:p w14:paraId="1E6F41FD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80" w:beforeAutospacing="0" w:after="1740" w:afterAutospacing="0" w:line="420" w:lineRule="atLeast"/>
        <w:ind w:left="0" w:right="0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3. 技术痛点突破：真实性与可追溯机制</w:t>
      </w:r>
    </w:p>
    <w:p w14:paraId="68CBF93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42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CFCFC"/>
          <w:lang w:val="en-US" w:eastAsia="zh-CN" w:bidi="ar"/>
        </w:rPr>
        <w:t>针对大模型天然存在的幻觉、结论不可控、可复现性弱等行业共性问题，设计双重保障机制：</w:t>
      </w:r>
    </w:p>
    <w:p w14:paraId="2270CED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120" w:afterAutospacing="0" w:line="360" w:lineRule="atLeast"/>
        <w:ind w:left="0" w:right="0" w:hanging="360"/>
      </w:pPr>
      <w:r>
        <w:rPr>
          <w:rStyle w:val="7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指标可追溯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：报告中所有核心风险指标、结论均关联原始数据来源，支持点击溯源至对应数据字段</w:t>
      </w:r>
    </w:p>
    <w:p w14:paraId="1514024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360" w:lineRule="atLeast"/>
        <w:ind w:left="0" w:right="0" w:hanging="360"/>
      </w:pPr>
      <w:r>
        <w:rPr>
          <w:rStyle w:val="7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输出边界约束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：内置风控指标逻辑与专业框架，约束大模型输出范围，避免主观美化、结论失真</w:t>
      </w:r>
    </w:p>
    <w:p w14:paraId="0D91302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420" w:lineRule="atLeast"/>
        <w:ind w:left="720" w:right="720" w:firstLine="0"/>
        <w:jc w:val="left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CFCFC"/>
          <w:lang w:val="en-US" w:eastAsia="zh-CN" w:bidi="ar"/>
        </w:rPr>
        <w:t>不追求 100% 解决行业难题，但形成明确的风控约束与溯源设计，是项目核心技术深度的体现。</w:t>
      </w:r>
    </w:p>
    <w:p w14:paraId="4CF9445F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80" w:beforeAutospacing="0" w:after="1740" w:afterAutospacing="0" w:line="420" w:lineRule="atLeast"/>
        <w:ind w:left="0" w:right="0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4. 专业表达适配</w:t>
      </w:r>
    </w:p>
    <w:p w14:paraId="59C9B8D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42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CFCFC"/>
          <w:lang w:val="en-US" w:eastAsia="zh-CN" w:bidi="ar"/>
        </w:rPr>
        <w:t>替换 “研判” 等泛 AI 化表述，统一采用风控领域专业术语（风控引擎、风险识别、风险画像、合规核查等），贴合金融行业表达习惯，强化产品专业属性。</w:t>
      </w:r>
    </w:p>
    <w:p w14:paraId="536EFAA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80" w:beforeAutospacing="0" w:after="1740" w:afterAutospacing="0" w:line="420" w:lineRule="atLeast"/>
        <w:ind w:left="0" w:right="0"/>
        <w:rPr>
          <w:b/>
          <w:bCs/>
          <w:color w:val="000000"/>
          <w:sz w:val="27"/>
          <w:szCs w:val="27"/>
        </w:rPr>
      </w:pPr>
      <w:r>
        <w:rPr>
          <w:b/>
          <w:bCs/>
          <w:i w:val="0"/>
          <w:iCs w:val="0"/>
          <w:caps w:val="0"/>
          <w:color w:val="000000"/>
          <w:spacing w:val="0"/>
          <w:sz w:val="27"/>
          <w:szCs w:val="27"/>
          <w:bdr w:val="single" w:color="auto" w:sz="2" w:space="0"/>
          <w:shd w:val="clear" w:fill="FCFCFC"/>
        </w:rPr>
        <w:t>四、商业化与盈利模式</w:t>
      </w:r>
    </w:p>
    <w:p w14:paraId="13F7E8F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42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CFCFC"/>
          <w:lang w:val="en-US" w:eastAsia="zh-CN" w:bidi="ar"/>
        </w:rPr>
        <w:t>构建梯度化产品定价体系，覆盖不同规模客户需求：</w:t>
      </w:r>
    </w:p>
    <w:p w14:paraId="75D1B24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120" w:afterAutospacing="0" w:line="360" w:lineRule="atLeast"/>
        <w:ind w:left="0" w:right="0" w:hanging="360"/>
      </w:pPr>
      <w:r>
        <w:rPr>
          <w:rStyle w:val="7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标准化通识报告服务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按年度订阅 / 按调用次数收费，提供综合风控模块标准报告，普惠化定价，覆盖中小金融机构日常信贷初筛需求。</w:t>
      </w:r>
    </w:p>
    <w:p w14:paraId="32A9018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120" w:afterAutospacing="0" w:line="360" w:lineRule="atLeast"/>
        <w:ind w:left="0" w:right="0" w:hanging="360"/>
      </w:pPr>
      <w:r>
        <w:rPr>
          <w:rStyle w:val="7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场景化定制报告服务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针对特定风控场景提供专属报告模板与定制化服务，项目制收费，客单价更高，适配头部机构深度风控需求。</w:t>
      </w:r>
    </w:p>
    <w:p w14:paraId="3254FA5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360" w:lineRule="atLeast"/>
        <w:ind w:left="0" w:right="0" w:hanging="360"/>
      </w:pPr>
      <w:r>
        <w:rPr>
          <w:rStyle w:val="7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模块组合订阅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支持客户按需选择税务 / 发票 / 财务单模块或组合模块订阅，灵活付费，降低采购门槛。</w:t>
      </w:r>
    </w:p>
    <w:p w14:paraId="0D91ED4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80" w:beforeAutospacing="0" w:after="1740" w:afterAutospacing="0" w:line="420" w:lineRule="atLeast"/>
        <w:ind w:left="0" w:right="0"/>
        <w:rPr>
          <w:b/>
          <w:bCs/>
          <w:color w:val="000000"/>
          <w:sz w:val="27"/>
          <w:szCs w:val="27"/>
        </w:rPr>
      </w:pPr>
      <w:r>
        <w:rPr>
          <w:b/>
          <w:bCs/>
          <w:i w:val="0"/>
          <w:iCs w:val="0"/>
          <w:caps w:val="0"/>
          <w:color w:val="000000"/>
          <w:spacing w:val="0"/>
          <w:sz w:val="27"/>
          <w:szCs w:val="27"/>
          <w:bdr w:val="single" w:color="auto" w:sz="2" w:space="0"/>
          <w:shd w:val="clear" w:fill="FCFCFC"/>
        </w:rPr>
        <w:t>五、大赛呈现与实施规划</w:t>
      </w:r>
    </w:p>
    <w:p w14:paraId="438E5A1A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80" w:beforeAutospacing="0" w:after="1740" w:afterAutospacing="0" w:line="420" w:lineRule="atLeast"/>
        <w:ind w:left="0" w:right="0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1. 大赛叙事逻辑</w:t>
      </w:r>
    </w:p>
    <w:p w14:paraId="48A971E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CFCFC"/>
        <w:spacing w:before="0" w:beforeAutospacing="0" w:after="0" w:afterAutospacing="0" w:line="420" w:lineRule="atLeast"/>
        <w:ind w:left="0" w:right="0" w:firstLine="0"/>
        <w:jc w:val="left"/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CFCFC"/>
          <w:lang w:val="en-US" w:eastAsia="zh-CN" w:bidi="ar"/>
        </w:rPr>
        <w:t>遵循「痛点→价值→产品→技术」的汇报顺序：先讲小微普惠金融的风控痛点与行业需求，再讲产品解决方案与商业价值，最后介绍系统架构与技术实现，避免开篇即讲技术系统。</w:t>
      </w:r>
    </w:p>
    <w:p w14:paraId="23FED9A3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80" w:beforeAutospacing="0" w:after="1740" w:afterAutospacing="0" w:line="420" w:lineRule="atLeast"/>
        <w:ind w:left="0" w:right="0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2. 演示核心重点</w:t>
      </w:r>
    </w:p>
    <w:p w14:paraId="38F49AC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120" w:afterAutospacing="0" w:line="360" w:lineRule="atLeast"/>
        <w:ind w:left="0" w:righ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核心演示流程：数据上传→选择模块 / 输入场景指令→生成专业报告→PDF/Word 下载导出</w:t>
      </w:r>
    </w:p>
    <w:p w14:paraId="0C84233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120" w:afterAutospacing="0" w:line="360" w:lineRule="atLeast"/>
        <w:ind w:left="0" w:righ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重点突出：同一份数据生成不同场景报告的效果、报告的专业度、指标溯源功能</w:t>
      </w:r>
    </w:p>
    <w:p w14:paraId="4948B77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360" w:lineRule="atLeast"/>
        <w:ind w:left="0" w:righ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弱化技术实现细节，强化产品交付感与业务价值</w:t>
      </w:r>
    </w:p>
    <w:p w14:paraId="6F50C216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80" w:beforeAutospacing="0" w:after="1740" w:afterAutospacing="0" w:line="420" w:lineRule="atLeast"/>
        <w:ind w:left="0" w:right="0"/>
        <w:rPr>
          <w:b/>
          <w:bCs/>
          <w:color w:val="000000"/>
          <w:sz w:val="24"/>
          <w:szCs w:val="24"/>
        </w:rPr>
      </w:pPr>
      <w:r>
        <w:rPr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3. 分阶段实施路线</w:t>
      </w:r>
    </w:p>
    <w:p w14:paraId="236FC5E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120" w:afterAutospacing="0" w:line="360" w:lineRule="atLeast"/>
        <w:ind w:left="0" w:right="0" w:hanging="360"/>
      </w:pPr>
      <w:r>
        <w:rPr>
          <w:rStyle w:val="7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阶段一（核心落地）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：完成四大模块标准报告生成功能，预置 5-6 个核心风控场景，实现 PDF/Word 报告下载，保障产品核心流程完整</w:t>
      </w:r>
    </w:p>
    <w:p w14:paraId="7C0B2C0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120" w:afterAutospacing="0" w:line="360" w:lineRule="atLeast"/>
        <w:ind w:left="0" w:right="0" w:hanging="360"/>
      </w:pPr>
      <w:r>
        <w:rPr>
          <w:rStyle w:val="7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阶段二（体验优化）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：完善指标可追溯机制，优化报告专业度与行业适配性，丰富场景模板库</w:t>
      </w:r>
    </w:p>
    <w:p w14:paraId="6ECBD2A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360" w:lineRule="atLeast"/>
        <w:ind w:left="0" w:right="0" w:hanging="360"/>
      </w:pPr>
      <w:r>
        <w:rPr>
          <w:rStyle w:val="7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阶段三（拓展展望）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：拓展轻量化数据输入能力（如财报照片识别、原始字段直接上传），延伸报告邮件推送、批量生成等下游功能</w:t>
      </w:r>
    </w:p>
    <w:p w14:paraId="549765DC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80" w:beforeAutospacing="0" w:after="1740" w:afterAutospacing="0" w:line="420" w:lineRule="atLeast"/>
        <w:ind w:left="0" w:right="0"/>
        <w:rPr>
          <w:b/>
          <w:bCs/>
          <w:color w:val="000000"/>
          <w:sz w:val="27"/>
          <w:szCs w:val="27"/>
        </w:rPr>
      </w:pPr>
      <w:r>
        <w:rPr>
          <w:b/>
          <w:bCs/>
          <w:i w:val="0"/>
          <w:iCs w:val="0"/>
          <w:caps w:val="0"/>
          <w:color w:val="000000"/>
          <w:spacing w:val="0"/>
          <w:sz w:val="27"/>
          <w:szCs w:val="27"/>
          <w:bdr w:val="single" w:color="auto" w:sz="2" w:space="0"/>
          <w:shd w:val="clear" w:fill="FCFCFC"/>
        </w:rPr>
        <w:t>六、优化方向补充</w:t>
      </w:r>
    </w:p>
    <w:p w14:paraId="273DEDA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120" w:afterAutospacing="0" w:line="360" w:lineRule="atLeast"/>
        <w:ind w:left="0" w:righ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整体包装强化产品属性，所有界面、文案统一以 “报告生成” 为核心，弱化后台系统存在感</w:t>
      </w:r>
    </w:p>
    <w:p w14:paraId="059BB71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120" w:afterAutospacing="0" w:line="360" w:lineRule="atLeast"/>
        <w:ind w:left="0" w:righ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报告模板参考金融行业标准风控报告格式，提升专业质感与落地感</w:t>
      </w:r>
    </w:p>
    <w:p w14:paraId="032A683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360" w:lineRule="atLeast"/>
        <w:ind w:left="0" w:righ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CFCFC"/>
        </w:rPr>
        <w:t>可提前准备多份不同场景的样例报告，作为大赛展示材料，直观体现产品价值</w:t>
      </w:r>
    </w:p>
    <w:p w14:paraId="24FCB17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A049E2"/>
    <w:multiLevelType w:val="multilevel"/>
    <w:tmpl w:val="8AA049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8DCCAEF5"/>
    <w:multiLevelType w:val="multilevel"/>
    <w:tmpl w:val="8DCCAEF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BEAF853B"/>
    <w:multiLevelType w:val="multilevel"/>
    <w:tmpl w:val="BEAF853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D2F2E3C3"/>
    <w:multiLevelType w:val="multilevel"/>
    <w:tmpl w:val="D2F2E3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DCC01786"/>
    <w:multiLevelType w:val="multilevel"/>
    <w:tmpl w:val="DCC017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65585C27"/>
    <w:multiLevelType w:val="multilevel"/>
    <w:tmpl w:val="65585C2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65FDC93A"/>
    <w:multiLevelType w:val="multilevel"/>
    <w:tmpl w:val="65FDC9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6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9726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2026-08-28T12:17:39Z</dcterms:created>
  <dc:creator>85765</dc:creator>
  <cp:lastModifiedBy>木仑</cp:lastModifiedBy>
  <dcterms:modified xsi:type="dcterms:W3CDTF">2026-08-28T12:17:51Z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eyJoZGlkIjoiNzJiMTMyN2M3MDgwNDExZjRkZDliOTc5ZjFiODM5NDMiLCJ1c2VySWQiOiIxNjQyNTg0Mjc0In0=</vt:lpwstr>
  </property>
  <property fmtid="{D5CDD505-2E9C-101B-9397-08002B2CF9AE}" pid="4" name="ICV">
    <vt:lpwstr>F5776AA03E384368B2A53C56367020D3_12</vt:lpwstr>
  </property>
</Properties>
</file>