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60"/>
      </w:pPr>
      <w:r>
        <w:rPr>
          <w:rFonts w:ascii="Calibri" w:cs="Calibri" w:eastAsia="Calibri" w:hAnsi="Calibri"/>
          <w:b/>
          <w:bCs/>
          <w:color w:val="2E5E8C"/>
          <w:spacing w:val="60"/>
          <w:sz w:val="22"/>
          <w:szCs w:val="22"/>
        </w:rPr>
        <w:t xml:space="preserve">DISCOVERY REPORT</w:t>
      </w:r>
    </w:p>
    <w:p>
      <w:pPr>
        <w:spacing w:after="100"/>
      </w:pPr>
      <w:r>
        <w:rPr>
          <w:rFonts w:ascii="Calibri" w:cs="Calibri" w:eastAsia="Calibri" w:hAnsi="Calibri"/>
          <w:b/>
          <w:bCs/>
          <w:color w:val="1F3864"/>
          <w:sz w:val="60"/>
          <w:szCs w:val="60"/>
        </w:rPr>
        <w:t xml:space="preserve">Multi-Branch Retail</w:t>
      </w:r>
    </w:p>
    <w:p>
      <w:pPr>
        <w:spacing w:after="240"/>
      </w:pPr>
      <w:r>
        <w:rPr>
          <w:rFonts w:ascii="Calibri" w:cs="Calibri" w:eastAsia="Calibri" w:hAnsi="Calibri"/>
          <w:b/>
          <w:bCs/>
          <w:color w:val="1F3864"/>
          <w:sz w:val="60"/>
          <w:szCs w:val="60"/>
        </w:rPr>
        <w:t xml:space="preserve">Management System</w:t>
      </w:r>
    </w:p>
    <w:p>
      <w:pPr>
        <w:pBdr>
          <w:top w:val="single" w:color="2E5E8C" w:sz="8"/>
        </w:pBdr>
        <w:spacing w:after="400"/>
      </w:pPr>
    </w:p>
    <w:p>
      <w:pPr>
        <w:spacing w:after="500" w:line="276"/>
      </w:pPr>
      <w:r>
        <w:rPr>
          <w:rFonts w:ascii="Calibri" w:cs="Calibri" w:eastAsia="Calibri" w:hAnsi="Calibri"/>
          <w:color w:val="595959"/>
          <w:sz w:val="26"/>
          <w:szCs w:val="26"/>
        </w:rPr>
        <w:t xml:space="preserve">Findings, proposed scope and information required</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2600"/>
        <w:gridCol w:w="6760"/>
      </w:tblGrid>
      <w:tr>
        <w:trPr>
          <w:tblHeader/>
        </w:trPr>
        <w:tc>
          <w:tcPr>
            <w:tcW w:type="dxa" w:w="26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Multi-Branch Retail Management System</w:t>
            </w:r>
          </w:p>
        </w:tc>
        <w:tc>
          <w:tcPr>
            <w:tcW w:type="dxa" w:w="67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
            </w:r>
          </w:p>
        </w:tc>
      </w:tr>
      <w:tr>
        <w:tc>
          <w:tcPr>
            <w:tcW w:type="dxa" w:w="26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Prepared for</w:t>
            </w:r>
          </w:p>
        </w:tc>
        <w:tc>
          <w:tcPr>
            <w:tcW w:type="dxa" w:w="67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Client leadership and project partners</w:t>
            </w:r>
          </w:p>
        </w:tc>
      </w:tr>
      <w:tr>
        <w:tc>
          <w:tcPr>
            <w:tcW w:type="dxa" w:w="26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Subject</w:t>
            </w:r>
          </w:p>
        </w:tc>
        <w:tc>
          <w:tcPr>
            <w:tcW w:type="dxa" w:w="67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Assessment of current retail operations and proposed system scope</w:t>
            </w:r>
          </w:p>
        </w:tc>
      </w:tr>
      <w:tr>
        <w:tc>
          <w:tcPr>
            <w:tcW w:type="dxa" w:w="26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Current platform</w:t>
            </w:r>
          </w:p>
        </w:tc>
        <w:tc>
          <w:tcPr>
            <w:tcW w:type="dxa" w:w="67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SalesIntellect (cloud POS and back office)</w:t>
            </w:r>
          </w:p>
        </w:tc>
      </w:tr>
      <w:tr>
        <w:tc>
          <w:tcPr>
            <w:tcW w:type="dxa" w:w="26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Previously used</w:t>
            </w:r>
          </w:p>
        </w:tc>
        <w:tc>
          <w:tcPr>
            <w:tcW w:type="dxa" w:w="67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QuickBooks · Retailware · Novel</w:t>
            </w:r>
          </w:p>
        </w:tc>
      </w:tr>
      <w:tr>
        <w:tc>
          <w:tcPr>
            <w:tcW w:type="dxa" w:w="26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Date</w:t>
            </w:r>
          </w:p>
        </w:tc>
        <w:tc>
          <w:tcPr>
            <w:tcW w:type="dxa" w:w="67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6 August 2026</w:t>
            </w:r>
          </w:p>
        </w:tc>
      </w:tr>
      <w:tr>
        <w:tc>
          <w:tcPr>
            <w:tcW w:type="dxa" w:w="26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Status</w:t>
            </w:r>
          </w:p>
        </w:tc>
        <w:tc>
          <w:tcPr>
            <w:tcW w:type="dxa" w:w="67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Draft for discussion — not a quotation</w:t>
            </w:r>
          </w:p>
        </w:tc>
      </w:tr>
    </w:tbl>
    <w:p>
      <w:r>
        <w:br w:type="page"/>
      </w:r>
    </w:p>
    <w:p>
      <w:pPr>
        <w:pStyle w:val="Heading1"/>
        <w:spacing w:after="160" w:before="360"/>
      </w:pPr>
      <w:r>
        <w:rPr>
          <w:rFonts w:ascii="Calibri" w:cs="Calibri" w:eastAsia="Calibri" w:hAnsi="Calibri"/>
          <w:b/>
          <w:bCs/>
          <w:color w:val="1F3864"/>
          <w:sz w:val="30"/>
          <w:szCs w:val="30"/>
        </w:rPr>
        <w:t xml:space="preserve">Contents</w:t>
      </w:r>
    </w:p>
    <w:p>
      <w:pPr>
        <w:spacing w:after="80"/>
      </w:pP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700"/>
        <w:gridCol w:w="3400"/>
        <w:gridCol w:w="5260"/>
      </w:tblGrid>
      <w:tr>
        <w:trPr>
          <w:tblHeader/>
        </w:trPr>
        <w:tc>
          <w:tcPr>
            <w:tcW w:type="dxa" w:w="7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
            </w:r>
          </w:p>
        </w:tc>
        <w:tc>
          <w:tcPr>
            <w:tcW w:type="dxa" w:w="34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Section</w:t>
            </w:r>
          </w:p>
        </w:tc>
        <w:tc>
          <w:tcPr>
            <w:tcW w:type="dxa" w:w="52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Covering</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1.</w:t>
            </w:r>
          </w:p>
        </w:tc>
        <w:tc>
          <w:tcPr>
            <w:tcW w:type="dxa" w:w="3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Executive Summary</w:t>
            </w:r>
          </w:p>
        </w:tc>
        <w:tc>
          <w:tcPr>
            <w:tcW w:type="dxa" w:w="52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The headline finding, causes, and recommendations</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2.</w:t>
            </w:r>
          </w:p>
        </w:tc>
        <w:tc>
          <w:tcPr>
            <w:tcW w:type="dxa" w:w="34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Current Environment</w:t>
            </w:r>
          </w:p>
        </w:tc>
        <w:tc>
          <w:tcPr>
            <w:tcW w:type="dxa" w:w="52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Scale of the estate and current configuration</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3.</w:t>
            </w:r>
          </w:p>
        </w:tc>
        <w:tc>
          <w:tcPr>
            <w:tcW w:type="dxa" w:w="3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Detailed Findings</w:t>
            </w:r>
          </w:p>
        </w:tc>
        <w:tc>
          <w:tcPr>
            <w:tcW w:type="dxa" w:w="52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Six findings, with supporting evidence</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4.</w:t>
            </w:r>
          </w:p>
        </w:tc>
        <w:tc>
          <w:tcPr>
            <w:tcW w:type="dxa" w:w="34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What the Replacement System Must Do</w:t>
            </w:r>
          </w:p>
        </w:tc>
        <w:tc>
          <w:tcPr>
            <w:tcW w:type="dxa" w:w="52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Requirements and functional scope</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5.</w:t>
            </w:r>
          </w:p>
        </w:tc>
        <w:tc>
          <w:tcPr>
            <w:tcW w:type="dxa" w:w="3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Operating Constraints</w:t>
            </w:r>
          </w:p>
        </w:tc>
        <w:tc>
          <w:tcPr>
            <w:tcW w:type="dxa" w:w="52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Offline working, fiscalisation, currency and power</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6.</w:t>
            </w:r>
          </w:p>
        </w:tc>
        <w:tc>
          <w:tcPr>
            <w:tcW w:type="dxa" w:w="34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Proposed Approach</w:t>
            </w:r>
          </w:p>
        </w:tc>
        <w:tc>
          <w:tcPr>
            <w:tcW w:type="dxa" w:w="52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Phasing, Phase 0, and pilot branch</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7.</w:t>
            </w:r>
          </w:p>
        </w:tc>
        <w:tc>
          <w:tcPr>
            <w:tcW w:type="dxa" w:w="3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The Investment Case</w:t>
            </w:r>
          </w:p>
        </w:tc>
        <w:tc>
          <w:tcPr>
            <w:tcW w:type="dxa" w:w="52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Where the value is, and a test worth applying</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8.</w:t>
            </w:r>
          </w:p>
        </w:tc>
        <w:tc>
          <w:tcPr>
            <w:tcW w:type="dxa" w:w="34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Information Required</w:t>
            </w:r>
          </w:p>
        </w:tc>
        <w:tc>
          <w:tcPr>
            <w:tcW w:type="dxa" w:w="52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Questions that must be answered before pricing</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9.</w:t>
            </w:r>
          </w:p>
        </w:tc>
        <w:tc>
          <w:tcPr>
            <w:tcW w:type="dxa" w:w="3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Risks</w:t>
            </w:r>
          </w:p>
        </w:tc>
        <w:tc>
          <w:tcPr>
            <w:tcW w:type="dxa" w:w="52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What could go wrong and how it is managed</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10.</w:t>
            </w:r>
          </w:p>
        </w:tc>
        <w:tc>
          <w:tcPr>
            <w:tcW w:type="dxa" w:w="34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Next Steps</w:t>
            </w:r>
          </w:p>
        </w:tc>
        <w:tc>
          <w:tcPr>
            <w:tcW w:type="dxa" w:w="52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Agreed actions</w:t>
            </w:r>
          </w:p>
        </w:tc>
      </w:tr>
    </w:tbl>
    <w:p>
      <w:pPr>
        <w:pStyle w:val="Heading1"/>
        <w:spacing w:after="160" w:before="36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color w:val="262626"/>
          <w:sz w:val="21"/>
          <w:szCs w:val="21"/>
        </w:rPr>
        <w:t xml:space="preserve">This report sets out what we found when reviewing the current retail systems and operating data, what a replacement system would need to do, and what information we still need before a costed proposal can be issued.</w:t>
      </w:r>
    </w:p>
    <w:p>
      <w:pPr>
        <w:spacing w:after="120" w:line="276"/>
      </w:pPr>
      <w:r>
        <w:rPr>
          <w:rFonts w:ascii="Calibri" w:cs="Calibri" w:eastAsia="Calibri" w:hAnsi="Calibri"/>
          <w:color w:val="262626"/>
          <w:sz w:val="21"/>
          <w:szCs w:val="21"/>
        </w:rPr>
        <w:t xml:space="preserve">The review was based on system screenshots, configuration settings, the user and access register, the goods-received ledger, and a completed stock count from the Kana Mission branch dated 25 July 2026.</w:t>
      </w:r>
    </w:p>
    <w:p>
      <w:pPr>
        <w:pStyle w:val="Heading2"/>
        <w:spacing w:after="120" w:before="260"/>
      </w:pPr>
      <w:r>
        <w:rPr>
          <w:rFonts w:ascii="Calibri" w:cs="Calibri" w:eastAsia="Calibri" w:hAnsi="Calibri"/>
          <w:b/>
          <w:bCs/>
          <w:color w:val="2E5E8C"/>
          <w:sz w:val="24"/>
          <w:szCs w:val="24"/>
        </w:rPr>
        <w:t xml:space="preserve">The headline finding</w:t>
      </w:r>
    </w:p>
    <w:p>
      <w:pPr>
        <w:spacing w:after="120" w:line="276"/>
      </w:pPr>
      <w:r>
        <w:rPr>
          <w:rFonts w:ascii="Calibri" w:cs="Calibri" w:eastAsia="Calibri" w:hAnsi="Calibri"/>
          <w:color w:val="262626"/>
          <w:sz w:val="21"/>
          <w:szCs w:val="21"/>
        </w:rPr>
        <w:t xml:space="preserve">The current platform is not short of features. It is short of trustworthy data. The stock and cost figures it produces cannot be relied upon for decision-making, and the evidence for that is unambiguous:</w:t>
      </w:r>
    </w:p>
    <w:p>
      <w:pPr>
        <w:pBdr>
          <w:top w:val="single" w:color="9C2B2B" w:sz="2"/>
          <w:left w:val="single" w:color="9C2B2B" w:sz="12"/>
          <w:bottom w:val="single" w:color="9C2B2B" w:sz="2"/>
          <w:right w:val="single" w:color="9C2B2B" w:sz="2"/>
        </w:pBdr>
        <w:shd w:fill="EDF1F6" w:val="clear"/>
        <w:spacing w:after="60" w:before="120" w:line="276"/>
        <w:ind w:left="170" w:right="170"/>
      </w:pPr>
      <w:r>
        <w:rPr>
          <w:rFonts w:ascii="Calibri" w:cs="Calibri" w:eastAsia="Calibri" w:hAnsi="Calibri"/>
          <w:b/>
          <w:bCs/>
          <w:color w:val="9C2B2B"/>
          <w:sz w:val="21"/>
          <w:szCs w:val="21"/>
        </w:rPr>
        <w:t xml:space="preserve">Stock count IC-10027 — Kana Mission, 25 July 2026</w:t>
      </w:r>
    </w:p>
    <w:p>
      <w:pPr>
        <w:pBdr>
          <w:top w:val="single" w:color="9C2B2B" w:sz="2"/>
          <w:left w:val="single" w:color="9C2B2B" w:sz="12"/>
          <w:bottom w:val="single" w:color="9C2B2B" w:sz="2"/>
          <w:right w:val="single" w:color="9C2B2B" w:sz="2"/>
        </w:pBdr>
        <w:shd w:fill="EDF1F6" w:val="clear"/>
        <w:spacing w:after="60" w:line="276"/>
        <w:ind w:left="170" w:right="170"/>
      </w:pPr>
      <w:r>
        <w:rPr>
          <w:rFonts w:ascii="Calibri" w:cs="Calibri" w:eastAsia="Calibri" w:hAnsi="Calibri"/>
          <w:sz w:val="21"/>
          <w:szCs w:val="21"/>
        </w:rPr>
        <w:t xml:space="preserve">814 items in the branch item master. Only 243 were counted; 571 were left uncounted.</w:t>
      </w:r>
    </w:p>
    <w:p>
      <w:pPr>
        <w:pBdr>
          <w:top w:val="single" w:color="9C2B2B" w:sz="2"/>
          <w:left w:val="single" w:color="9C2B2B" w:sz="12"/>
          <w:bottom w:val="single" w:color="9C2B2B" w:sz="2"/>
          <w:right w:val="single" w:color="9C2B2B" w:sz="2"/>
        </w:pBdr>
        <w:shd w:fill="EDF1F6" w:val="clear"/>
        <w:spacing w:after="60" w:line="276"/>
        <w:ind w:left="170" w:right="170"/>
      </w:pPr>
      <w:r>
        <w:rPr>
          <w:rFonts w:ascii="Calibri" w:cs="Calibri" w:eastAsia="Calibri" w:hAnsi="Calibri"/>
          <w:sz w:val="21"/>
          <w:szCs w:val="21"/>
        </w:rPr>
        <w:t xml:space="preserve">Of the 243 lines counted, not one reconciled to the system's expected stock. Zero.</w:t>
      </w:r>
    </w:p>
    <w:p>
      <w:pPr>
        <w:pBdr>
          <w:top w:val="single" w:color="9C2B2B" w:sz="2"/>
          <w:left w:val="single" w:color="9C2B2B" w:sz="12"/>
          <w:bottom w:val="single" w:color="9C2B2B" w:sz="2"/>
          <w:right w:val="single" w:color="9C2B2B" w:sz="2"/>
        </w:pBdr>
        <w:shd w:fill="EDF1F6" w:val="clear"/>
        <w:spacing w:after="60" w:line="276"/>
        <w:ind w:left="170" w:right="170"/>
      </w:pPr>
      <w:r>
        <w:rPr>
          <w:rFonts w:ascii="Calibri" w:cs="Calibri" w:eastAsia="Calibri" w:hAnsi="Calibri"/>
          <w:sz w:val="21"/>
          <w:szCs w:val="21"/>
        </w:rPr>
        <w:t xml:space="preserve">240 lines showed more stock on the shelf than the system expected; 3 showed less.</w:t>
      </w:r>
    </w:p>
    <w:p>
      <w:pPr>
        <w:pBdr>
          <w:top w:val="single" w:color="9C2B2B" w:sz="2"/>
          <w:left w:val="single" w:color="9C2B2B" w:sz="12"/>
          <w:bottom w:val="single" w:color="9C2B2B" w:sz="2"/>
          <w:right w:val="single" w:color="9C2B2B" w:sz="2"/>
        </w:pBdr>
        <w:shd w:fill="EDF1F6" w:val="clear"/>
        <w:spacing w:after="160" w:line="276"/>
        <w:ind w:left="170" w:right="170"/>
      </w:pPr>
      <w:r>
        <w:rPr>
          <w:rFonts w:ascii="Calibri" w:cs="Calibri" w:eastAsia="Calibri" w:hAnsi="Calibri"/>
          <w:sz w:val="21"/>
          <w:szCs w:val="21"/>
        </w:rPr>
        <w:t xml:space="preserve">Total unexplained variance: USD 214,516.</w:t>
      </w:r>
    </w:p>
    <w:p>
      <w:pPr>
        <w:spacing w:after="120" w:line="276"/>
      </w:pPr>
      <w:r>
        <w:rPr>
          <w:rFonts w:ascii="Calibri" w:cs="Calibri" w:eastAsia="Calibri" w:hAnsi="Calibri"/>
          <w:color w:val="262626"/>
          <w:sz w:val="21"/>
          <w:szCs w:val="21"/>
        </w:rPr>
        <w:t xml:space="preserve">A variance rate of 100% is not a stock loss problem. It means the perpetual inventory ledger has no working relationship with physical reality. Separately, the dashboard for a recent trading day shows gross sales of 295.22 against cost of sales of 294.89 — a gross margin of 0.11%. No supermarket operates at that margin. It indicates that cost prices have been captured at or near selling price across most of the range, which makes every margin, valuation and profitability report in the system unusable.</w:t>
      </w:r>
    </w:p>
    <w:p>
      <w:pPr>
        <w:spacing w:after="120" w:line="276"/>
      </w:pPr>
      <w:r>
        <w:rPr>
          <w:rFonts w:ascii="Calibri" w:cs="Calibri" w:eastAsia="Calibri" w:hAnsi="Calibri"/>
          <w:b/>
          <w:bCs/>
          <w:color w:val="262626"/>
          <w:sz w:val="21"/>
          <w:szCs w:val="21"/>
        </w:rPr>
        <w:t xml:space="preserve">Together these two findings explain the problems described by the business — failing inventory, unreliable stock, cashier overrides, and a persistent stream of change requests to the vendor. Those are symptoms. The causes are structural, and we have identified them.</w:t>
      </w:r>
    </w:p>
    <w:p>
      <w:pPr>
        <w:pStyle w:val="Heading2"/>
        <w:spacing w:after="120" w:before="260"/>
      </w:pPr>
      <w:r>
        <w:rPr>
          <w:rFonts w:ascii="Calibri" w:cs="Calibri" w:eastAsia="Calibri" w:hAnsi="Calibri"/>
          <w:b/>
          <w:bCs/>
          <w:color w:val="2E5E8C"/>
          <w:sz w:val="24"/>
          <w:szCs w:val="24"/>
        </w:rPr>
        <w:t xml:space="preserve">What is actually causing it</w:t>
      </w:r>
    </w:p>
    <w:p>
      <w:pPr>
        <w:spacing w:after="120" w:line="276"/>
      </w:pPr>
      <w:r>
        <w:rPr>
          <w:rFonts w:ascii="Calibri" w:cs="Calibri" w:eastAsia="Calibri" w:hAnsi="Calibri"/>
          <w:color w:val="262626"/>
          <w:sz w:val="21"/>
          <w:szCs w:val="21"/>
        </w:rPr>
        <w:t xml:space="preserve">Most of the variance is unlikely to be theft. The item master itself is broken in ways that make correct stock figures arithmetically impossible:</w:t>
      </w:r>
    </w:p>
    <w:p>
      <w:pPr>
        <w:pStyle w:val="ListParagraph"/>
        <w:numPr>
          <w:ilvl w:val="0"/>
          <w:numId w:val="2"/>
        </w:numPr>
        <w:spacing w:after="80" w:line="276"/>
      </w:pPr>
      <w:r>
        <w:rPr>
          <w:rFonts w:ascii="Calibri" w:cs="Calibri" w:eastAsia="Calibri" w:hAnsi="Calibri"/>
          <w:b/>
          <w:bCs/>
          <w:color w:val="262626"/>
          <w:sz w:val="21"/>
          <w:szCs w:val="21"/>
        </w:rPr>
        <w:t xml:space="preserve">The same product exists several times under different codes. </w:t>
      </w:r>
      <w:r>
        <w:rPr>
          <w:rFonts w:ascii="Calibri" w:cs="Calibri" w:eastAsia="Calibri" w:hAnsi="Calibri"/>
          <w:color w:val="262626"/>
          <w:sz w:val="21"/>
          <w:szCs w:val="21"/>
        </w:rPr>
        <w:t xml:space="preserve">“Three Leaves 125g” appears four separate times with four different barcodes. Stock therefore splits at random across four records depending on which one is scanned, and all four are wrong.</w:t>
      </w:r>
    </w:p>
    <w:p>
      <w:pPr>
        <w:pStyle w:val="ListParagraph"/>
        <w:numPr>
          <w:ilvl w:val="0"/>
          <w:numId w:val="2"/>
        </w:numPr>
        <w:spacing w:after="80" w:line="276"/>
      </w:pPr>
      <w:r>
        <w:rPr>
          <w:rFonts w:ascii="Calibri" w:cs="Calibri" w:eastAsia="Calibri" w:hAnsi="Calibri"/>
          <w:b/>
          <w:bCs/>
          <w:color w:val="262626"/>
          <w:sz w:val="21"/>
          <w:szCs w:val="21"/>
        </w:rPr>
        <w:t xml:space="preserve">Cases and singles are unlinked products. </w:t>
      </w:r>
      <w:r>
        <w:rPr>
          <w:rFonts w:ascii="Calibri" w:cs="Calibri" w:eastAsia="Calibri" w:hAnsi="Calibri"/>
          <w:color w:val="262626"/>
          <w:sz w:val="21"/>
          <w:szCs w:val="21"/>
        </w:rPr>
        <w:t xml:space="preserve">“Charhons 500g” and “Charhons biscuits 10x500g” are unrelated records with no rule stating that one case equals ten units. The warehouse receives cases, the branch sells singles, and the two can never reconcile. This alone plausibly accounts for a large share of the 214,516.</w:t>
      </w:r>
    </w:p>
    <w:p>
      <w:pPr>
        <w:pStyle w:val="ListParagraph"/>
        <w:numPr>
          <w:ilvl w:val="0"/>
          <w:numId w:val="2"/>
        </w:numPr>
        <w:spacing w:after="80" w:line="276"/>
      </w:pPr>
      <w:r>
        <w:rPr>
          <w:rFonts w:ascii="Calibri" w:cs="Calibri" w:eastAsia="Calibri" w:hAnsi="Calibri"/>
          <w:b/>
          <w:bCs/>
          <w:color w:val="262626"/>
          <w:sz w:val="21"/>
          <w:szCs w:val="21"/>
        </w:rPr>
        <w:t xml:space="preserve">Barcode data is corrupted. </w:t>
      </w:r>
      <w:r>
        <w:rPr>
          <w:rFonts w:ascii="Calibri" w:cs="Calibri" w:eastAsia="Calibri" w:hAnsi="Calibri"/>
          <w:color w:val="262626"/>
          <w:sz w:val="21"/>
          <w:szCs w:val="21"/>
        </w:rPr>
        <w:t xml:space="preserve">241 codes are shorter than six digits, 42 are too long to be valid barcodes, 75 show spreadsheet formatting damage, and one product carries a negative barcode.</w:t>
      </w:r>
    </w:p>
    <w:p>
      <w:pPr>
        <w:spacing w:after="120" w:line="276"/>
      </w:pPr>
      <w:r>
        <w:rPr>
          <w:rFonts w:ascii="Calibri" w:cs="Calibri" w:eastAsia="Calibri" w:hAnsi="Calibri"/>
          <w:b/>
          <w:bCs/>
          <w:color w:val="262626"/>
          <w:sz w:val="21"/>
          <w:szCs w:val="21"/>
        </w:rPr>
        <w:t xml:space="preserve">These are fixable, but they must be fixed before any system — new or existing — can produce reliable numbers.</w:t>
      </w:r>
    </w:p>
    <w:p>
      <w:pPr>
        <w:pStyle w:val="Heading2"/>
        <w:spacing w:after="120" w:before="260"/>
      </w:pPr>
      <w:r>
        <w:rPr>
          <w:rFonts w:ascii="Calibri" w:cs="Calibri" w:eastAsia="Calibri" w:hAnsi="Calibri"/>
          <w:b/>
          <w:bCs/>
          <w:color w:val="2E5E8C"/>
          <w:sz w:val="24"/>
          <w:szCs w:val="24"/>
        </w:rPr>
        <w:t xml:space="preserve">What we recommend</w:t>
      </w:r>
    </w:p>
    <w:p>
      <w:pPr>
        <w:pStyle w:val="ListParagraph"/>
        <w:numPr>
          <w:ilvl w:val="0"/>
          <w:numId w:val="3"/>
        </w:numPr>
        <w:spacing w:after="90" w:line="276"/>
      </w:pPr>
      <w:r>
        <w:rPr>
          <w:rFonts w:ascii="Calibri" w:cs="Calibri" w:eastAsia="Calibri" w:hAnsi="Calibri"/>
          <w:sz w:val="21"/>
          <w:szCs w:val="21"/>
        </w:rPr>
        <w:t xml:space="preserve">Treat this as a stock-control programme, not a software replacement. New software over the same data and the same controls will reproduce the same problem in a different interface.</w:t>
      </w:r>
    </w:p>
    <w:p>
      <w:pPr>
        <w:pStyle w:val="ListParagraph"/>
        <w:numPr>
          <w:ilvl w:val="0"/>
          <w:numId w:val="3"/>
        </w:numPr>
        <w:spacing w:after="90" w:line="276"/>
      </w:pPr>
      <w:r>
        <w:rPr>
          <w:rFonts w:ascii="Calibri" w:cs="Calibri" w:eastAsia="Calibri" w:hAnsi="Calibri"/>
          <w:sz w:val="21"/>
          <w:szCs w:val="21"/>
        </w:rPr>
        <w:t xml:space="preserve">Begin with a short, paid discovery and data-cleansing phase. The item master must be de-duplicated, pack hierarchies defined, and barcodes validated. This work has value regardless of which platform is ultimately used.</w:t>
      </w:r>
    </w:p>
    <w:p>
      <w:pPr>
        <w:pStyle w:val="ListParagraph"/>
        <w:numPr>
          <w:ilvl w:val="0"/>
          <w:numId w:val="3"/>
        </w:numPr>
        <w:spacing w:after="90" w:line="276"/>
      </w:pPr>
      <w:r>
        <w:rPr>
          <w:rFonts w:ascii="Calibri" w:cs="Calibri" w:eastAsia="Calibri" w:hAnsi="Calibri"/>
          <w:sz w:val="21"/>
          <w:szCs w:val="21"/>
        </w:rPr>
        <w:t xml:space="preserve">Build the replacement around control and evidence, not features. Enforced approvals, an unchangeable audit trail, and an exception queue that a named person clears are what close the gaps described.</w:t>
      </w:r>
    </w:p>
    <w:p>
      <w:pPr>
        <w:pStyle w:val="ListParagraph"/>
        <w:numPr>
          <w:ilvl w:val="0"/>
          <w:numId w:val="3"/>
        </w:numPr>
        <w:spacing w:after="90" w:line="276"/>
      </w:pPr>
      <w:r>
        <w:rPr>
          <w:rFonts w:ascii="Calibri" w:cs="Calibri" w:eastAsia="Calibri" w:hAnsi="Calibri"/>
          <w:sz w:val="21"/>
          <w:szCs w:val="21"/>
        </w:rPr>
        <w:t xml:space="preserve">Design for offline operation from the outset. Where connectivity is unreliable, a till that cannot sell without the internet stops the shop trading. This cannot be retrofitted later.</w:t>
      </w:r>
    </w:p>
    <w:p>
      <w:r>
        <w:br w:type="page"/>
      </w:r>
    </w:p>
    <w:p>
      <w:pPr>
        <w:pStyle w:val="Heading1"/>
        <w:spacing w:after="160" w:before="360"/>
      </w:pPr>
      <w:r>
        <w:rPr>
          <w:rFonts w:ascii="Calibri" w:cs="Calibri" w:eastAsia="Calibri" w:hAnsi="Calibri"/>
          <w:b/>
          <w:bCs/>
          <w:color w:val="1F3864"/>
          <w:sz w:val="30"/>
          <w:szCs w:val="30"/>
        </w:rPr>
        <w:t xml:space="preserve">2. Current Environment</w:t>
      </w:r>
    </w:p>
    <w:p>
      <w:pPr>
        <w:pStyle w:val="Heading2"/>
        <w:spacing w:after="120" w:before="260"/>
      </w:pPr>
      <w:r>
        <w:rPr>
          <w:rFonts w:ascii="Calibri" w:cs="Calibri" w:eastAsia="Calibri" w:hAnsi="Calibri"/>
          <w:b/>
          <w:bCs/>
          <w:color w:val="2E5E8C"/>
          <w:sz w:val="24"/>
          <w:szCs w:val="24"/>
        </w:rPr>
        <w:t xml:space="preserve">2.1 Scale</w:t>
      </w:r>
    </w:p>
    <w:p>
      <w:pPr>
        <w:spacing w:after="120" w:line="276"/>
      </w:pPr>
      <w:r>
        <w:rPr>
          <w:rFonts w:ascii="Calibri" w:cs="Calibri" w:eastAsia="Calibri" w:hAnsi="Calibri"/>
          <w:color w:val="262626"/>
          <w:sz w:val="21"/>
          <w:szCs w:val="21"/>
        </w:rPr>
        <w:t xml:space="preserve">The system shows at least twelve locations: DOWNSTORES, Gwelutshena, Kana Mission, Kernmaur, LUPANE, Mission, Nesigwe, NEW SUPERMARKET, OLD SUPERMARKET, St Lukes, TM and WAREHOUSE. The branch list was still scrolling, so this may be incomplete and needs confirming.</w:t>
      </w:r>
    </w:p>
    <w:p>
      <w:pPr>
        <w:spacing w:after="120" w:line="276"/>
      </w:pPr>
      <w:r>
        <w:rPr>
          <w:rFonts w:ascii="Calibri" w:cs="Calibri" w:eastAsia="Calibri" w:hAnsi="Calibri"/>
          <w:color w:val="262626"/>
          <w:sz w:val="21"/>
          <w:szCs w:val="21"/>
        </w:rPr>
        <w:t xml:space="preserve">The presence of a warehouse is significant for design. It indicates a distribution model — central buying followed by transfer to branch — rather than purely branch-level purchasing. Inter-branch transfers and goods in transit are therefore core requirements, not optional extras.</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3000"/>
        <w:gridCol w:w="6360"/>
      </w:tblGrid>
      <w:tr>
        <w:trPr>
          <w:tblHeader/>
        </w:trPr>
        <w:tc>
          <w:tcPr>
            <w:tcW w:type="dxa" w:w="30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Measure</w:t>
            </w:r>
          </w:p>
        </w:tc>
        <w:tc>
          <w:tcPr>
            <w:tcW w:type="dxa" w:w="63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Observed</w:t>
            </w:r>
          </w:p>
        </w:tc>
      </w:tr>
      <w:tr>
        <w:tc>
          <w:tcPr>
            <w:tcW w:type="dxa" w:w="30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Locations</w:t>
            </w:r>
          </w:p>
        </w:tc>
        <w:tc>
          <w:tcPr>
            <w:tcW w:type="dxa" w:w="63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12 or more, including a central warehouse</w:t>
            </w:r>
          </w:p>
        </w:tc>
      </w:tr>
      <w:tr>
        <w:tc>
          <w:tcPr>
            <w:tcW w:type="dxa" w:w="30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User accounts</w:t>
            </w:r>
          </w:p>
        </w:tc>
        <w:tc>
          <w:tcPr>
            <w:tcW w:type="dxa" w:w="63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29 total</w:t>
            </w:r>
          </w:p>
        </w:tc>
      </w:tr>
      <w:tr>
        <w:tc>
          <w:tcPr>
            <w:tcW w:type="dxa" w:w="30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Roles</w:t>
            </w:r>
          </w:p>
        </w:tc>
        <w:tc>
          <w:tcPr>
            <w:tcW w:type="dxa" w:w="63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1 Administrator · 20 Cashiers · 4 Managers · 1 Audit · 3 Receivers</w:t>
            </w:r>
          </w:p>
        </w:tc>
      </w:tr>
      <w:tr>
        <w:tc>
          <w:tcPr>
            <w:tcW w:type="dxa" w:w="30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Items per branch</w:t>
            </w:r>
          </w:p>
        </w:tc>
        <w:tc>
          <w:tcPr>
            <w:tcW w:type="dxa" w:w="63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814 at Kana Mission</w:t>
            </w:r>
          </w:p>
        </w:tc>
      </w:tr>
      <w:tr>
        <w:tc>
          <w:tcPr>
            <w:tcW w:type="dxa" w:w="30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Goods received</w:t>
            </w:r>
          </w:p>
        </w:tc>
        <w:tc>
          <w:tcPr>
            <w:tcW w:type="dxa" w:w="63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Approximately 710 GRNs totalling USD 1,149,555 cumulative</w:t>
            </w:r>
          </w:p>
        </w:tc>
      </w:tr>
    </w:tbl>
    <w:p>
      <w:pPr>
        <w:pStyle w:val="Heading2"/>
        <w:spacing w:after="120" w:before="260"/>
      </w:pPr>
      <w:r>
        <w:rPr>
          <w:rFonts w:ascii="Calibri" w:cs="Calibri" w:eastAsia="Calibri" w:hAnsi="Calibri"/>
          <w:b/>
          <w:bCs/>
          <w:color w:val="2E5E8C"/>
          <w:sz w:val="24"/>
          <w:szCs w:val="24"/>
        </w:rPr>
        <w:t xml:space="preserve">2.2 Configuration — what is switched off</w:t>
      </w:r>
    </w:p>
    <w:p>
      <w:pPr>
        <w:spacing w:after="120" w:line="276"/>
      </w:pPr>
      <w:r>
        <w:rPr>
          <w:rFonts w:ascii="Calibri" w:cs="Calibri" w:eastAsia="Calibri" w:hAnsi="Calibri"/>
          <w:color w:val="262626"/>
          <w:sz w:val="21"/>
          <w:szCs w:val="21"/>
        </w:rPr>
        <w:t xml:space="preserve">Several settings that are disabled tell us more than the ones that are enabled:</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2300"/>
        <w:gridCol w:w="1000"/>
        <w:gridCol w:w="6060"/>
      </w:tblGrid>
      <w:tr>
        <w:trPr>
          <w:tblHeader/>
        </w:trPr>
        <w:tc>
          <w:tcPr>
            <w:tcW w:type="dxa" w:w="23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Feature</w:t>
            </w:r>
          </w:p>
        </w:tc>
        <w:tc>
          <w:tcPr>
            <w:tcW w:type="dxa" w:w="10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State</w:t>
            </w:r>
          </w:p>
        </w:tc>
        <w:tc>
          <w:tcPr>
            <w:tcW w:type="dxa" w:w="60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Implication</w:t>
            </w:r>
          </w:p>
        </w:tc>
      </w:tr>
      <w:tr>
        <w:tc>
          <w:tcPr>
            <w:tcW w:type="dxa" w:w="23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Fiscalisation</w:t>
            </w:r>
          </w:p>
        </w:tc>
        <w:tc>
          <w:tcPr>
            <w:tcW w:type="dxa" w:w="10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OFF</w:t>
            </w:r>
          </w:p>
        </w:tc>
        <w:tc>
          <w:tcPr>
            <w:tcW w:type="dxa" w:w="60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Mandatory for VAT-registered operators in Zimbabwe. Requires urgent clarification.</w:t>
            </w:r>
          </w:p>
        </w:tc>
      </w:tr>
      <w:tr>
        <w:tc>
          <w:tcPr>
            <w:tcW w:type="dxa" w:w="23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Generate ZIMRA taxes</w:t>
            </w:r>
          </w:p>
        </w:tc>
        <w:tc>
          <w:tcPr>
            <w:tcW w:type="dxa" w:w="10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OFF</w:t>
            </w:r>
          </w:p>
        </w:tc>
        <w:tc>
          <w:tcPr>
            <w:tcW w:type="dxa" w:w="60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As above.</w:t>
            </w:r>
          </w:p>
        </w:tc>
      </w:tr>
      <w:tr>
        <w:tc>
          <w:tcPr>
            <w:tcW w:type="dxa" w:w="23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Credit note</w:t>
            </w:r>
          </w:p>
        </w:tc>
        <w:tc>
          <w:tcPr>
            <w:tcW w:type="dxa" w:w="10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OFF</w:t>
            </w:r>
          </w:p>
        </w:tc>
        <w:tc>
          <w:tcPr>
            <w:tcW w:type="dxa" w:w="60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Returns are not being processed as credit notes — a control and VAT gap.</w:t>
            </w:r>
          </w:p>
        </w:tc>
      </w:tr>
      <w:tr>
        <w:tc>
          <w:tcPr>
            <w:tcW w:type="dxa" w:w="23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Multipayment</w:t>
            </w:r>
          </w:p>
        </w:tc>
        <w:tc>
          <w:tcPr>
            <w:tcW w:type="dxa" w:w="10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OFF</w:t>
            </w:r>
          </w:p>
        </w:tc>
        <w:tc>
          <w:tcPr>
            <w:tcW w:type="dxa" w:w="60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 single sale cannot be split across cash, card and mobile money.</w:t>
            </w:r>
          </w:p>
        </w:tc>
      </w:tr>
      <w:tr>
        <w:tc>
          <w:tcPr>
            <w:tcW w:type="dxa" w:w="23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Embedded barcodes</w:t>
            </w:r>
          </w:p>
        </w:tc>
        <w:tc>
          <w:tcPr>
            <w:tcW w:type="dxa" w:w="10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OFF</w:t>
            </w:r>
          </w:p>
        </w:tc>
        <w:tc>
          <w:tcPr>
            <w:tcW w:type="dxa" w:w="60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No weighed-goods barcodes. Unusual for a supermarket.</w:t>
            </w:r>
          </w:p>
        </w:tc>
      </w:tr>
    </w:tbl>
    <w:p>
      <w:pPr>
        <w:spacing w:after="60" w:line="276"/>
      </w:pPr>
      <w:r>
        <w:rPr>
          <w:rFonts w:ascii="Calibri" w:cs="Calibri" w:eastAsia="Calibri" w:hAnsi="Calibri"/>
          <w:color w:val="262626"/>
          <w:sz w:val="21"/>
          <w:szCs w:val="21"/>
        </w:rPr>
        <w:t xml:space="preserve">Modules in active use are open orders, shift management, time clock, taxes and charges, multi-currency, notifications and add-ons. Hospitality features — order types, service areas, kitchen notes, estimations — are switched off and should not be carried into a replacement.</w:t>
      </w:r>
    </w:p>
    <w:p>
      <w:r>
        <w:br w:type="page"/>
      </w:r>
    </w:p>
    <w:p>
      <w:pPr>
        <w:pStyle w:val="Heading1"/>
        <w:spacing w:after="160" w:before="360"/>
      </w:pPr>
      <w:r>
        <w:rPr>
          <w:rFonts w:ascii="Calibri" w:cs="Calibri" w:eastAsia="Calibri" w:hAnsi="Calibri"/>
          <w:b/>
          <w:bCs/>
          <w:color w:val="1F3864"/>
          <w:sz w:val="30"/>
          <w:szCs w:val="30"/>
        </w:rPr>
        <w:t xml:space="preserve">3. Detailed Findings</w:t>
      </w:r>
    </w:p>
    <w:p>
      <w:pPr>
        <w:pStyle w:val="Heading2"/>
        <w:spacing w:after="120" w:before="260"/>
      </w:pPr>
      <w:r>
        <w:rPr>
          <w:rFonts w:ascii="Calibri" w:cs="Calibri" w:eastAsia="Calibri" w:hAnsi="Calibri"/>
          <w:b/>
          <w:bCs/>
          <w:color w:val="2E5E8C"/>
          <w:sz w:val="24"/>
          <w:szCs w:val="24"/>
        </w:rPr>
        <w:t xml:space="preserve">Finding 1 — Stock records do not reflect physical stock</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6600"/>
        <w:gridCol w:w="2760"/>
      </w:tblGrid>
      <w:tr>
        <w:trPr>
          <w:tblHeader/>
        </w:trPr>
        <w:tc>
          <w:tcPr>
            <w:tcW w:type="dxa" w:w="66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Stock count IC-10027, Kana Mission, 25 July 2026</w:t>
            </w:r>
          </w:p>
        </w:tc>
        <w:tc>
          <w:tcPr>
            <w:tcW w:type="dxa" w:w="2760"/>
            <w:shd w:fill="1F3864" w:val="clear"/>
            <w:tcMar>
              <w:top w:type="dxa" w:w="70"/>
              <w:left w:type="dxa" w:w="110"/>
              <w:bottom w:type="dxa" w:w="70"/>
              <w:right w:type="dxa" w:w="110"/>
            </w:tcMar>
          </w:tcPr>
          <w:p>
            <w:pPr>
              <w:spacing w:after="0" w:line="264"/>
              <w:jc w:val="right"/>
            </w:pPr>
            <w:r>
              <w:rPr>
                <w:rFonts w:ascii="Calibri" w:cs="Calibri" w:eastAsia="Calibri" w:hAnsi="Calibri"/>
                <w:b/>
                <w:bCs/>
                <w:color w:val="FFFFFF"/>
                <w:sz w:val="20"/>
                <w:szCs w:val="20"/>
              </w:rPr>
              <w:t xml:space="preserve">Result</w:t>
            </w:r>
          </w:p>
        </w:tc>
      </w:tr>
      <w:tr>
        <w:tc>
          <w:tcPr>
            <w:tcW w:type="dxa" w:w="66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Items in the branch item master</w:t>
            </w:r>
          </w:p>
        </w:tc>
        <w:tc>
          <w:tcPr>
            <w:tcW w:type="dxa" w:w="2760"/>
            <w:tcMar>
              <w:top w:type="dxa" w:w="70"/>
              <w:left w:type="dxa" w:w="110"/>
              <w:bottom w:type="dxa" w:w="70"/>
              <w:right w:type="dxa" w:w="110"/>
            </w:tcMar>
          </w:tcPr>
          <w:p>
            <w:pPr>
              <w:spacing w:after="0" w:line="264"/>
              <w:jc w:val="right"/>
            </w:pPr>
            <w:r>
              <w:rPr>
                <w:rFonts w:ascii="Calibri" w:cs="Calibri" w:eastAsia="Calibri" w:hAnsi="Calibri"/>
                <w:b w:val="false"/>
                <w:bCs w:val="false"/>
                <w:color w:val="262626"/>
                <w:sz w:val="20"/>
                <w:szCs w:val="20"/>
              </w:rPr>
              <w:t xml:space="preserve">814</w:t>
            </w:r>
          </w:p>
        </w:tc>
      </w:tr>
      <w:tr>
        <w:tc>
          <w:tcPr>
            <w:tcW w:type="dxa" w:w="66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Items actually counted</w:t>
            </w:r>
          </w:p>
        </w:tc>
        <w:tc>
          <w:tcPr>
            <w:tcW w:type="dxa" w:w="2760"/>
            <w:shd w:fill="F4F6FA" w:val="clear"/>
            <w:tcMar>
              <w:top w:type="dxa" w:w="70"/>
              <w:left w:type="dxa" w:w="110"/>
              <w:bottom w:type="dxa" w:w="70"/>
              <w:right w:type="dxa" w:w="110"/>
            </w:tcMar>
          </w:tcPr>
          <w:p>
            <w:pPr>
              <w:spacing w:after="0" w:line="264"/>
              <w:jc w:val="right"/>
            </w:pPr>
            <w:r>
              <w:rPr>
                <w:rFonts w:ascii="Calibri" w:cs="Calibri" w:eastAsia="Calibri" w:hAnsi="Calibri"/>
                <w:b w:val="false"/>
                <w:bCs w:val="false"/>
                <w:color w:val="262626"/>
                <w:sz w:val="20"/>
                <w:szCs w:val="20"/>
              </w:rPr>
              <w:t xml:space="preserve">243  (30%)</w:t>
            </w:r>
          </w:p>
        </w:tc>
      </w:tr>
      <w:tr>
        <w:tc>
          <w:tcPr>
            <w:tcW w:type="dxa" w:w="66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Items left uncounted</w:t>
            </w:r>
          </w:p>
        </w:tc>
        <w:tc>
          <w:tcPr>
            <w:tcW w:type="dxa" w:w="2760"/>
            <w:tcMar>
              <w:top w:type="dxa" w:w="70"/>
              <w:left w:type="dxa" w:w="110"/>
              <w:bottom w:type="dxa" w:w="70"/>
              <w:right w:type="dxa" w:w="110"/>
            </w:tcMar>
          </w:tcPr>
          <w:p>
            <w:pPr>
              <w:spacing w:after="0" w:line="264"/>
              <w:jc w:val="right"/>
            </w:pPr>
            <w:r>
              <w:rPr>
                <w:rFonts w:ascii="Calibri" w:cs="Calibri" w:eastAsia="Calibri" w:hAnsi="Calibri"/>
                <w:b w:val="false"/>
                <w:bCs w:val="false"/>
                <w:color w:val="262626"/>
                <w:sz w:val="20"/>
                <w:szCs w:val="20"/>
              </w:rPr>
              <w:t xml:space="preserve">571  (70%)</w:t>
            </w:r>
          </w:p>
        </w:tc>
      </w:tr>
      <w:tr>
        <w:tc>
          <w:tcPr>
            <w:tcW w:type="dxa" w:w="66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Counted lines that matched system stock</w:t>
            </w:r>
          </w:p>
        </w:tc>
        <w:tc>
          <w:tcPr>
            <w:tcW w:type="dxa" w:w="2760"/>
            <w:shd w:fill="F4F6FA" w:val="clear"/>
            <w:tcMar>
              <w:top w:type="dxa" w:w="70"/>
              <w:left w:type="dxa" w:w="110"/>
              <w:bottom w:type="dxa" w:w="70"/>
              <w:right w:type="dxa" w:w="110"/>
            </w:tcMar>
          </w:tcPr>
          <w:p>
            <w:pPr>
              <w:spacing w:after="0" w:line="264"/>
              <w:jc w:val="right"/>
            </w:pPr>
            <w:r>
              <w:rPr>
                <w:rFonts w:ascii="Calibri" w:cs="Calibri" w:eastAsia="Calibri" w:hAnsi="Calibri"/>
                <w:b w:val="false"/>
                <w:bCs w:val="false"/>
                <w:color w:val="262626"/>
                <w:sz w:val="20"/>
                <w:szCs w:val="20"/>
              </w:rPr>
              <w:t xml:space="preserve">0</w:t>
            </w:r>
          </w:p>
        </w:tc>
      </w:tr>
      <w:tr>
        <w:tc>
          <w:tcPr>
            <w:tcW w:type="dxa" w:w="66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Lines showing surplus (physical above system)</w:t>
            </w:r>
          </w:p>
        </w:tc>
        <w:tc>
          <w:tcPr>
            <w:tcW w:type="dxa" w:w="2760"/>
            <w:tcMar>
              <w:top w:type="dxa" w:w="70"/>
              <w:left w:type="dxa" w:w="110"/>
              <w:bottom w:type="dxa" w:w="70"/>
              <w:right w:type="dxa" w:w="110"/>
            </w:tcMar>
          </w:tcPr>
          <w:p>
            <w:pPr>
              <w:spacing w:after="0" w:line="264"/>
              <w:jc w:val="right"/>
            </w:pPr>
            <w:r>
              <w:rPr>
                <w:rFonts w:ascii="Calibri" w:cs="Calibri" w:eastAsia="Calibri" w:hAnsi="Calibri"/>
                <w:b w:val="false"/>
                <w:bCs w:val="false"/>
                <w:color w:val="262626"/>
                <w:sz w:val="20"/>
                <w:szCs w:val="20"/>
              </w:rPr>
              <w:t xml:space="preserve">240</w:t>
            </w:r>
          </w:p>
        </w:tc>
      </w:tr>
      <w:tr>
        <w:tc>
          <w:tcPr>
            <w:tcW w:type="dxa" w:w="66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Lines showing shortage (physical below system)</w:t>
            </w:r>
          </w:p>
        </w:tc>
        <w:tc>
          <w:tcPr>
            <w:tcW w:type="dxa" w:w="2760"/>
            <w:shd w:fill="F4F6FA" w:val="clear"/>
            <w:tcMar>
              <w:top w:type="dxa" w:w="70"/>
              <w:left w:type="dxa" w:w="110"/>
              <w:bottom w:type="dxa" w:w="70"/>
              <w:right w:type="dxa" w:w="110"/>
            </w:tcMar>
          </w:tcPr>
          <w:p>
            <w:pPr>
              <w:spacing w:after="0" w:line="264"/>
              <w:jc w:val="right"/>
            </w:pPr>
            <w:r>
              <w:rPr>
                <w:rFonts w:ascii="Calibri" w:cs="Calibri" w:eastAsia="Calibri" w:hAnsi="Calibri"/>
                <w:b w:val="false"/>
                <w:bCs w:val="false"/>
                <w:color w:val="262626"/>
                <w:sz w:val="20"/>
                <w:szCs w:val="20"/>
              </w:rPr>
              <w:t xml:space="preserve">3</w:t>
            </w:r>
          </w:p>
        </w:tc>
      </w:tr>
      <w:tr>
        <w:tc>
          <w:tcPr>
            <w:tcW w:type="dxa" w:w="66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Total variance</w:t>
            </w:r>
          </w:p>
        </w:tc>
        <w:tc>
          <w:tcPr>
            <w:tcW w:type="dxa" w:w="2760"/>
            <w:tcMar>
              <w:top w:type="dxa" w:w="70"/>
              <w:left w:type="dxa" w:w="110"/>
              <w:bottom w:type="dxa" w:w="70"/>
              <w:right w:type="dxa" w:w="110"/>
            </w:tcMar>
          </w:tcPr>
          <w:p>
            <w:pPr>
              <w:spacing w:after="0" w:line="264"/>
              <w:jc w:val="right"/>
            </w:pPr>
            <w:r>
              <w:rPr>
                <w:rFonts w:ascii="Calibri" w:cs="Calibri" w:eastAsia="Calibri" w:hAnsi="Calibri"/>
                <w:b w:val="false"/>
                <w:bCs w:val="false"/>
                <w:color w:val="262626"/>
                <w:sz w:val="20"/>
                <w:szCs w:val="20"/>
              </w:rPr>
              <w:t xml:space="preserve">USD 214,516</w:t>
            </w:r>
          </w:p>
        </w:tc>
      </w:tr>
    </w:tbl>
    <w:p>
      <w:pPr>
        <w:spacing w:after="140"/>
      </w:pPr>
    </w:p>
    <w:p>
      <w:pPr>
        <w:spacing w:after="120" w:line="276"/>
      </w:pPr>
      <w:r>
        <w:rPr>
          <w:rFonts w:ascii="Calibri" w:cs="Calibri" w:eastAsia="Calibri" w:hAnsi="Calibri"/>
          <w:color w:val="262626"/>
          <w:sz w:val="21"/>
          <w:szCs w:val="21"/>
        </w:rPr>
        <w:t xml:space="preserve">The direction of the variance is as informative as its size. Almost everything counted higher than the system expected, meaning stock has been entering the business without being recorded. Several items showed zero system stock while hundreds of units sat on the shelf — Three Leaves 125g (0 expected, 500 counted), Anchor Brand yeast (0 expected, 500 counted), and others.</w:t>
      </w:r>
    </w:p>
    <w:p>
      <w:pPr>
        <w:spacing w:after="120" w:line="276"/>
      </w:pPr>
      <w:r>
        <w:rPr>
          <w:rFonts w:ascii="Calibri" w:cs="Calibri" w:eastAsia="Calibri" w:hAnsi="Calibri"/>
          <w:color w:val="262626"/>
          <w:sz w:val="21"/>
          <w:szCs w:val="21"/>
        </w:rPr>
        <w:t xml:space="preserve">Because 571 items were never counted, they retain whatever incorrect figure they held. The count documented the problem rather than correcting it.</w:t>
      </w:r>
    </w:p>
    <w:p>
      <w:pPr>
        <w:pBdr>
          <w:top w:val="single" w:color="2E5E8C" w:sz="2"/>
          <w:left w:val="single" w:color="2E5E8C" w:sz="12"/>
          <w:bottom w:val="single" w:color="2E5E8C" w:sz="2"/>
          <w:right w:val="single" w:color="2E5E8C" w:sz="2"/>
        </w:pBdr>
        <w:shd w:fill="EDF1F6" w:val="clear"/>
        <w:spacing w:after="60" w:before="120" w:line="276"/>
        <w:ind w:left="170" w:right="170"/>
      </w:pPr>
      <w:r>
        <w:rPr>
          <w:rFonts w:ascii="Calibri" w:cs="Calibri" w:eastAsia="Calibri" w:hAnsi="Calibri"/>
          <w:b/>
          <w:bCs/>
          <w:color w:val="2E5E8C"/>
          <w:sz w:val="21"/>
          <w:szCs w:val="21"/>
        </w:rPr>
        <w:t xml:space="preserve">Important qualification</w:t>
      </w:r>
    </w:p>
    <w:p>
      <w:pPr>
        <w:pBdr>
          <w:top w:val="single" w:color="2E5E8C" w:sz="2"/>
          <w:left w:val="single" w:color="2E5E8C" w:sz="12"/>
          <w:bottom w:val="single" w:color="2E5E8C" w:sz="2"/>
          <w:right w:val="single" w:color="2E5E8C" w:sz="2"/>
        </w:pBdr>
        <w:shd w:fill="EDF1F6" w:val="clear"/>
        <w:spacing w:after="60" w:line="276"/>
        <w:ind w:left="170" w:right="170"/>
      </w:pPr>
      <w:r>
        <w:rPr>
          <w:rFonts w:ascii="Calibri" w:cs="Calibri" w:eastAsia="Calibri" w:hAnsi="Calibri"/>
          <w:sz w:val="21"/>
          <w:szCs w:val="21"/>
        </w:rPr>
        <w:t xml:space="preserve">The 214,516 figure should be read as the value of inventory the system could not account for — not as a theft estimate.</w:t>
      </w:r>
    </w:p>
    <w:p>
      <w:pPr>
        <w:pBdr>
          <w:top w:val="single" w:color="2E5E8C" w:sz="2"/>
          <w:left w:val="single" w:color="2E5E8C" w:sz="12"/>
          <w:bottom w:val="single" w:color="2E5E8C" w:sz="2"/>
          <w:right w:val="single" w:color="2E5E8C" w:sz="2"/>
        </w:pBdr>
        <w:shd w:fill="EDF1F6" w:val="clear"/>
        <w:spacing w:after="160" w:line="276"/>
        <w:ind w:left="170" w:right="170"/>
      </w:pPr>
      <w:r>
        <w:rPr>
          <w:rFonts w:ascii="Calibri" w:cs="Calibri" w:eastAsia="Calibri" w:hAnsi="Calibri"/>
          <w:sz w:val="21"/>
          <w:szCs w:val="21"/>
        </w:rPr>
        <w:t xml:space="preserve">Some of it is unit-of-measure error, some is data entry, some may be loss. The critical issue is that the business currently has no way to tell these apart. That inability to distinguish is the real problem to be solved.</w:t>
      </w:r>
    </w:p>
    <w:p>
      <w:pPr>
        <w:pStyle w:val="Heading2"/>
        <w:spacing w:after="120" w:before="260"/>
      </w:pPr>
      <w:r>
        <w:rPr>
          <w:rFonts w:ascii="Calibri" w:cs="Calibri" w:eastAsia="Calibri" w:hAnsi="Calibri"/>
          <w:b/>
          <w:bCs/>
          <w:color w:val="2E5E8C"/>
          <w:sz w:val="24"/>
          <w:szCs w:val="24"/>
        </w:rPr>
        <w:t xml:space="preserve">Finding 2 — Cost data is unusable</w:t>
      </w:r>
    </w:p>
    <w:p>
      <w:pPr>
        <w:spacing w:after="120" w:line="276"/>
      </w:pPr>
      <w:r>
        <w:rPr>
          <w:rFonts w:ascii="Calibri" w:cs="Calibri" w:eastAsia="Calibri" w:hAnsi="Calibri"/>
          <w:color w:val="262626"/>
          <w:sz w:val="21"/>
          <w:szCs w:val="21"/>
        </w:rPr>
        <w:t xml:space="preserve">The dashboard for a recent trading day: gross sales 295.22, net sales 295.22, cost of sales 294.89, gross profit 0.33. That is a 0.11% margin against an expected 12–25% for grocery retail.</w:t>
      </w:r>
    </w:p>
    <w:p>
      <w:pPr>
        <w:spacing w:after="120" w:line="276"/>
      </w:pPr>
      <w:r>
        <w:rPr>
          <w:rFonts w:ascii="Calibri" w:cs="Calibri" w:eastAsia="Calibri" w:hAnsi="Calibri"/>
          <w:color w:val="262626"/>
          <w:sz w:val="21"/>
          <w:szCs w:val="21"/>
        </w:rPr>
        <w:t xml:space="preserve">The practical consequences are that stock cannot be valued for the accounts, profitable and loss-making lines cannot be distinguished, and losses cannot be detected because there is no reliable cost baseline to detect them against. Gross sales also exactly equalling net sales indicates no discounts or refunds were recorded that day, which is worth verifying across a longer period.</w:t>
      </w:r>
    </w:p>
    <w:p>
      <w:pPr>
        <w:pStyle w:val="Heading2"/>
        <w:spacing w:after="120" w:before="260"/>
      </w:pPr>
      <w:r>
        <w:rPr>
          <w:rFonts w:ascii="Calibri" w:cs="Calibri" w:eastAsia="Calibri" w:hAnsi="Calibri"/>
          <w:b/>
          <w:bCs/>
          <w:color w:val="2E5E8C"/>
          <w:sz w:val="24"/>
          <w:szCs w:val="24"/>
        </w:rPr>
        <w:t xml:space="preserve">Finding 3 — The item master is structurally broken</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3400"/>
        <w:gridCol w:w="5960"/>
      </w:tblGrid>
      <w:tr>
        <w:trPr>
          <w:tblHeader/>
        </w:trPr>
        <w:tc>
          <w:tcPr>
            <w:tcW w:type="dxa" w:w="34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Product</w:t>
            </w:r>
          </w:p>
        </w:tc>
        <w:tc>
          <w:tcPr>
            <w:tcW w:type="dxa" w:w="59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Records found in the master</w:t>
            </w:r>
          </w:p>
        </w:tc>
      </w:tr>
      <w:tr>
        <w:tc>
          <w:tcPr>
            <w:tcW w:type="dxa" w:w="3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Three Leaves tea 125g</w:t>
            </w:r>
          </w:p>
        </w:tc>
        <w:tc>
          <w:tcPr>
            <w:tcW w:type="dxa" w:w="59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Four separate records under four barcodes</w:t>
            </w:r>
          </w:p>
        </w:tc>
      </w:tr>
      <w:tr>
        <w:tc>
          <w:tcPr>
            <w:tcW w:type="dxa" w:w="34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Three Leaves tea 250g</w:t>
            </w:r>
          </w:p>
        </w:tc>
        <w:tc>
          <w:tcPr>
            <w:tcW w:type="dxa" w:w="59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Two</w:t>
            </w:r>
          </w:p>
        </w:tc>
      </w:tr>
      <w:tr>
        <w:tc>
          <w:tcPr>
            <w:tcW w:type="dxa" w:w="3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Knockout fabric softener 1L</w:t>
            </w:r>
          </w:p>
        </w:tc>
        <w:tc>
          <w:tcPr>
            <w:tcW w:type="dxa" w:w="59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Two</w:t>
            </w:r>
          </w:p>
        </w:tc>
      </w:tr>
      <w:tr>
        <w:tc>
          <w:tcPr>
            <w:tcW w:type="dxa" w:w="34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Knockout foam bath 750ml</w:t>
            </w:r>
          </w:p>
        </w:tc>
        <w:tc>
          <w:tcPr>
            <w:tcW w:type="dxa" w:w="59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Two</w:t>
            </w:r>
          </w:p>
        </w:tc>
      </w:tr>
      <w:tr>
        <w:tc>
          <w:tcPr>
            <w:tcW w:type="dxa" w:w="3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Knockout foam bath 2L</w:t>
            </w:r>
          </w:p>
        </w:tc>
        <w:tc>
          <w:tcPr>
            <w:tcW w:type="dxa" w:w="59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Two</w:t>
            </w:r>
          </w:p>
        </w:tc>
      </w:tr>
      <w:tr>
        <w:tc>
          <w:tcPr>
            <w:tcW w:type="dxa" w:w="34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Charhons biscuits</w:t>
            </w:r>
          </w:p>
        </w:tc>
        <w:tc>
          <w:tcPr>
            <w:tcW w:type="dxa" w:w="59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Twelve records across pack sizes, with no conversion between them</w:t>
            </w:r>
          </w:p>
        </w:tc>
      </w:tr>
    </w:tbl>
    <w:p>
      <w:pPr>
        <w:spacing w:after="140"/>
      </w:pPr>
    </w:p>
    <w:p>
      <w:pPr>
        <w:spacing w:after="120" w:line="276"/>
      </w:pPr>
      <w:r>
        <w:rPr>
          <w:rFonts w:ascii="Calibri" w:cs="Calibri" w:eastAsia="Calibri" w:hAnsi="Calibri"/>
          <w:color w:val="262626"/>
          <w:sz w:val="21"/>
          <w:szCs w:val="21"/>
        </w:rPr>
        <w:t xml:space="preserve">A further nine products appear under identical names with different barcodes, including Pure Drop, Tomango, Blue Band, Jumbo, Natural Joy, Mazoe Raspberry 6x2l, Mazoe Blackberry 6x2l, Bonaqua 12x500ml and D'lite 375ml.</w:t>
      </w:r>
    </w:p>
    <w:p>
      <w:pPr>
        <w:spacing w:after="120" w:line="276"/>
      </w:pPr>
      <w:r>
        <w:rPr>
          <w:rFonts w:ascii="Calibri" w:cs="Calibri" w:eastAsia="Calibri" w:hAnsi="Calibri"/>
          <w:color w:val="262626"/>
          <w:sz w:val="21"/>
          <w:szCs w:val="21"/>
        </w:rPr>
        <w:t xml:space="preserve">Barcode integrity across the 814 items:</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4400"/>
        <w:gridCol w:w="1200"/>
        <w:gridCol w:w="3760"/>
      </w:tblGrid>
      <w:tr>
        <w:trPr>
          <w:tblHeader/>
        </w:trPr>
        <w:tc>
          <w:tcPr>
            <w:tcW w:type="dxa" w:w="44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Defect</w:t>
            </w:r>
          </w:p>
        </w:tc>
        <w:tc>
          <w:tcPr>
            <w:tcW w:type="dxa" w:w="1200"/>
            <w:shd w:fill="1F3864" w:val="clear"/>
            <w:tcMar>
              <w:top w:type="dxa" w:w="70"/>
              <w:left w:type="dxa" w:w="110"/>
              <w:bottom w:type="dxa" w:w="70"/>
              <w:right w:type="dxa" w:w="110"/>
            </w:tcMar>
          </w:tcPr>
          <w:p>
            <w:pPr>
              <w:spacing w:after="0" w:line="264"/>
              <w:jc w:val="center"/>
            </w:pPr>
            <w:r>
              <w:rPr>
                <w:rFonts w:ascii="Calibri" w:cs="Calibri" w:eastAsia="Calibri" w:hAnsi="Calibri"/>
                <w:b/>
                <w:bCs/>
                <w:color w:val="FFFFFF"/>
                <w:sz w:val="20"/>
                <w:szCs w:val="20"/>
              </w:rPr>
              <w:t xml:space="preserve">Count</w:t>
            </w:r>
          </w:p>
        </w:tc>
        <w:tc>
          <w:tcPr>
            <w:tcW w:type="dxa" w:w="37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Examples</w:t>
            </w:r>
          </w:p>
        </w:tc>
      </w:tr>
      <w:tr>
        <w:tc>
          <w:tcPr>
            <w:tcW w:type="dxa" w:w="4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Codes under six digits — not valid barcodes</w:t>
            </w:r>
          </w:p>
        </w:tc>
        <w:tc>
          <w:tcPr>
            <w:tcW w:type="dxa" w:w="1200"/>
            <w:tcMar>
              <w:top w:type="dxa" w:w="70"/>
              <w:left w:type="dxa" w:w="110"/>
              <w:bottom w:type="dxa" w:w="70"/>
              <w:right w:type="dxa" w:w="110"/>
            </w:tcMar>
          </w:tcPr>
          <w:p>
            <w:pPr>
              <w:spacing w:after="0" w:line="264"/>
              <w:jc w:val="center"/>
            </w:pPr>
            <w:r>
              <w:rPr>
                <w:rFonts w:ascii="Calibri" w:cs="Calibri" w:eastAsia="Calibri" w:hAnsi="Calibri"/>
                <w:b w:val="false"/>
                <w:bCs w:val="false"/>
                <w:color w:val="262626"/>
                <w:sz w:val="20"/>
                <w:szCs w:val="20"/>
              </w:rPr>
              <w:t xml:space="preserve">241</w:t>
            </w:r>
          </w:p>
        </w:tc>
        <w:tc>
          <w:tcPr>
            <w:tcW w:type="dxa" w:w="37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3, 12, 18, 76, 83</w:t>
            </w:r>
          </w:p>
        </w:tc>
      </w:tr>
      <w:tr>
        <w:tc>
          <w:tcPr>
            <w:tcW w:type="dxa" w:w="44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Codes over thirteen digits — invalid format</w:t>
            </w:r>
          </w:p>
        </w:tc>
        <w:tc>
          <w:tcPr>
            <w:tcW w:type="dxa" w:w="1200"/>
            <w:shd w:fill="F4F6FA" w:val="clear"/>
            <w:tcMar>
              <w:top w:type="dxa" w:w="70"/>
              <w:left w:type="dxa" w:w="110"/>
              <w:bottom w:type="dxa" w:w="70"/>
              <w:right w:type="dxa" w:w="110"/>
            </w:tcMar>
          </w:tcPr>
          <w:p>
            <w:pPr>
              <w:spacing w:after="0" w:line="264"/>
              <w:jc w:val="center"/>
            </w:pPr>
            <w:r>
              <w:rPr>
                <w:rFonts w:ascii="Calibri" w:cs="Calibri" w:eastAsia="Calibri" w:hAnsi="Calibri"/>
                <w:b w:val="false"/>
                <w:bCs w:val="false"/>
                <w:color w:val="262626"/>
                <w:sz w:val="20"/>
                <w:szCs w:val="20"/>
              </w:rPr>
              <w:t xml:space="preserve">42</w:t>
            </w:r>
          </w:p>
        </w:tc>
        <w:tc>
          <w:tcPr>
            <w:tcW w:type="dxa" w:w="37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6744072585426083</w:t>
            </w:r>
          </w:p>
        </w:tc>
      </w:tr>
      <w:tr>
        <w:tc>
          <w:tcPr>
            <w:tcW w:type="dxa" w:w="4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Leading-zero codes — spreadsheet damage</w:t>
            </w:r>
          </w:p>
        </w:tc>
        <w:tc>
          <w:tcPr>
            <w:tcW w:type="dxa" w:w="1200"/>
            <w:tcMar>
              <w:top w:type="dxa" w:w="70"/>
              <w:left w:type="dxa" w:w="110"/>
              <w:bottom w:type="dxa" w:w="70"/>
              <w:right w:type="dxa" w:w="110"/>
            </w:tcMar>
          </w:tcPr>
          <w:p>
            <w:pPr>
              <w:spacing w:after="0" w:line="264"/>
              <w:jc w:val="center"/>
            </w:pPr>
            <w:r>
              <w:rPr>
                <w:rFonts w:ascii="Calibri" w:cs="Calibri" w:eastAsia="Calibri" w:hAnsi="Calibri"/>
                <w:b w:val="false"/>
                <w:bCs w:val="false"/>
                <w:color w:val="262626"/>
                <w:sz w:val="20"/>
                <w:szCs w:val="20"/>
              </w:rPr>
              <w:t xml:space="preserve">75</w:t>
            </w:r>
          </w:p>
        </w:tc>
        <w:tc>
          <w:tcPr>
            <w:tcW w:type="dxa" w:w="37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074699, 01739, 0956</w:t>
            </w:r>
          </w:p>
        </w:tc>
      </w:tr>
      <w:tr>
        <w:tc>
          <w:tcPr>
            <w:tcW w:type="dxa" w:w="44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Negative code</w:t>
            </w:r>
          </w:p>
        </w:tc>
        <w:tc>
          <w:tcPr>
            <w:tcW w:type="dxa" w:w="1200"/>
            <w:shd w:fill="F4F6FA" w:val="clear"/>
            <w:tcMar>
              <w:top w:type="dxa" w:w="70"/>
              <w:left w:type="dxa" w:w="110"/>
              <w:bottom w:type="dxa" w:w="70"/>
              <w:right w:type="dxa" w:w="110"/>
            </w:tcMar>
          </w:tcPr>
          <w:p>
            <w:pPr>
              <w:spacing w:after="0" w:line="264"/>
              <w:jc w:val="center"/>
            </w:pPr>
            <w:r>
              <w:rPr>
                <w:rFonts w:ascii="Calibri" w:cs="Calibri" w:eastAsia="Calibri" w:hAnsi="Calibri"/>
                <w:b w:val="false"/>
                <w:bCs w:val="false"/>
                <w:color w:val="262626"/>
                <w:sz w:val="20"/>
                <w:szCs w:val="20"/>
              </w:rPr>
              <w:t xml:space="preserve">1</w:t>
            </w:r>
          </w:p>
        </w:tc>
        <w:tc>
          <w:tcPr>
            <w:tcW w:type="dxa" w:w="37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-1124125534</w:t>
            </w:r>
          </w:p>
        </w:tc>
      </w:tr>
    </w:tbl>
    <w:p>
      <w:pPr>
        <w:spacing w:after="140"/>
      </w:pPr>
    </w:p>
    <w:p>
      <w:pPr>
        <w:spacing w:after="120" w:line="276"/>
      </w:pPr>
      <w:r>
        <w:rPr>
          <w:rFonts w:ascii="Calibri" w:cs="Calibri" w:eastAsia="Calibri" w:hAnsi="Calibri"/>
          <w:color w:val="262626"/>
          <w:sz w:val="21"/>
          <w:szCs w:val="21"/>
        </w:rPr>
        <w:t xml:space="preserve">A negative barcode is not a typing error. It indicates a system that never validated its own primary product identifier.</w:t>
      </w:r>
    </w:p>
    <w:p>
      <w:pPr>
        <w:pStyle w:val="Heading2"/>
        <w:spacing w:after="120" w:before="260"/>
      </w:pPr>
      <w:r>
        <w:rPr>
          <w:rFonts w:ascii="Calibri" w:cs="Calibri" w:eastAsia="Calibri" w:hAnsi="Calibri"/>
          <w:b/>
          <w:bCs/>
          <w:color w:val="2E5E8C"/>
          <w:sz w:val="24"/>
          <w:szCs w:val="24"/>
        </w:rPr>
        <w:t xml:space="preserve">Finding 4 — Receiving controls are weak</w:t>
      </w:r>
    </w:p>
    <w:p>
      <w:pPr>
        <w:pStyle w:val="ListParagraph"/>
        <w:numPr>
          <w:ilvl w:val="0"/>
          <w:numId w:val="2"/>
        </w:numPr>
        <w:spacing w:after="80" w:line="276"/>
      </w:pPr>
      <w:r>
        <w:rPr>
          <w:rFonts w:ascii="Calibri" w:cs="Calibri" w:eastAsia="Calibri" w:hAnsi="Calibri"/>
          <w:b/>
          <w:bCs/>
          <w:color w:val="262626"/>
          <w:sz w:val="21"/>
          <w:szCs w:val="21"/>
        </w:rPr>
        <w:t xml:space="preserve">Goods received with no supplier. </w:t>
      </w:r>
      <w:r>
        <w:rPr>
          <w:rFonts w:ascii="Calibri" w:cs="Calibri" w:eastAsia="Calibri" w:hAnsi="Calibri"/>
          <w:color w:val="262626"/>
          <w:sz w:val="21"/>
          <w:szCs w:val="21"/>
        </w:rPr>
        <w:t xml:space="preserve">GRN-10699 (USD 2,000 into the warehouse), GRN-10695 (USD 170) and GRN-10693 (USD 275) all record the supplier as N/A. Stock and cost enter the business with no accountable counterparty.</w:t>
      </w:r>
    </w:p>
    <w:p>
      <w:pPr>
        <w:pStyle w:val="ListParagraph"/>
        <w:numPr>
          <w:ilvl w:val="0"/>
          <w:numId w:val="2"/>
        </w:numPr>
        <w:spacing w:after="80" w:line="276"/>
      </w:pPr>
      <w:r>
        <w:rPr>
          <w:rFonts w:ascii="Calibri" w:cs="Calibri" w:eastAsia="Calibri" w:hAnsi="Calibri"/>
          <w:b/>
          <w:bCs/>
          <w:color w:val="262626"/>
          <w:sz w:val="21"/>
          <w:szCs w:val="21"/>
        </w:rPr>
        <w:t xml:space="preserve">Backdating is in routine use. </w:t>
      </w:r>
      <w:r>
        <w:rPr>
          <w:rFonts w:ascii="Calibri" w:cs="Calibri" w:eastAsia="Calibri" w:hAnsi="Calibri"/>
          <w:color w:val="262626"/>
          <w:sz w:val="21"/>
          <w:szCs w:val="21"/>
        </w:rPr>
        <w:t xml:space="preserve">TGRN-10001 carries a goods-received date of 13 December 2025 but was created on 14 May 2026 — a five-month backdated receipt, still unposted.</w:t>
      </w:r>
    </w:p>
    <w:p>
      <w:pPr>
        <w:pStyle w:val="ListParagraph"/>
        <w:numPr>
          <w:ilvl w:val="0"/>
          <w:numId w:val="2"/>
        </w:numPr>
        <w:spacing w:after="80" w:line="276"/>
      </w:pPr>
      <w:r>
        <w:rPr>
          <w:rFonts w:ascii="Calibri" w:cs="Calibri" w:eastAsia="Calibri" w:hAnsi="Calibri"/>
          <w:b/>
          <w:bCs/>
          <w:color w:val="262626"/>
          <w:sz w:val="21"/>
          <w:szCs w:val="21"/>
        </w:rPr>
        <w:t xml:space="preserve">Draft receipts remain open indefinitely. </w:t>
      </w:r>
      <w:r>
        <w:rPr>
          <w:rFonts w:ascii="Calibri" w:cs="Calibri" w:eastAsia="Calibri" w:hAnsi="Calibri"/>
          <w:color w:val="262626"/>
          <w:sz w:val="21"/>
          <w:szCs w:val="21"/>
        </w:rPr>
        <w:t xml:space="preserve">That same record has sat in “Temporary Saved” since May. Stock in that state is physically present but absent from the ledger.</w:t>
      </w:r>
    </w:p>
    <w:p>
      <w:pPr>
        <w:pStyle w:val="Heading2"/>
        <w:spacing w:after="120" w:before="260"/>
      </w:pPr>
      <w:r>
        <w:rPr>
          <w:rFonts w:ascii="Calibri" w:cs="Calibri" w:eastAsia="Calibri" w:hAnsi="Calibri"/>
          <w:b/>
          <w:bCs/>
          <w:color w:val="2E5E8C"/>
          <w:sz w:val="24"/>
          <w:szCs w:val="24"/>
        </w:rPr>
        <w:t xml:space="preserve">Finding 5 — Stock counts are abandoned mid-process</w:t>
      </w:r>
    </w:p>
    <w:p>
      <w:pPr>
        <w:spacing w:after="120" w:line="276"/>
      </w:pPr>
      <w:r>
        <w:rPr>
          <w:rFonts w:ascii="Calibri" w:cs="Calibri" w:eastAsia="Calibri" w:hAnsi="Calibri"/>
          <w:color w:val="262626"/>
          <w:sz w:val="21"/>
          <w:szCs w:val="21"/>
        </w:rPr>
        <w:t xml:space="preserve">Counts created on 18, 22 and 25 July remain “In progress” at Kernmaur, Mission and TM. An unfinished count posts no adjustment, so the variance is never cleared and the next count begins from the same incorrect baseline.</w:t>
      </w:r>
    </w:p>
    <w:p>
      <w:pPr>
        <w:spacing w:after="120" w:line="276"/>
      </w:pPr>
      <w:r>
        <w:rPr>
          <w:rFonts w:ascii="Calibri" w:cs="Calibri" w:eastAsia="Calibri" w:hAnsi="Calibri"/>
          <w:color w:val="262626"/>
          <w:sz w:val="21"/>
          <w:szCs w:val="21"/>
        </w:rPr>
        <w:t xml:space="preserve">One count carried the note “MAREVANHEMA HANDOVER TO MAKOMBO”, indicating counts are also being used as informal staff handover documents rather than as controlled stock events.</w:t>
      </w:r>
    </w:p>
    <w:p>
      <w:pPr>
        <w:pStyle w:val="Heading2"/>
        <w:spacing w:after="120" w:before="260"/>
      </w:pPr>
      <w:r>
        <w:rPr>
          <w:rFonts w:ascii="Calibri" w:cs="Calibri" w:eastAsia="Calibri" w:hAnsi="Calibri"/>
          <w:b/>
          <w:bCs/>
          <w:color w:val="2E5E8C"/>
          <w:sz w:val="24"/>
          <w:szCs w:val="24"/>
        </w:rPr>
        <w:t xml:space="preserve">Finding 6 — User accounts do not support accountability</w:t>
      </w:r>
    </w:p>
    <w:p>
      <w:pPr>
        <w:pStyle w:val="ListParagraph"/>
        <w:numPr>
          <w:ilvl w:val="0"/>
          <w:numId w:val="2"/>
        </w:numPr>
        <w:spacing w:after="80" w:line="276"/>
      </w:pPr>
      <w:r>
        <w:rPr>
          <w:rFonts w:ascii="Calibri" w:cs="Calibri" w:eastAsia="Calibri" w:hAnsi="Calibri"/>
          <w:b/>
          <w:bCs/>
          <w:color w:val="262626"/>
          <w:sz w:val="21"/>
          <w:szCs w:val="21"/>
        </w:rPr>
        <w:t xml:space="preserve">Duplicate identities. </w:t>
      </w:r>
      <w:r>
        <w:rPr>
          <w:rFonts w:ascii="Calibri" w:cs="Calibri" w:eastAsia="Calibri" w:hAnsi="Calibri"/>
          <w:color w:val="262626"/>
          <w:sz w:val="21"/>
          <w:szCs w:val="21"/>
        </w:rPr>
        <w:t xml:space="preserve">Three separate records exist for what appears to be one or two people: “Eunice M” (Receiver), “Eunice Madimbe” (Manager) and “EUNICE” (Manager, disabled). Transactions cannot be reliably attributed to an individual.</w:t>
      </w:r>
    </w:p>
    <w:p>
      <w:pPr>
        <w:pStyle w:val="ListParagraph"/>
        <w:numPr>
          <w:ilvl w:val="0"/>
          <w:numId w:val="2"/>
        </w:numPr>
        <w:spacing w:after="80" w:line="276"/>
      </w:pPr>
      <w:r>
        <w:rPr>
          <w:rFonts w:ascii="Calibri" w:cs="Calibri" w:eastAsia="Calibri" w:hAnsi="Calibri"/>
          <w:b/>
          <w:bCs/>
          <w:color w:val="262626"/>
          <w:sz w:val="21"/>
          <w:szCs w:val="21"/>
        </w:rPr>
        <w:t xml:space="preserve">Accounts without contact details. </w:t>
      </w:r>
      <w:r>
        <w:rPr>
          <w:rFonts w:ascii="Calibri" w:cs="Calibri" w:eastAsia="Calibri" w:hAnsi="Calibri"/>
          <w:color w:val="262626"/>
          <w:sz w:val="21"/>
          <w:szCs w:val="21"/>
        </w:rPr>
        <w:t xml:space="preserve">Several cashier accounts have no email or phone number, leaving no password recovery route and no way to prove who used the account.</w:t>
      </w:r>
    </w:p>
    <w:p>
      <w:pPr>
        <w:pStyle w:val="ListParagraph"/>
        <w:numPr>
          <w:ilvl w:val="0"/>
          <w:numId w:val="2"/>
        </w:numPr>
        <w:spacing w:after="80" w:line="276"/>
      </w:pPr>
      <w:r>
        <w:rPr>
          <w:rFonts w:ascii="Calibri" w:cs="Calibri" w:eastAsia="Calibri" w:hAnsi="Calibri"/>
          <w:b/>
          <w:bCs/>
          <w:color w:val="262626"/>
          <w:sz w:val="21"/>
          <w:szCs w:val="21"/>
        </w:rPr>
        <w:t xml:space="preserve">Dormant privileged accounts. </w:t>
      </w:r>
      <w:r>
        <w:rPr>
          <w:rFonts w:ascii="Calibri" w:cs="Calibri" w:eastAsia="Calibri" w:hAnsi="Calibri"/>
          <w:color w:val="262626"/>
          <w:sz w:val="21"/>
          <w:szCs w:val="21"/>
        </w:rPr>
        <w:t xml:space="preserve">Disabled accounts remain on the Audit and Manager roles.</w:t>
      </w:r>
    </w:p>
    <w:p>
      <w:pPr>
        <w:pStyle w:val="ListParagraph"/>
        <w:numPr>
          <w:ilvl w:val="0"/>
          <w:numId w:val="2"/>
        </w:numPr>
        <w:spacing w:after="80" w:line="276"/>
      </w:pPr>
      <w:r>
        <w:rPr>
          <w:rFonts w:ascii="Calibri" w:cs="Calibri" w:eastAsia="Calibri" w:hAnsi="Calibri"/>
          <w:b/>
          <w:bCs/>
          <w:color w:val="262626"/>
          <w:sz w:val="21"/>
          <w:szCs w:val="21"/>
        </w:rPr>
        <w:t xml:space="preserve">Coarse permissions. </w:t>
      </w:r>
      <w:r>
        <w:rPr>
          <w:rFonts w:ascii="Calibri" w:cs="Calibri" w:eastAsia="Calibri" w:hAnsi="Calibri"/>
          <w:color w:val="262626"/>
          <w:sz w:val="21"/>
          <w:szCs w:val="21"/>
        </w:rPr>
        <w:t xml:space="preserve">Five roles split only by POS and back-office access. There is no way to permit a manager to approve a price change but not a stock adjustment — which is precisely the separation of duties required.</w:t>
      </w:r>
    </w:p>
    <w:p>
      <w:r>
        <w:br w:type="page"/>
      </w:r>
    </w:p>
    <w:p>
      <w:pPr>
        <w:pStyle w:val="Heading1"/>
        <w:spacing w:after="160" w:before="360"/>
      </w:pPr>
      <w:r>
        <w:rPr>
          <w:rFonts w:ascii="Calibri" w:cs="Calibri" w:eastAsia="Calibri" w:hAnsi="Calibri"/>
          <w:b/>
          <w:bCs/>
          <w:color w:val="1F3864"/>
          <w:sz w:val="30"/>
          <w:szCs w:val="30"/>
        </w:rPr>
        <w:t xml:space="preserve">4. What the Replacement System Must Do</w:t>
      </w:r>
    </w:p>
    <w:p>
      <w:pPr>
        <w:spacing w:after="120" w:line="276"/>
      </w:pPr>
      <w:r>
        <w:rPr>
          <w:rFonts w:ascii="Calibri" w:cs="Calibri" w:eastAsia="Calibri" w:hAnsi="Calibri"/>
          <w:color w:val="262626"/>
          <w:sz w:val="21"/>
          <w:szCs w:val="21"/>
        </w:rPr>
        <w:t xml:space="preserve">The table below translates each problem raised by the business into a concrete requirement.</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2900"/>
        <w:gridCol w:w="6460"/>
      </w:tblGrid>
      <w:tr>
        <w:trPr>
          <w:tblHeader/>
        </w:trPr>
        <w:tc>
          <w:tcPr>
            <w:tcW w:type="dxa" w:w="29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Stated problem</w:t>
            </w:r>
          </w:p>
        </w:tc>
        <w:tc>
          <w:tcPr>
            <w:tcW w:type="dxa" w:w="64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Requirement</w:t>
            </w:r>
          </w:p>
        </w:tc>
      </w:tr>
      <w:tr>
        <w:tc>
          <w:tcPr>
            <w:tcW w:type="dxa" w:w="29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Failing to do inventory</w:t>
            </w:r>
          </w:p>
        </w:tc>
        <w:tc>
          <w:tcPr>
            <w:tcW w:type="dxa" w:w="64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Unchangeable movement ledger; enforced count lifecycle with mandatory posting; rolling cycle counts instead of full counts</w:t>
            </w:r>
          </w:p>
        </w:tc>
      </w:tr>
      <w:tr>
        <w:tc>
          <w:tcPr>
            <w:tcW w:type="dxa" w:w="29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Stock and cost unreliable</w:t>
            </w:r>
          </w:p>
        </w:tc>
        <w:tc>
          <w:tcPr>
            <w:tcW w:type="dxa" w:w="64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Weighted-average cost held per branch and updated on every receipt; landed costs; valuation that reconciles to the accounts</w:t>
            </w:r>
          </w:p>
        </w:tc>
      </w:tr>
      <w:tr>
        <w:tc>
          <w:tcPr>
            <w:tcW w:type="dxa" w:w="29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Selling negative or zero stock; overrides for personal benefit</w:t>
            </w:r>
          </w:p>
        </w:tc>
        <w:tc>
          <w:tcPr>
            <w:tcW w:type="dxa" w:w="64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Configurable hard block on negative stock. Where an override is permitted, it writes an exception record with user, reason and timestamp into a queue a named person must clear</w:t>
            </w:r>
          </w:p>
        </w:tc>
      </w:tr>
      <w:tr>
        <w:tc>
          <w:tcPr>
            <w:tcW w:type="dxa" w:w="29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Constant change requests to the vendor</w:t>
            </w:r>
          </w:p>
        </w:tc>
        <w:tc>
          <w:tcPr>
            <w:tcW w:type="dxa" w:w="64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Configuration in place of custom development — admin-editable rules, a report builder, and a documented change process with agreed response times</w:t>
            </w:r>
          </w:p>
        </w:tc>
      </w:tr>
      <w:tr>
        <w:tc>
          <w:tcPr>
            <w:tcW w:type="dxa" w:w="29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Too many loopholes</w:t>
            </w:r>
          </w:p>
        </w:tc>
        <w:tc>
          <w:tcPr>
            <w:tcW w:type="dxa" w:w="64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Maker-checker approval on price changes, stock adjustments, receipts, count approvals, voids and refunds. No deletion anywhere — reversals only, fully traced</w:t>
            </w:r>
          </w:p>
        </w:tc>
      </w:tr>
      <w:tr>
        <w:tc>
          <w:tcPr>
            <w:tcW w:type="dxa" w:w="29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Cost per terminal</w:t>
            </w:r>
          </w:p>
        </w:tc>
        <w:tc>
          <w:tcPr>
            <w:tcW w:type="dxa" w:w="64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Pricing that does not penalise opening a branch or adding a till</w:t>
            </w:r>
          </w:p>
        </w:tc>
      </w:tr>
    </w:tbl>
    <w:p>
      <w:pPr>
        <w:pStyle w:val="Heading2"/>
        <w:spacing w:after="120" w:before="260"/>
      </w:pPr>
      <w:r>
        <w:rPr>
          <w:rFonts w:ascii="Calibri" w:cs="Calibri" w:eastAsia="Calibri" w:hAnsi="Calibri"/>
          <w:b/>
          <w:bCs/>
          <w:color w:val="2E5E8C"/>
          <w:sz w:val="24"/>
          <w:szCs w:val="24"/>
        </w:rPr>
        <w:t xml:space="preserve">4.1 Functional scope</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2300"/>
        <w:gridCol w:w="7060"/>
      </w:tblGrid>
      <w:tr>
        <w:trPr>
          <w:tblHeader/>
        </w:trPr>
        <w:tc>
          <w:tcPr>
            <w:tcW w:type="dxa" w:w="23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Module</w:t>
            </w:r>
          </w:p>
        </w:tc>
        <w:tc>
          <w:tcPr>
            <w:tcW w:type="dxa" w:w="70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Contents</w:t>
            </w:r>
          </w:p>
        </w:tc>
      </w:tr>
      <w:tr>
        <w:tc>
          <w:tcPr>
            <w:tcW w:type="dxa" w:w="23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1. Master data</w:t>
            </w:r>
          </w:p>
        </w:tc>
        <w:tc>
          <w:tcPr>
            <w:tcW w:type="dxa" w:w="70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Items with case-to-single pack hierarchy · multiple validated barcodes per item · categories · units of measure · suppliers · branches and storage locations · price lists by branch and currency</w:t>
            </w:r>
          </w:p>
        </w:tc>
      </w:tr>
      <w:tr>
        <w:tc>
          <w:tcPr>
            <w:tcW w:type="dxa" w:w="23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2. Procurement</w:t>
            </w:r>
          </w:p>
        </w:tc>
        <w:tc>
          <w:tcPr>
            <w:tcW w:type="dxa" w:w="70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Purchase requisition · purchase order with approval · goods received note with mandatory supplier and three-way match · purchase returns · supplier invoices and landed cost · time-limited drafts</w:t>
            </w:r>
          </w:p>
        </w:tc>
      </w:tr>
      <w:tr>
        <w:tc>
          <w:tcPr>
            <w:tcW w:type="dxa" w:w="23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3. Inventory</w:t>
            </w:r>
          </w:p>
        </w:tc>
        <w:tc>
          <w:tcPr>
            <w:tcW w:type="dxa" w:w="70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Append-only movement ledger · stock by branch and location · transfers with in-transit state and receipt confirmation · reason-coded adjustments under approval · full and cycle counts with enforced lifecycle · valuation · expiry and batch tracking · reorder points</w:t>
            </w:r>
          </w:p>
        </w:tc>
      </w:tr>
      <w:tr>
        <w:tc>
          <w:tcPr>
            <w:tcW w:type="dxa" w:w="23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4. Point of sale</w:t>
            </w:r>
          </w:p>
        </w:tc>
        <w:tc>
          <w:tcPr>
            <w:tcW w:type="dxa" w:w="70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Offline-capable selling · scanning and weighed goods · held and customer orders · multi-currency with split tender · refunds and credit notes · shift open, close and cash-up · fiscal receipting · guaranteed sync queue</w:t>
            </w:r>
          </w:p>
        </w:tc>
      </w:tr>
      <w:tr>
        <w:tc>
          <w:tcPr>
            <w:tcW w:type="dxa" w:w="23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5. Pricing</w:t>
            </w:r>
          </w:p>
        </w:tc>
        <w:tc>
          <w:tcPr>
            <w:tcW w:type="dxa" w:w="70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Price changes with approval and full history · discount plans · branch-level pricing</w:t>
            </w:r>
          </w:p>
        </w:tc>
      </w:tr>
      <w:tr>
        <w:tc>
          <w:tcPr>
            <w:tcW w:type="dxa" w:w="23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6. Customers</w:t>
            </w:r>
          </w:p>
        </w:tc>
        <w:tc>
          <w:tcPr>
            <w:tcW w:type="dxa" w:w="70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Customer base · debtor accounts and credit limits · credit settlements · loyalty</w:t>
            </w:r>
          </w:p>
        </w:tc>
      </w:tr>
      <w:tr>
        <w:tc>
          <w:tcPr>
            <w:tcW w:type="dxa" w:w="23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7. People</w:t>
            </w:r>
          </w:p>
        </w:tc>
        <w:tc>
          <w:tcPr>
            <w:tcW w:type="dxa" w:w="70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One person, one record · granular role permissions · clock in and out · timecards · commissions · access logs</w:t>
            </w:r>
          </w:p>
        </w:tc>
      </w:tr>
      <w:tr>
        <w:tc>
          <w:tcPr>
            <w:tcW w:type="dxa" w:w="23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8. Fiscal and tax</w:t>
            </w:r>
          </w:p>
        </w:tc>
        <w:tc>
          <w:tcPr>
            <w:tcW w:type="dxa" w:w="70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VAT configuration · ZIMRA FDMS interface · fiscal day open and close · sequential receipt numbering · QR code and signature per receipt</w:t>
            </w:r>
          </w:p>
        </w:tc>
      </w:tr>
      <w:tr>
        <w:tc>
          <w:tcPr>
            <w:tcW w:type="dxa" w:w="23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9. Audit and control</w:t>
            </w:r>
          </w:p>
        </w:tc>
        <w:tc>
          <w:tcPr>
            <w:tcW w:type="dxa" w:w="70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Exception queue · maker-checker approvals · complete audit trail recording who, what, before, after, when and where · suspicious activity reporting · backdating controls and alerts</w:t>
            </w:r>
          </w:p>
        </w:tc>
      </w:tr>
      <w:tr>
        <w:tc>
          <w:tcPr>
            <w:tcW w:type="dxa" w:w="23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10. Reporting</w:t>
            </w:r>
          </w:p>
        </w:tc>
        <w:tc>
          <w:tcPr>
            <w:tcW w:type="dxa" w:w="70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Group, branch and product dashboards · sales, margin, stock and cash reporting · branch comparison · mobile view for managers · accounting export</w:t>
            </w:r>
          </w:p>
        </w:tc>
      </w:tr>
    </w:tbl>
    <w:p>
      <w:pPr>
        <w:spacing w:after="60" w:line="276"/>
      </w:pPr>
      <w:r>
        <w:rPr>
          <w:rFonts w:ascii="Calibri" w:cs="Calibri" w:eastAsia="Calibri" w:hAnsi="Calibri"/>
          <w:b/>
          <w:bCs/>
          <w:color w:val="262626"/>
          <w:sz w:val="21"/>
          <w:szCs w:val="21"/>
        </w:rPr>
        <w:t xml:space="preserve">Module 9 is the area where the current platform is weakest and where the greatest operational benefit lies.</w:t>
      </w:r>
    </w:p>
    <w:p>
      <w:r>
        <w:br w:type="page"/>
      </w:r>
    </w:p>
    <w:p>
      <w:pPr>
        <w:pStyle w:val="Heading1"/>
        <w:spacing w:after="160" w:before="360"/>
      </w:pPr>
      <w:r>
        <w:rPr>
          <w:rFonts w:ascii="Calibri" w:cs="Calibri" w:eastAsia="Calibri" w:hAnsi="Calibri"/>
          <w:b/>
          <w:bCs/>
          <w:color w:val="1F3864"/>
          <w:sz w:val="30"/>
          <w:szCs w:val="30"/>
        </w:rPr>
        <w:t xml:space="preserve">5. Operating Constraints</w:t>
      </w:r>
    </w:p>
    <w:p>
      <w:pPr>
        <w:pStyle w:val="Heading2"/>
        <w:spacing w:after="120" w:before="260"/>
      </w:pPr>
      <w:r>
        <w:rPr>
          <w:rFonts w:ascii="Calibri" w:cs="Calibri" w:eastAsia="Calibri" w:hAnsi="Calibri"/>
          <w:b/>
          <w:bCs/>
          <w:color w:val="2E5E8C"/>
          <w:sz w:val="24"/>
          <w:szCs w:val="24"/>
        </w:rPr>
        <w:t xml:space="preserve">5.1 Offline operation is a requirement, not a feature</w:t>
      </w:r>
    </w:p>
    <w:p>
      <w:pPr>
        <w:spacing w:after="120" w:line="276"/>
      </w:pPr>
      <w:r>
        <w:rPr>
          <w:rFonts w:ascii="Calibri" w:cs="Calibri" w:eastAsia="Calibri" w:hAnsi="Calibri"/>
          <w:color w:val="262626"/>
          <w:sz w:val="21"/>
          <w:szCs w:val="21"/>
        </w:rPr>
        <w:t xml:space="preserve">Connectivity costs roughly USD 10 per site each month and is not consistently reliable. If a till cannot complete a sale when the connection drops, the shop stops trading. This is the single most important architectural decision and must be built in from the start.</w:t>
      </w:r>
    </w:p>
    <w:p>
      <w:pPr>
        <w:spacing w:after="120" w:line="276"/>
      </w:pPr>
      <w:r>
        <w:rPr>
          <w:rFonts w:ascii="Calibri" w:cs="Calibri" w:eastAsia="Calibri" w:hAnsi="Calibri"/>
          <w:color w:val="262626"/>
          <w:sz w:val="21"/>
          <w:szCs w:val="21"/>
        </w:rPr>
        <w:t xml:space="preserve">The design consequence is that stock is modelled as a sequence of events rather than as an editable quantity. A sale is an event, a receipt is an event, and stock on hand is their sum. Events from different tills can therefore be applied in any order without conflict. The same decision delivers offline synchronisation, the audit trail and backdating detection together, and keeps data traffic to a few megabytes per branch per day — which matters where bandwidth is expensive.</w:t>
      </w:r>
    </w:p>
    <w:p>
      <w:pPr>
        <w:pStyle w:val="Heading2"/>
        <w:spacing w:after="120" w:before="260"/>
      </w:pPr>
      <w:r>
        <w:rPr>
          <w:rFonts w:ascii="Calibri" w:cs="Calibri" w:eastAsia="Calibri" w:hAnsi="Calibri"/>
          <w:b/>
          <w:bCs/>
          <w:color w:val="2E5E8C"/>
          <w:sz w:val="24"/>
          <w:szCs w:val="24"/>
        </w:rPr>
        <w:t xml:space="preserve">5.2 Fiscalisation and ZIMRA</w:t>
      </w:r>
    </w:p>
    <w:p>
      <w:pPr>
        <w:spacing w:after="120" w:line="276"/>
      </w:pPr>
      <w:r>
        <w:rPr>
          <w:rFonts w:ascii="Calibri" w:cs="Calibri" w:eastAsia="Calibri" w:hAnsi="Calibri"/>
          <w:color w:val="262626"/>
          <w:sz w:val="21"/>
          <w:szCs w:val="21"/>
        </w:rPr>
        <w:t xml:space="preserve">Fiscalisation is currently switched off in the system. Under Zimbabwean requirements, VAT-registered operators must register and interface with the ZIMRA Fiscalisation Data Management System to record taxable sales, either by upgrading approved fiscal hardware or through a software-based virtual fiscal device using the FDMS API. FDMS compliance is also a condition for the issue of a tax clearance certificate, and input tax may only be claimed against fiscal invoices produced by a connected device.</w:t>
      </w:r>
    </w:p>
    <w:p>
      <w:pPr>
        <w:spacing w:after="120" w:line="276"/>
      </w:pPr>
      <w:r>
        <w:rPr>
          <w:rFonts w:ascii="Calibri" w:cs="Calibri" w:eastAsia="Calibri" w:hAnsi="Calibri"/>
          <w:color w:val="262626"/>
          <w:sz w:val="21"/>
          <w:szCs w:val="21"/>
        </w:rPr>
        <w:t xml:space="preserve">If the group is VAT-registered, this represents a live compliance exposure that needs to be addressed before anything else.</w:t>
      </w:r>
    </w:p>
    <w:p>
      <w:pPr>
        <w:pBdr>
          <w:top w:val="single" w:color="9C2B2B" w:sz="2"/>
          <w:left w:val="single" w:color="9C2B2B" w:sz="12"/>
          <w:bottom w:val="single" w:color="9C2B2B" w:sz="2"/>
          <w:right w:val="single" w:color="9C2B2B" w:sz="2"/>
        </w:pBdr>
        <w:shd w:fill="EDF1F6" w:val="clear"/>
        <w:spacing w:after="60" w:before="120" w:line="276"/>
        <w:ind w:left="170" w:right="170"/>
      </w:pPr>
      <w:r>
        <w:rPr>
          <w:rFonts w:ascii="Calibri" w:cs="Calibri" w:eastAsia="Calibri" w:hAnsi="Calibri"/>
          <w:b/>
          <w:bCs/>
          <w:color w:val="9C2B2B"/>
          <w:sz w:val="21"/>
          <w:szCs w:val="21"/>
        </w:rPr>
        <w:t xml:space="preserve">Programme risk</w:t>
      </w:r>
    </w:p>
    <w:p>
      <w:pPr>
        <w:pBdr>
          <w:top w:val="single" w:color="9C2B2B" w:sz="2"/>
          <w:left w:val="single" w:color="9C2B2B" w:sz="12"/>
          <w:bottom w:val="single" w:color="9C2B2B" w:sz="2"/>
          <w:right w:val="single" w:color="9C2B2B" w:sz="2"/>
        </w:pBdr>
        <w:shd w:fill="EDF1F6" w:val="clear"/>
        <w:spacing w:after="60" w:line="276"/>
        <w:ind w:left="170" w:right="170"/>
      </w:pPr>
      <w:r>
        <w:rPr>
          <w:rFonts w:ascii="Calibri" w:cs="Calibri" w:eastAsia="Calibri" w:hAnsi="Calibri"/>
          <w:sz w:val="21"/>
          <w:szCs w:val="21"/>
        </w:rPr>
        <w:t xml:space="preserve">ZIMRA onboarding, certificate issue and testing sit outside our control and depend on the business holding a current tax clearance.</w:t>
      </w:r>
    </w:p>
    <w:p>
      <w:pPr>
        <w:pBdr>
          <w:top w:val="single" w:color="9C2B2B" w:sz="2"/>
          <w:left w:val="single" w:color="9C2B2B" w:sz="12"/>
          <w:bottom w:val="single" w:color="9C2B2B" w:sz="2"/>
          <w:right w:val="single" w:color="9C2B2B" w:sz="2"/>
        </w:pBdr>
        <w:shd w:fill="EDF1F6" w:val="clear"/>
        <w:spacing w:after="160" w:line="276"/>
        <w:ind w:left="170" w:right="170"/>
      </w:pPr>
      <w:r>
        <w:rPr>
          <w:rFonts w:ascii="Calibri" w:cs="Calibri" w:eastAsia="Calibri" w:hAnsi="Calibri"/>
          <w:sz w:val="21"/>
          <w:szCs w:val="21"/>
        </w:rPr>
        <w:t xml:space="preserve">This must begin in the first week of the project and be tracked as a critical dependency. No go-live date should assume rapid turnaround.</w:t>
      </w:r>
    </w:p>
    <w:p>
      <w:pPr>
        <w:pStyle w:val="Heading2"/>
        <w:spacing w:after="120" w:before="260"/>
      </w:pPr>
      <w:r>
        <w:rPr>
          <w:rFonts w:ascii="Calibri" w:cs="Calibri" w:eastAsia="Calibri" w:hAnsi="Calibri"/>
          <w:b/>
          <w:bCs/>
          <w:color w:val="2E5E8C"/>
          <w:sz w:val="24"/>
          <w:szCs w:val="24"/>
        </w:rPr>
        <w:t xml:space="preserve">5.3 Currency, power and hardware</w:t>
      </w:r>
    </w:p>
    <w:p>
      <w:pPr>
        <w:pStyle w:val="ListParagraph"/>
        <w:numPr>
          <w:ilvl w:val="0"/>
          <w:numId w:val="2"/>
        </w:numPr>
        <w:spacing w:after="80" w:line="276"/>
      </w:pPr>
      <w:r>
        <w:rPr>
          <w:rFonts w:ascii="Calibri" w:cs="Calibri" w:eastAsia="Calibri" w:hAnsi="Calibri"/>
          <w:sz w:val="21"/>
          <w:szCs w:val="21"/>
        </w:rPr>
        <w:t xml:space="preserve">Dual currency. USD and ZWG in parallel: dual pricing, rate management with effective dates, tender and change in either currency, receipts showing both, and reporting in a single functional currency.</w:t>
      </w:r>
    </w:p>
    <w:p>
      <w:pPr>
        <w:pStyle w:val="ListParagraph"/>
        <w:numPr>
          <w:ilvl w:val="0"/>
          <w:numId w:val="2"/>
        </w:numPr>
        <w:spacing w:after="80" w:line="276"/>
      </w:pPr>
      <w:r>
        <w:rPr>
          <w:rFonts w:ascii="Calibri" w:cs="Calibri" w:eastAsia="Calibri" w:hAnsi="Calibri"/>
          <w:sz w:val="21"/>
          <w:szCs w:val="21"/>
        </w:rPr>
        <w:t xml:space="preserve">Power interruption. Load-shedding is routine. Tills require battery backup, and the software must survive sudden power loss without corrupting local data.</w:t>
      </w:r>
    </w:p>
    <w:p>
      <w:pPr>
        <w:pStyle w:val="ListParagraph"/>
        <w:numPr>
          <w:ilvl w:val="0"/>
          <w:numId w:val="2"/>
        </w:numPr>
        <w:spacing w:after="80" w:line="276"/>
      </w:pPr>
      <w:r>
        <w:rPr>
          <w:rFonts w:ascii="Calibri" w:cs="Calibri" w:eastAsia="Calibri" w:hAnsi="Calibri"/>
          <w:sz w:val="21"/>
          <w:szCs w:val="21"/>
        </w:rPr>
        <w:t xml:space="preserve">Existing hardware. Tills, scanners, printers and scales must be inventoried before any technology commitment is made.</w:t>
      </w:r>
    </w:p>
    <w:p>
      <w:pPr>
        <w:pStyle w:val="ListParagraph"/>
        <w:numPr>
          <w:ilvl w:val="0"/>
          <w:numId w:val="2"/>
        </w:numPr>
        <w:spacing w:after="80" w:line="276"/>
      </w:pPr>
      <w:r>
        <w:rPr>
          <w:rFonts w:ascii="Calibri" w:cs="Calibri" w:eastAsia="Calibri" w:hAnsi="Calibri"/>
          <w:sz w:val="21"/>
          <w:szCs w:val="21"/>
        </w:rPr>
        <w:t xml:space="preserve">Hosting location. Servers should sit in Johannesburg rather than Europe or North America, giving roughly 25–40 milliseconds of latency to Zimbabwe against 180 or more.</w:t>
      </w:r>
    </w:p>
    <w:p>
      <w:r>
        <w:br w:type="page"/>
      </w:r>
    </w:p>
    <w:p>
      <w:pPr>
        <w:pStyle w:val="Heading1"/>
        <w:spacing w:after="160" w:before="360"/>
      </w:pPr>
      <w:r>
        <w:rPr>
          <w:rFonts w:ascii="Calibri" w:cs="Calibri" w:eastAsia="Calibri" w:hAnsi="Calibri"/>
          <w:b/>
          <w:bCs/>
          <w:color w:val="1F3864"/>
          <w:sz w:val="30"/>
          <w:szCs w:val="30"/>
        </w:rPr>
        <w:t xml:space="preserve">6. Proposed Approach</w:t>
      </w:r>
    </w:p>
    <w:p>
      <w:pPr>
        <w:spacing w:after="120" w:line="276"/>
      </w:pPr>
      <w:r>
        <w:rPr>
          <w:rFonts w:ascii="Calibri" w:cs="Calibri" w:eastAsia="Calibri" w:hAnsi="Calibri"/>
          <w:color w:val="262626"/>
          <w:sz w:val="21"/>
          <w:szCs w:val="21"/>
        </w:rPr>
        <w:t xml:space="preserve">Delivery is phased so that value arrives early and each stage can be reviewed before the next begins.</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1900"/>
        <w:gridCol w:w="5760"/>
        <w:gridCol w:w="1700"/>
      </w:tblGrid>
      <w:tr>
        <w:trPr>
          <w:tblHeader/>
        </w:trPr>
        <w:tc>
          <w:tcPr>
            <w:tcW w:type="dxa" w:w="19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Phase</w:t>
            </w:r>
          </w:p>
        </w:tc>
        <w:tc>
          <w:tcPr>
            <w:tcW w:type="dxa" w:w="57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Scope</w:t>
            </w:r>
          </w:p>
        </w:tc>
        <w:tc>
          <w:tcPr>
            <w:tcW w:type="dxa" w:w="1700"/>
            <w:shd w:fill="1F3864" w:val="clear"/>
            <w:tcMar>
              <w:top w:type="dxa" w:w="70"/>
              <w:left w:type="dxa" w:w="110"/>
              <w:bottom w:type="dxa" w:w="70"/>
              <w:right w:type="dxa" w:w="110"/>
            </w:tcMar>
          </w:tcPr>
          <w:p>
            <w:pPr>
              <w:spacing w:after="0" w:line="264"/>
              <w:jc w:val="center"/>
            </w:pPr>
            <w:r>
              <w:rPr>
                <w:rFonts w:ascii="Calibri" w:cs="Calibri" w:eastAsia="Calibri" w:hAnsi="Calibri"/>
                <w:b/>
                <w:bCs/>
                <w:color w:val="FFFFFF"/>
                <w:sz w:val="20"/>
                <w:szCs w:val="20"/>
              </w:rPr>
              <w:t xml:space="preserve">Indicative</w:t>
            </w:r>
          </w:p>
        </w:tc>
      </w:tr>
      <w:tr>
        <w:tc>
          <w:tcPr>
            <w:tcW w:type="dxa" w:w="19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0 — Discovery</w:t>
            </w:r>
          </w:p>
        </w:tc>
        <w:tc>
          <w:tcPr>
            <w:tcW w:type="dxa" w:w="57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Process mapping, item master cleansing, hardware audit, ZIMRA onboarding started</w:t>
            </w:r>
          </w:p>
        </w:tc>
        <w:tc>
          <w:tcPr>
            <w:tcW w:type="dxa" w:w="1700"/>
            <w:tcMar>
              <w:top w:type="dxa" w:w="70"/>
              <w:left w:type="dxa" w:w="110"/>
              <w:bottom w:type="dxa" w:w="70"/>
              <w:right w:type="dxa" w:w="110"/>
            </w:tcMar>
          </w:tcPr>
          <w:p>
            <w:pPr>
              <w:spacing w:after="0" w:line="264"/>
              <w:jc w:val="center"/>
            </w:pPr>
            <w:r>
              <w:rPr>
                <w:rFonts w:ascii="Calibri" w:cs="Calibri" w:eastAsia="Calibri" w:hAnsi="Calibri"/>
                <w:b w:val="false"/>
                <w:bCs w:val="false"/>
                <w:color w:val="262626"/>
                <w:sz w:val="20"/>
                <w:szCs w:val="20"/>
              </w:rPr>
              <w:t xml:space="preserve">3–4 weeks</w:t>
            </w:r>
          </w:p>
        </w:tc>
      </w:tr>
      <w:tr>
        <w:tc>
          <w:tcPr>
            <w:tcW w:type="dxa" w:w="19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1 — Core</w:t>
            </w:r>
          </w:p>
        </w:tc>
        <w:tc>
          <w:tcPr>
            <w:tcW w:type="dxa" w:w="57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Master data, procurement, inventory, transfers, head-office web application</w:t>
            </w:r>
          </w:p>
        </w:tc>
        <w:tc>
          <w:tcPr>
            <w:tcW w:type="dxa" w:w="1700"/>
            <w:shd w:fill="F4F6FA" w:val="clear"/>
            <w:tcMar>
              <w:top w:type="dxa" w:w="70"/>
              <w:left w:type="dxa" w:w="110"/>
              <w:bottom w:type="dxa" w:w="70"/>
              <w:right w:type="dxa" w:w="110"/>
            </w:tcMar>
          </w:tcPr>
          <w:p>
            <w:pPr>
              <w:spacing w:after="0" w:line="264"/>
              <w:jc w:val="center"/>
            </w:pPr>
            <w:r>
              <w:rPr>
                <w:rFonts w:ascii="Calibri" w:cs="Calibri" w:eastAsia="Calibri" w:hAnsi="Calibri"/>
                <w:b w:val="false"/>
                <w:bCs w:val="false"/>
                <w:color w:val="262626"/>
                <w:sz w:val="20"/>
                <w:szCs w:val="20"/>
              </w:rPr>
              <w:t xml:space="preserve">8–10 weeks</w:t>
            </w:r>
          </w:p>
        </w:tc>
      </w:tr>
      <w:tr>
        <w:tc>
          <w:tcPr>
            <w:tcW w:type="dxa" w:w="19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2 — Point of sale</w:t>
            </w:r>
          </w:p>
        </w:tc>
        <w:tc>
          <w:tcPr>
            <w:tcW w:type="dxa" w:w="57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Offline-capable tills, shifts, cash-up, multi-currency, synchronisation</w:t>
            </w:r>
          </w:p>
        </w:tc>
        <w:tc>
          <w:tcPr>
            <w:tcW w:type="dxa" w:w="1700"/>
            <w:tcMar>
              <w:top w:type="dxa" w:w="70"/>
              <w:left w:type="dxa" w:w="110"/>
              <w:bottom w:type="dxa" w:w="70"/>
              <w:right w:type="dxa" w:w="110"/>
            </w:tcMar>
          </w:tcPr>
          <w:p>
            <w:pPr>
              <w:spacing w:after="0" w:line="264"/>
              <w:jc w:val="center"/>
            </w:pPr>
            <w:r>
              <w:rPr>
                <w:rFonts w:ascii="Calibri" w:cs="Calibri" w:eastAsia="Calibri" w:hAnsi="Calibri"/>
                <w:b w:val="false"/>
                <w:bCs w:val="false"/>
                <w:color w:val="262626"/>
                <w:sz w:val="20"/>
                <w:szCs w:val="20"/>
              </w:rPr>
              <w:t xml:space="preserve">8 weeks</w:t>
            </w:r>
          </w:p>
        </w:tc>
      </w:tr>
      <w:tr>
        <w:tc>
          <w:tcPr>
            <w:tcW w:type="dxa" w:w="19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3 — Compliance</w:t>
            </w:r>
          </w:p>
        </w:tc>
        <w:tc>
          <w:tcPr>
            <w:tcW w:type="dxa" w:w="57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Fiscalisation and FDMS, VAT, credit notes</w:t>
            </w:r>
          </w:p>
        </w:tc>
        <w:tc>
          <w:tcPr>
            <w:tcW w:type="dxa" w:w="1700"/>
            <w:shd w:fill="F4F6FA" w:val="clear"/>
            <w:tcMar>
              <w:top w:type="dxa" w:w="70"/>
              <w:left w:type="dxa" w:w="110"/>
              <w:bottom w:type="dxa" w:w="70"/>
              <w:right w:type="dxa" w:w="110"/>
            </w:tcMar>
          </w:tcPr>
          <w:p>
            <w:pPr>
              <w:spacing w:after="0" w:line="264"/>
              <w:jc w:val="center"/>
            </w:pPr>
            <w:r>
              <w:rPr>
                <w:rFonts w:ascii="Calibri" w:cs="Calibri" w:eastAsia="Calibri" w:hAnsi="Calibri"/>
                <w:b w:val="false"/>
                <w:bCs w:val="false"/>
                <w:color w:val="262626"/>
                <w:sz w:val="20"/>
                <w:szCs w:val="20"/>
              </w:rPr>
              <w:t xml:space="preserve">4–6 weeks*</w:t>
            </w:r>
          </w:p>
        </w:tc>
      </w:tr>
      <w:tr>
        <w:tc>
          <w:tcPr>
            <w:tcW w:type="dxa" w:w="19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4 — Commercial</w:t>
            </w:r>
          </w:p>
        </w:tc>
        <w:tc>
          <w:tcPr>
            <w:tcW w:type="dxa" w:w="57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Debtors, loyalty, promotions, commissions, time clock</w:t>
            </w:r>
          </w:p>
        </w:tc>
        <w:tc>
          <w:tcPr>
            <w:tcW w:type="dxa" w:w="1700"/>
            <w:tcMar>
              <w:top w:type="dxa" w:w="70"/>
              <w:left w:type="dxa" w:w="110"/>
              <w:bottom w:type="dxa" w:w="70"/>
              <w:right w:type="dxa" w:w="110"/>
            </w:tcMar>
          </w:tcPr>
          <w:p>
            <w:pPr>
              <w:spacing w:after="0" w:line="264"/>
              <w:jc w:val="center"/>
            </w:pPr>
            <w:r>
              <w:rPr>
                <w:rFonts w:ascii="Calibri" w:cs="Calibri" w:eastAsia="Calibri" w:hAnsi="Calibri"/>
                <w:b w:val="false"/>
                <w:bCs w:val="false"/>
                <w:color w:val="262626"/>
                <w:sz w:val="20"/>
                <w:szCs w:val="20"/>
              </w:rPr>
              <w:t xml:space="preserve">4 weeks</w:t>
            </w:r>
          </w:p>
        </w:tc>
      </w:tr>
      <w:tr>
        <w:tc>
          <w:tcPr>
            <w:tcW w:type="dxa" w:w="19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5 — Control</w:t>
            </w:r>
          </w:p>
        </w:tc>
        <w:tc>
          <w:tcPr>
            <w:tcW w:type="dxa" w:w="57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Audit and exception dashboards, analytics, mobile manager view</w:t>
            </w:r>
          </w:p>
        </w:tc>
        <w:tc>
          <w:tcPr>
            <w:tcW w:type="dxa" w:w="1700"/>
            <w:shd w:fill="F4F6FA" w:val="clear"/>
            <w:tcMar>
              <w:top w:type="dxa" w:w="70"/>
              <w:left w:type="dxa" w:w="110"/>
              <w:bottom w:type="dxa" w:w="70"/>
              <w:right w:type="dxa" w:w="110"/>
            </w:tcMar>
          </w:tcPr>
          <w:p>
            <w:pPr>
              <w:spacing w:after="0" w:line="264"/>
              <w:jc w:val="center"/>
            </w:pPr>
            <w:r>
              <w:rPr>
                <w:rFonts w:ascii="Calibri" w:cs="Calibri" w:eastAsia="Calibri" w:hAnsi="Calibri"/>
                <w:b w:val="false"/>
                <w:bCs w:val="false"/>
                <w:color w:val="262626"/>
                <w:sz w:val="20"/>
                <w:szCs w:val="20"/>
              </w:rPr>
              <w:t xml:space="preserve">4 weeks</w:t>
            </w:r>
          </w:p>
        </w:tc>
      </w:tr>
      <w:tr>
        <w:tc>
          <w:tcPr>
            <w:tcW w:type="dxa" w:w="19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Pilot</w:t>
            </w:r>
          </w:p>
        </w:tc>
        <w:tc>
          <w:tcPr>
            <w:tcW w:type="dxa" w:w="57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One branch running in parallel with the current system</w:t>
            </w:r>
          </w:p>
        </w:tc>
        <w:tc>
          <w:tcPr>
            <w:tcW w:type="dxa" w:w="1700"/>
            <w:tcMar>
              <w:top w:type="dxa" w:w="70"/>
              <w:left w:type="dxa" w:w="110"/>
              <w:bottom w:type="dxa" w:w="70"/>
              <w:right w:type="dxa" w:w="110"/>
            </w:tcMar>
          </w:tcPr>
          <w:p>
            <w:pPr>
              <w:spacing w:after="0" w:line="264"/>
              <w:jc w:val="center"/>
            </w:pPr>
            <w:r>
              <w:rPr>
                <w:rFonts w:ascii="Calibri" w:cs="Calibri" w:eastAsia="Calibri" w:hAnsi="Calibri"/>
                <w:b w:val="false"/>
                <w:bCs w:val="false"/>
                <w:color w:val="262626"/>
                <w:sz w:val="20"/>
                <w:szCs w:val="20"/>
              </w:rPr>
              <w:t xml:space="preserve">4 weeks</w:t>
            </w:r>
          </w:p>
        </w:tc>
      </w:tr>
      <w:tr>
        <w:tc>
          <w:tcPr>
            <w:tcW w:type="dxa" w:w="19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Rollout</w:t>
            </w:r>
          </w:p>
        </w:tc>
        <w:tc>
          <w:tcPr>
            <w:tcW w:type="dxa" w:w="57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Remaining branches in stages</w:t>
            </w:r>
          </w:p>
        </w:tc>
        <w:tc>
          <w:tcPr>
            <w:tcW w:type="dxa" w:w="1700"/>
            <w:shd w:fill="F4F6FA" w:val="clear"/>
            <w:tcMar>
              <w:top w:type="dxa" w:w="70"/>
              <w:left w:type="dxa" w:w="110"/>
              <w:bottom w:type="dxa" w:w="70"/>
              <w:right w:type="dxa" w:w="110"/>
            </w:tcMar>
          </w:tcPr>
          <w:p>
            <w:pPr>
              <w:spacing w:after="0" w:line="264"/>
              <w:jc w:val="center"/>
            </w:pPr>
            <w:r>
              <w:rPr>
                <w:rFonts w:ascii="Calibri" w:cs="Calibri" w:eastAsia="Calibri" w:hAnsi="Calibri"/>
                <w:b w:val="false"/>
                <w:bCs w:val="false"/>
                <w:color w:val="262626"/>
                <w:sz w:val="20"/>
                <w:szCs w:val="20"/>
              </w:rPr>
              <w:t xml:space="preserve">4–8 weeks</w:t>
            </w:r>
          </w:p>
        </w:tc>
      </w:tr>
    </w:tbl>
    <w:p>
      <w:pPr>
        <w:spacing w:after="200" w:line="276"/>
      </w:pPr>
      <w:r>
        <w:rPr>
          <w:rFonts w:ascii="Calibri" w:cs="Calibri" w:eastAsia="Calibri" w:hAnsi="Calibri"/>
          <w:i/>
          <w:iCs/>
          <w:color w:val="595959"/>
          <w:sz w:val="19"/>
          <w:szCs w:val="19"/>
        </w:rPr>
        <w:t xml:space="preserve">* Phase 3 depends on ZIMRA turnaround and cannot be guaranteed. Durations are planning estimates for discussion, not a quotation, and assume the information in Section 8 is provided.</w:t>
      </w:r>
    </w:p>
    <w:p>
      <w:pPr>
        <w:pStyle w:val="Heading2"/>
        <w:spacing w:after="120" w:before="260"/>
      </w:pPr>
      <w:r>
        <w:rPr>
          <w:rFonts w:ascii="Calibri" w:cs="Calibri" w:eastAsia="Calibri" w:hAnsi="Calibri"/>
          <w:b/>
          <w:bCs/>
          <w:color w:val="2E5E8C"/>
          <w:sz w:val="24"/>
          <w:szCs w:val="24"/>
        </w:rPr>
        <w:t xml:space="preserve">6.1 Phase 0 first</w:t>
      </w:r>
    </w:p>
    <w:p>
      <w:pPr>
        <w:spacing w:after="120" w:line="276"/>
      </w:pPr>
      <w:r>
        <w:rPr>
          <w:rFonts w:ascii="Calibri" w:cs="Calibri" w:eastAsia="Calibri" w:hAnsi="Calibri"/>
          <w:color w:val="262626"/>
          <w:sz w:val="21"/>
          <w:szCs w:val="21"/>
        </w:rPr>
        <w:t xml:space="preserve">We recommend beginning with Phase 0 as a discrete, separately agreed piece of work before any commitment to a full build.</w:t>
      </w:r>
    </w:p>
    <w:p>
      <w:pPr>
        <w:spacing w:after="120" w:line="276"/>
      </w:pPr>
      <w:r>
        <w:rPr>
          <w:rFonts w:ascii="Calibri" w:cs="Calibri" w:eastAsia="Calibri" w:hAnsi="Calibri"/>
          <w:color w:val="262626"/>
          <w:sz w:val="21"/>
          <w:szCs w:val="21"/>
        </w:rPr>
        <w:t xml:space="preserve">Phase 0 produces a cleansed item master with duplicates resolved, pack hierarchies defined and barcodes validated; a documented process map; a hardware inventory; and the ZIMRA onboarding already under way. Every one of those outputs has standing value to the business regardless of which platform is eventually chosen — and without them, no replacement system can produce reliable numbers on its first day.</w:t>
      </w:r>
    </w:p>
    <w:p>
      <w:pPr>
        <w:pBdr>
          <w:top w:val="single" w:color="2E5E8C" w:sz="2"/>
          <w:left w:val="single" w:color="2E5E8C" w:sz="12"/>
          <w:bottom w:val="single" w:color="2E5E8C" w:sz="2"/>
          <w:right w:val="single" w:color="2E5E8C" w:sz="2"/>
        </w:pBdr>
        <w:shd w:fill="EDF1F6" w:val="clear"/>
        <w:spacing w:after="60" w:before="120" w:line="276"/>
        <w:ind w:left="170" w:right="170"/>
      </w:pPr>
      <w:r>
        <w:rPr>
          <w:rFonts w:ascii="Calibri" w:cs="Calibri" w:eastAsia="Calibri" w:hAnsi="Calibri"/>
          <w:b/>
          <w:bCs/>
          <w:color w:val="2E5E8C"/>
          <w:sz w:val="21"/>
          <w:szCs w:val="21"/>
        </w:rPr>
        <w:t xml:space="preserve">A decision the business must own</w:t>
      </w:r>
    </w:p>
    <w:p>
      <w:pPr>
        <w:pBdr>
          <w:top w:val="single" w:color="2E5E8C" w:sz="2"/>
          <w:left w:val="single" w:color="2E5E8C" w:sz="12"/>
          <w:bottom w:val="single" w:color="2E5E8C" w:sz="2"/>
          <w:right w:val="single" w:color="2E5E8C" w:sz="2"/>
        </w:pBdr>
        <w:shd w:fill="EDF1F6" w:val="clear"/>
        <w:spacing w:after="60" w:line="276"/>
        <w:ind w:left="170" w:right="170"/>
      </w:pPr>
      <w:r>
        <w:rPr>
          <w:rFonts w:ascii="Calibri" w:cs="Calibri" w:eastAsia="Calibri" w:hAnsi="Calibri"/>
          <w:sz w:val="21"/>
          <w:szCs w:val="21"/>
        </w:rPr>
        <w:t xml:space="preserve">Resolving duplicate products is not a technical decision. Somebody inside the business must decide which record survives, what a case contains, and what the correct barcode is.</w:t>
      </w:r>
    </w:p>
    <w:p>
      <w:pPr>
        <w:pBdr>
          <w:top w:val="single" w:color="2E5E8C" w:sz="2"/>
          <w:left w:val="single" w:color="2E5E8C" w:sz="12"/>
          <w:bottom w:val="single" w:color="2E5E8C" w:sz="2"/>
          <w:right w:val="single" w:color="2E5E8C" w:sz="2"/>
        </w:pBdr>
        <w:shd w:fill="EDF1F6" w:val="clear"/>
        <w:spacing w:after="160" w:line="276"/>
        <w:ind w:left="170" w:right="170"/>
      </w:pPr>
      <w:r>
        <w:rPr>
          <w:rFonts w:ascii="Calibri" w:cs="Calibri" w:eastAsia="Calibri" w:hAnsi="Calibri"/>
          <w:sz w:val="21"/>
          <w:szCs w:val="21"/>
        </w:rPr>
        <w:t xml:space="preserve">This requires a named person with allocated time. It is the most common reason projects of this kind stall.</w:t>
      </w:r>
    </w:p>
    <w:p>
      <w:pPr>
        <w:pStyle w:val="Heading2"/>
        <w:spacing w:after="120" w:before="260"/>
      </w:pPr>
      <w:r>
        <w:rPr>
          <w:rFonts w:ascii="Calibri" w:cs="Calibri" w:eastAsia="Calibri" w:hAnsi="Calibri"/>
          <w:b/>
          <w:bCs/>
          <w:color w:val="2E5E8C"/>
          <w:sz w:val="24"/>
          <w:szCs w:val="24"/>
        </w:rPr>
        <w:t xml:space="preserve">6.2 Recommended pilot</w:t>
      </w:r>
    </w:p>
    <w:p>
      <w:pPr>
        <w:spacing w:after="120" w:line="276"/>
      </w:pPr>
      <w:r>
        <w:rPr>
          <w:rFonts w:ascii="Calibri" w:cs="Calibri" w:eastAsia="Calibri" w:hAnsi="Calibri"/>
          <w:color w:val="262626"/>
          <w:sz w:val="21"/>
          <w:szCs w:val="21"/>
        </w:rPr>
        <w:t xml:space="preserve">Kana Mission is a strong candidate for the pilot branch. A full stock count already exists for it, which gives a measurable baseline to test the new system against.</w:t>
      </w:r>
    </w:p>
    <w:p>
      <w:r>
        <w:br w:type="page"/>
      </w:r>
    </w:p>
    <w:p>
      <w:pPr>
        <w:pStyle w:val="Heading1"/>
        <w:spacing w:after="160" w:before="360"/>
      </w:pPr>
      <w:r>
        <w:rPr>
          <w:rFonts w:ascii="Calibri" w:cs="Calibri" w:eastAsia="Calibri" w:hAnsi="Calibri"/>
          <w:b/>
          <w:bCs/>
          <w:color w:val="1F3864"/>
          <w:sz w:val="30"/>
          <w:szCs w:val="30"/>
        </w:rPr>
        <w:t xml:space="preserve">7. The Investment Case</w:t>
      </w:r>
    </w:p>
    <w:p>
      <w:pPr>
        <w:pStyle w:val="Heading2"/>
        <w:spacing w:after="120" w:before="260"/>
      </w:pPr>
      <w:r>
        <w:rPr>
          <w:rFonts w:ascii="Calibri" w:cs="Calibri" w:eastAsia="Calibri" w:hAnsi="Calibri"/>
          <w:b/>
          <w:bCs/>
          <w:color w:val="2E5E8C"/>
          <w:sz w:val="24"/>
          <w:szCs w:val="24"/>
        </w:rPr>
        <w:t xml:space="preserve">7.1 Reframing the cost question</w:t>
      </w:r>
    </w:p>
    <w:p>
      <w:pPr>
        <w:spacing w:after="120" w:line="276"/>
      </w:pPr>
      <w:r>
        <w:rPr>
          <w:rFonts w:ascii="Calibri" w:cs="Calibri" w:eastAsia="Calibri" w:hAnsi="Calibri"/>
          <w:color w:val="262626"/>
          <w:sz w:val="21"/>
          <w:szCs w:val="21"/>
        </w:rPr>
        <w:t xml:space="preserve">The business has raised the cost of the current platform — approximately USD 12 per terminal each month plus around USD 10 per site for connectivity. That is a fair concern, but it should not be the basis for this decision, for three reasons.</w:t>
      </w:r>
    </w:p>
    <w:p>
      <w:pPr>
        <w:pStyle w:val="ListParagraph"/>
        <w:numPr>
          <w:ilvl w:val="0"/>
          <w:numId w:val="4"/>
        </w:numPr>
        <w:spacing w:after="90" w:line="276"/>
      </w:pPr>
      <w:r>
        <w:rPr>
          <w:rFonts w:ascii="Calibri" w:cs="Calibri" w:eastAsia="Calibri" w:hAnsi="Calibri"/>
          <w:sz w:val="21"/>
          <w:szCs w:val="21"/>
        </w:rPr>
        <w:t xml:space="preserve">Connectivity costs do not disappear. Internet is the cost of being connected, not a platform charge, and a replacement will need it just as much.</w:t>
      </w:r>
    </w:p>
    <w:p>
      <w:pPr>
        <w:pStyle w:val="ListParagraph"/>
        <w:numPr>
          <w:ilvl w:val="0"/>
          <w:numId w:val="4"/>
        </w:numPr>
        <w:spacing w:after="90" w:line="276"/>
      </w:pPr>
      <w:r>
        <w:rPr>
          <w:rFonts w:ascii="Calibri" w:cs="Calibri" w:eastAsia="Calibri" w:hAnsi="Calibri"/>
          <w:sz w:val="21"/>
          <w:szCs w:val="21"/>
        </w:rPr>
        <w:t xml:space="preserve">Any replacement carries its own running costs — hosting, backup, monitoring and support.</w:t>
      </w:r>
    </w:p>
    <w:p>
      <w:pPr>
        <w:pStyle w:val="ListParagraph"/>
        <w:numPr>
          <w:ilvl w:val="0"/>
          <w:numId w:val="4"/>
        </w:numPr>
        <w:spacing w:after="90" w:line="276"/>
      </w:pPr>
      <w:r>
        <w:rPr>
          <w:rFonts w:ascii="Calibri" w:cs="Calibri" w:eastAsia="Calibri" w:hAnsi="Calibri"/>
          <w:sz w:val="21"/>
          <w:szCs w:val="21"/>
        </w:rPr>
        <w:t xml:space="preserve">Measured against turnover, the current spend is small. The purchase ledger shows USD 1,149,555 of goods received. If that represents around eighteen months of trading, group purchases run near USD 64,000 monthly, implying roughly USD 75,000–80,000 in sales. Against that, the software cost is about a quarter of one percent of turnover.</w:t>
      </w:r>
    </w:p>
    <w:p>
      <w:pPr>
        <w:pBdr>
          <w:top w:val="single" w:color="9C2B2B" w:sz="2"/>
          <w:left w:val="single" w:color="9C2B2B" w:sz="12"/>
          <w:bottom w:val="single" w:color="9C2B2B" w:sz="2"/>
          <w:right w:val="single" w:color="9C2B2B" w:sz="2"/>
        </w:pBdr>
        <w:shd w:fill="EDF1F6" w:val="clear"/>
        <w:spacing w:after="60" w:before="120" w:line="276"/>
        <w:ind w:left="170" w:right="170"/>
      </w:pPr>
      <w:r>
        <w:rPr>
          <w:rFonts w:ascii="Calibri" w:cs="Calibri" w:eastAsia="Calibri" w:hAnsi="Calibri"/>
          <w:b/>
          <w:bCs/>
          <w:color w:val="9C2B2B"/>
          <w:sz w:val="21"/>
          <w:szCs w:val="21"/>
        </w:rPr>
        <w:t xml:space="preserve">The proportion worth focusing on</w:t>
      </w:r>
    </w:p>
    <w:p>
      <w:pPr>
        <w:pBdr>
          <w:top w:val="single" w:color="9C2B2B" w:sz="2"/>
          <w:left w:val="single" w:color="9C2B2B" w:sz="12"/>
          <w:bottom w:val="single" w:color="9C2B2B" w:sz="2"/>
          <w:right w:val="single" w:color="9C2B2B" w:sz="2"/>
        </w:pBdr>
        <w:shd w:fill="EDF1F6" w:val="clear"/>
        <w:spacing w:after="60" w:line="276"/>
        <w:ind w:left="170" w:right="170"/>
      </w:pPr>
      <w:r>
        <w:rPr>
          <w:rFonts w:ascii="Calibri" w:cs="Calibri" w:eastAsia="Calibri" w:hAnsi="Calibri"/>
          <w:sz w:val="21"/>
          <w:szCs w:val="21"/>
        </w:rPr>
        <w:t xml:space="preserve">Annual licensing is in the region of USD 2,300.</w:t>
      </w:r>
    </w:p>
    <w:p>
      <w:pPr>
        <w:pBdr>
          <w:top w:val="single" w:color="9C2B2B" w:sz="2"/>
          <w:left w:val="single" w:color="9C2B2B" w:sz="12"/>
          <w:bottom w:val="single" w:color="9C2B2B" w:sz="2"/>
          <w:right w:val="single" w:color="9C2B2B" w:sz="2"/>
        </w:pBdr>
        <w:shd w:fill="EDF1F6" w:val="clear"/>
        <w:spacing w:after="60" w:line="276"/>
        <w:ind w:left="170" w:right="170"/>
      </w:pPr>
      <w:r>
        <w:rPr>
          <w:rFonts w:ascii="Calibri" w:cs="Calibri" w:eastAsia="Calibri" w:hAnsi="Calibri"/>
          <w:sz w:val="21"/>
          <w:szCs w:val="21"/>
        </w:rPr>
        <w:t xml:space="preserve">A single stock count at a single branch showed USD 214,516 that could not be accounted for — roughly ninety times the annual software cost.</w:t>
      </w:r>
    </w:p>
    <w:p>
      <w:pPr>
        <w:pBdr>
          <w:top w:val="single" w:color="9C2B2B" w:sz="2"/>
          <w:left w:val="single" w:color="9C2B2B" w:sz="12"/>
          <w:bottom w:val="single" w:color="9C2B2B" w:sz="2"/>
          <w:right w:val="single" w:color="9C2B2B" w:sz="2"/>
        </w:pBdr>
        <w:shd w:fill="EDF1F6" w:val="clear"/>
        <w:spacing w:after="160" w:line="276"/>
        <w:ind w:left="170" w:right="170"/>
      </w:pPr>
      <w:r>
        <w:rPr>
          <w:rFonts w:ascii="Calibri" w:cs="Calibri" w:eastAsia="Calibri" w:hAnsi="Calibri"/>
          <w:sz w:val="21"/>
          <w:szCs w:val="21"/>
        </w:rPr>
        <w:t xml:space="preserve">The value of this project lies in the second number, not the first.</w:t>
      </w:r>
    </w:p>
    <w:p>
      <w:pPr>
        <w:pStyle w:val="Heading2"/>
        <w:spacing w:after="120" w:before="260"/>
      </w:pPr>
      <w:r>
        <w:rPr>
          <w:rFonts w:ascii="Calibri" w:cs="Calibri" w:eastAsia="Calibri" w:hAnsi="Calibri"/>
          <w:b/>
          <w:bCs/>
          <w:color w:val="2E5E8C"/>
          <w:sz w:val="24"/>
          <w:szCs w:val="24"/>
        </w:rPr>
        <w:t xml:space="preserve">7.2 Where the value comes from</w:t>
      </w:r>
    </w:p>
    <w:p>
      <w:pPr>
        <w:spacing w:after="120" w:line="276"/>
      </w:pPr>
      <w:r>
        <w:rPr>
          <w:rFonts w:ascii="Calibri" w:cs="Calibri" w:eastAsia="Calibri" w:hAnsi="Calibri"/>
          <w:color w:val="262626"/>
          <w:sz w:val="21"/>
          <w:szCs w:val="21"/>
        </w:rPr>
        <w:t xml:space="preserve">The figures below are illustrative and assume group turnover of USD 80,000 per month. They must be replaced with actual figures before any proposal is issued.</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2400"/>
        <w:gridCol w:w="4900"/>
        <w:gridCol w:w="2060"/>
      </w:tblGrid>
      <w:tr>
        <w:trPr>
          <w:tblHeader/>
        </w:trPr>
        <w:tc>
          <w:tcPr>
            <w:tcW w:type="dxa" w:w="24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Source of value</w:t>
            </w:r>
          </w:p>
        </w:tc>
        <w:tc>
          <w:tcPr>
            <w:tcW w:type="dxa" w:w="49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Basis</w:t>
            </w:r>
          </w:p>
        </w:tc>
        <w:tc>
          <w:tcPr>
            <w:tcW w:type="dxa" w:w="2060"/>
            <w:shd w:fill="1F3864" w:val="clear"/>
            <w:tcMar>
              <w:top w:type="dxa" w:w="70"/>
              <w:left w:type="dxa" w:w="110"/>
              <w:bottom w:type="dxa" w:w="70"/>
              <w:right w:type="dxa" w:w="110"/>
            </w:tcMar>
          </w:tcPr>
          <w:p>
            <w:pPr>
              <w:spacing w:after="0" w:line="264"/>
              <w:jc w:val="right"/>
            </w:pPr>
            <w:r>
              <w:rPr>
                <w:rFonts w:ascii="Calibri" w:cs="Calibri" w:eastAsia="Calibri" w:hAnsi="Calibri"/>
                <w:b/>
                <w:bCs/>
                <w:color w:val="FFFFFF"/>
                <w:sz w:val="20"/>
                <w:szCs w:val="20"/>
              </w:rPr>
              <w:t xml:space="preserve">Annual (illustrative)</w:t>
            </w:r>
          </w:p>
        </w:tc>
      </w:tr>
      <w:tr>
        <w:tc>
          <w:tcPr>
            <w:tcW w:type="dxa" w:w="2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Reduced stock loss</w:t>
            </w:r>
          </w:p>
        </w:tc>
        <w:tc>
          <w:tcPr>
            <w:tcW w:type="dxa" w:w="49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Recovering 2 percentage points of shrinkage. Well-controlled grocery runs at 1–1.5%; the evidence suggests this group is materially above that.</w:t>
            </w:r>
          </w:p>
        </w:tc>
        <w:tc>
          <w:tcPr>
            <w:tcW w:type="dxa" w:w="2060"/>
            <w:tcMar>
              <w:top w:type="dxa" w:w="70"/>
              <w:left w:type="dxa" w:w="110"/>
              <w:bottom w:type="dxa" w:w="70"/>
              <w:right w:type="dxa" w:w="110"/>
            </w:tcMar>
          </w:tcPr>
          <w:p>
            <w:pPr>
              <w:spacing w:after="0" w:line="264"/>
              <w:jc w:val="right"/>
            </w:pPr>
            <w:r>
              <w:rPr>
                <w:rFonts w:ascii="Calibri" w:cs="Calibri" w:eastAsia="Calibri" w:hAnsi="Calibri"/>
                <w:b w:val="false"/>
                <w:bCs w:val="false"/>
                <w:color w:val="262626"/>
                <w:sz w:val="20"/>
                <w:szCs w:val="20"/>
              </w:rPr>
              <w:t xml:space="preserve">USD 19,200</w:t>
            </w:r>
          </w:p>
        </w:tc>
      </w:tr>
      <w:tr>
        <w:tc>
          <w:tcPr>
            <w:tcW w:type="dxa" w:w="24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Margin recovery</w:t>
            </w:r>
          </w:p>
        </w:tc>
        <w:tc>
          <w:tcPr>
            <w:tcW w:type="dxa" w:w="49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Correct cost capture making loss-making and mispriced lines visible — 1 percentage point.</w:t>
            </w:r>
          </w:p>
        </w:tc>
        <w:tc>
          <w:tcPr>
            <w:tcW w:type="dxa" w:w="2060"/>
            <w:shd w:fill="F4F6FA" w:val="clear"/>
            <w:tcMar>
              <w:top w:type="dxa" w:w="70"/>
              <w:left w:type="dxa" w:w="110"/>
              <w:bottom w:type="dxa" w:w="70"/>
              <w:right w:type="dxa" w:w="110"/>
            </w:tcMar>
          </w:tcPr>
          <w:p>
            <w:pPr>
              <w:spacing w:after="0" w:line="264"/>
              <w:jc w:val="right"/>
            </w:pPr>
            <w:r>
              <w:rPr>
                <w:rFonts w:ascii="Calibri" w:cs="Calibri" w:eastAsia="Calibri" w:hAnsi="Calibri"/>
                <w:b w:val="false"/>
                <w:bCs w:val="false"/>
                <w:color w:val="262626"/>
                <w:sz w:val="20"/>
                <w:szCs w:val="20"/>
              </w:rPr>
              <w:t xml:space="preserve">USD 9,600</w:t>
            </w:r>
          </w:p>
        </w:tc>
      </w:tr>
      <w:tr>
        <w:tc>
          <w:tcPr>
            <w:tcW w:type="dxa" w:w="2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Fewer stockouts</w:t>
            </w:r>
          </w:p>
        </w:tc>
        <w:tc>
          <w:tcPr>
            <w:tcW w:type="dxa" w:w="49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Reliable stock figures enabling proper reordering. 70% of items are currently never counted.</w:t>
            </w:r>
          </w:p>
        </w:tc>
        <w:tc>
          <w:tcPr>
            <w:tcW w:type="dxa" w:w="2060"/>
            <w:tcMar>
              <w:top w:type="dxa" w:w="70"/>
              <w:left w:type="dxa" w:w="110"/>
              <w:bottom w:type="dxa" w:w="70"/>
              <w:right w:type="dxa" w:w="110"/>
            </w:tcMar>
          </w:tcPr>
          <w:p>
            <w:pPr>
              <w:spacing w:after="0" w:line="264"/>
              <w:jc w:val="right"/>
            </w:pPr>
            <w:r>
              <w:rPr>
                <w:rFonts w:ascii="Calibri" w:cs="Calibri" w:eastAsia="Calibri" w:hAnsi="Calibri"/>
                <w:b w:val="false"/>
                <w:bCs w:val="false"/>
                <w:color w:val="262626"/>
                <w:sz w:val="20"/>
                <w:szCs w:val="20"/>
              </w:rPr>
              <w:t xml:space="preserve">USD 9,600</w:t>
            </w:r>
          </w:p>
        </w:tc>
      </w:tr>
      <w:tr>
        <w:tc>
          <w:tcPr>
            <w:tcW w:type="dxa" w:w="24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Counting effort</w:t>
            </w:r>
          </w:p>
        </w:tc>
        <w:tc>
          <w:tcPr>
            <w:tcW w:type="dxa" w:w="49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Scanner-based cycle counting replacing paper counts across 814 items and twelve branches.</w:t>
            </w:r>
          </w:p>
        </w:tc>
        <w:tc>
          <w:tcPr>
            <w:tcW w:type="dxa" w:w="2060"/>
            <w:shd w:fill="F4F6FA" w:val="clear"/>
            <w:tcMar>
              <w:top w:type="dxa" w:w="70"/>
              <w:left w:type="dxa" w:w="110"/>
              <w:bottom w:type="dxa" w:w="70"/>
              <w:right w:type="dxa" w:w="110"/>
            </w:tcMar>
          </w:tcPr>
          <w:p>
            <w:pPr>
              <w:spacing w:after="0" w:line="264"/>
              <w:jc w:val="right"/>
            </w:pPr>
            <w:r>
              <w:rPr>
                <w:rFonts w:ascii="Calibri" w:cs="Calibri" w:eastAsia="Calibri" w:hAnsi="Calibri"/>
                <w:b w:val="false"/>
                <w:bCs w:val="false"/>
                <w:color w:val="262626"/>
                <w:sz w:val="20"/>
                <w:szCs w:val="20"/>
              </w:rPr>
              <w:t xml:space="preserve">USD 3,000</w:t>
            </w:r>
          </w:p>
        </w:tc>
      </w:tr>
      <w:tr>
        <w:tc>
          <w:tcPr>
            <w:tcW w:type="dxa" w:w="2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Licence saving</w:t>
            </w:r>
          </w:p>
        </w:tc>
        <w:tc>
          <w:tcPr>
            <w:tcW w:type="dxa" w:w="49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The portion of current cost that is genuinely addressable.</w:t>
            </w:r>
          </w:p>
        </w:tc>
        <w:tc>
          <w:tcPr>
            <w:tcW w:type="dxa" w:w="2060"/>
            <w:tcMar>
              <w:top w:type="dxa" w:w="70"/>
              <w:left w:type="dxa" w:w="110"/>
              <w:bottom w:type="dxa" w:w="70"/>
              <w:right w:type="dxa" w:w="110"/>
            </w:tcMar>
          </w:tcPr>
          <w:p>
            <w:pPr>
              <w:spacing w:after="0" w:line="264"/>
              <w:jc w:val="right"/>
            </w:pPr>
            <w:r>
              <w:rPr>
                <w:rFonts w:ascii="Calibri" w:cs="Calibri" w:eastAsia="Calibri" w:hAnsi="Calibri"/>
                <w:b w:val="false"/>
                <w:bCs w:val="false"/>
                <w:color w:val="262626"/>
                <w:sz w:val="20"/>
                <w:szCs w:val="20"/>
              </w:rPr>
              <w:t xml:space="preserve">USD 2,300</w:t>
            </w:r>
          </w:p>
        </w:tc>
      </w:tr>
      <w:tr>
        <w:tc>
          <w:tcPr>
            <w:tcW w:type="dxa" w:w="2400"/>
            <w:shd w:fill="DCE4EF" w:val="clear"/>
            <w:tcMar>
              <w:top w:type="dxa" w:w="70"/>
              <w:left w:type="dxa" w:w="110"/>
              <w:bottom w:type="dxa" w:w="70"/>
              <w:right w:type="dxa" w:w="110"/>
            </w:tcMar>
          </w:tcPr>
          <w:p>
            <w:pPr>
              <w:spacing w:after="0" w:line="264"/>
            </w:pPr>
            <w:r>
              <w:rPr>
                <w:rFonts w:ascii="Calibri" w:cs="Calibri" w:eastAsia="Calibri" w:hAnsi="Calibri"/>
                <w:b/>
                <w:bCs/>
                <w:color w:val="262626"/>
                <w:sz w:val="20"/>
                <w:szCs w:val="20"/>
              </w:rPr>
              <w:t xml:space="preserve">Total</w:t>
            </w:r>
          </w:p>
        </w:tc>
        <w:tc>
          <w:tcPr>
            <w:tcW w:type="dxa" w:w="4900"/>
            <w:shd w:fill="DCE4EF" w:val="clear"/>
            <w:tcMar>
              <w:top w:type="dxa" w:w="70"/>
              <w:left w:type="dxa" w:w="110"/>
              <w:bottom w:type="dxa" w:w="70"/>
              <w:right w:type="dxa" w:w="110"/>
            </w:tcMar>
          </w:tcPr>
          <w:p>
            <w:pPr>
              <w:spacing w:after="0" w:line="264"/>
            </w:pPr>
            <w:r>
              <w:rPr>
                <w:rFonts w:ascii="Calibri" w:cs="Calibri" w:eastAsia="Calibri" w:hAnsi="Calibri"/>
                <w:b/>
                <w:bCs/>
                <w:color w:val="262626"/>
                <w:sz w:val="20"/>
                <w:szCs w:val="20"/>
              </w:rPr>
              <w:t xml:space="preserve"/>
            </w:r>
          </w:p>
        </w:tc>
        <w:tc>
          <w:tcPr>
            <w:tcW w:type="dxa" w:w="2060"/>
            <w:shd w:fill="DCE4EF" w:val="clear"/>
            <w:tcMar>
              <w:top w:type="dxa" w:w="70"/>
              <w:left w:type="dxa" w:w="110"/>
              <w:bottom w:type="dxa" w:w="70"/>
              <w:right w:type="dxa" w:w="110"/>
            </w:tcMar>
          </w:tcPr>
          <w:p>
            <w:pPr>
              <w:spacing w:after="0" w:line="264"/>
              <w:jc w:val="right"/>
            </w:pPr>
            <w:r>
              <w:rPr>
                <w:rFonts w:ascii="Calibri" w:cs="Calibri" w:eastAsia="Calibri" w:hAnsi="Calibri"/>
                <w:b/>
                <w:bCs/>
                <w:color w:val="262626"/>
                <w:sz w:val="20"/>
                <w:szCs w:val="20"/>
              </w:rPr>
              <w:t xml:space="preserve">USD 43,700</w:t>
            </w:r>
          </w:p>
        </w:tc>
      </w:tr>
      <w:tr>
        <w:tc>
          <w:tcPr>
            <w:tcW w:type="dxa" w:w="2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Compliance exposure removed</w:t>
            </w:r>
          </w:p>
        </w:tc>
        <w:tc>
          <w:tcPr>
            <w:tcW w:type="dxa" w:w="49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Not quantified. Loss of tax clearance is a trading risk rather than a cost line.</w:t>
            </w:r>
          </w:p>
        </w:tc>
        <w:tc>
          <w:tcPr>
            <w:tcW w:type="dxa" w:w="2060"/>
            <w:tcMar>
              <w:top w:type="dxa" w:w="70"/>
              <w:left w:type="dxa" w:w="110"/>
              <w:bottom w:type="dxa" w:w="70"/>
              <w:right w:type="dxa" w:w="110"/>
            </w:tcMar>
          </w:tcPr>
          <w:p>
            <w:pPr>
              <w:spacing w:after="0" w:line="264"/>
              <w:jc w:val="right"/>
            </w:pPr>
            <w:r>
              <w:rPr>
                <w:rFonts w:ascii="Calibri" w:cs="Calibri" w:eastAsia="Calibri" w:hAnsi="Calibri"/>
                <w:b w:val="false"/>
                <w:bCs w:val="false"/>
                <w:color w:val="262626"/>
                <w:sz w:val="20"/>
                <w:szCs w:val="20"/>
              </w:rPr>
              <w:t xml:space="preserve">—</w:t>
            </w:r>
          </w:p>
        </w:tc>
      </w:tr>
    </w:tbl>
    <w:p>
      <w:pPr>
        <w:spacing w:after="140"/>
      </w:pPr>
    </w:p>
    <w:p>
      <w:pPr>
        <w:spacing w:after="120" w:line="276"/>
      </w:pPr>
      <w:r>
        <w:rPr>
          <w:rFonts w:ascii="Calibri" w:cs="Calibri" w:eastAsia="Calibri" w:hAnsi="Calibri"/>
          <w:color w:val="262626"/>
          <w:sz w:val="21"/>
          <w:szCs w:val="21"/>
        </w:rPr>
        <w:t xml:space="preserve">On these assumptions the licence saving — the original reason for considering a change — represents around five percent of the total value available.</w:t>
      </w:r>
    </w:p>
    <w:p>
      <w:pPr>
        <w:pStyle w:val="Heading2"/>
        <w:spacing w:after="120" w:before="260"/>
      </w:pPr>
      <w:r>
        <w:rPr>
          <w:rFonts w:ascii="Calibri" w:cs="Calibri" w:eastAsia="Calibri" w:hAnsi="Calibri"/>
          <w:b/>
          <w:bCs/>
          <w:color w:val="2E5E8C"/>
          <w:sz w:val="24"/>
          <w:szCs w:val="24"/>
        </w:rPr>
        <w:t xml:space="preserve">7.3 A test worth applying honestly</w:t>
      </w:r>
    </w:p>
    <w:p>
      <w:pPr>
        <w:pBdr>
          <w:top w:val="single" w:color="2E5E8C" w:sz="2"/>
          <w:left w:val="single" w:color="2E5E8C" w:sz="12"/>
          <w:bottom w:val="single" w:color="2E5E8C" w:sz="2"/>
          <w:right w:val="single" w:color="2E5E8C" w:sz="2"/>
        </w:pBdr>
        <w:shd w:fill="EDF1F6" w:val="clear"/>
        <w:spacing w:after="60" w:before="120" w:line="276"/>
        <w:ind w:left="170" w:right="170"/>
      </w:pPr>
      <w:r>
        <w:rPr>
          <w:rFonts w:ascii="Calibri" w:cs="Calibri" w:eastAsia="Calibri" w:hAnsi="Calibri"/>
          <w:b/>
          <w:bCs/>
          <w:color w:val="2E5E8C"/>
          <w:sz w:val="21"/>
          <w:szCs w:val="21"/>
        </w:rPr>
        <w:t xml:space="preserve">If turnover is below roughly USD 30,000 per month</w:t>
      </w:r>
    </w:p>
    <w:p>
      <w:pPr>
        <w:pBdr>
          <w:top w:val="single" w:color="2E5E8C" w:sz="2"/>
          <w:left w:val="single" w:color="2E5E8C" w:sz="12"/>
          <w:bottom w:val="single" w:color="2E5E8C" w:sz="2"/>
          <w:right w:val="single" w:color="2E5E8C" w:sz="2"/>
        </w:pBdr>
        <w:shd w:fill="EDF1F6" w:val="clear"/>
        <w:spacing w:after="60" w:line="276"/>
        <w:ind w:left="170" w:right="170"/>
      </w:pPr>
      <w:r>
        <w:rPr>
          <w:rFonts w:ascii="Calibri" w:cs="Calibri" w:eastAsia="Calibri" w:hAnsi="Calibri"/>
          <w:sz w:val="21"/>
          <w:szCs w:val="21"/>
        </w:rPr>
        <w:t xml:space="preserve">A purpose-built system is unlikely to be justifiable at any fair price. At that scale the recoverable value falls to around USD 7,000 a year.</w:t>
      </w:r>
    </w:p>
    <w:p>
      <w:pPr>
        <w:pBdr>
          <w:top w:val="single" w:color="2E5E8C" w:sz="2"/>
          <w:left w:val="single" w:color="2E5E8C" w:sz="12"/>
          <w:bottom w:val="single" w:color="2E5E8C" w:sz="2"/>
          <w:right w:val="single" w:color="2E5E8C" w:sz="2"/>
        </w:pBdr>
        <w:shd w:fill="EDF1F6" w:val="clear"/>
        <w:spacing w:after="60" w:line="276"/>
        <w:ind w:left="170" w:right="170"/>
      </w:pPr>
      <w:r>
        <w:rPr>
          <w:rFonts w:ascii="Calibri" w:cs="Calibri" w:eastAsia="Calibri" w:hAnsi="Calibri"/>
          <w:sz w:val="21"/>
          <w:szCs w:val="21"/>
        </w:rPr>
        <w:t xml:space="preserve">The better course would be to retain the current platform and fix the underlying issues: cleanse the item master, enforce count completion, block negative-stock overrides, and require a supplier on every goods receipt. That recovers most of the value at a fraction of the cost.</w:t>
      </w:r>
    </w:p>
    <w:p>
      <w:pPr>
        <w:pBdr>
          <w:top w:val="single" w:color="2E5E8C" w:sz="2"/>
          <w:left w:val="single" w:color="2E5E8C" w:sz="12"/>
          <w:bottom w:val="single" w:color="2E5E8C" w:sz="2"/>
          <w:right w:val="single" w:color="2E5E8C" w:sz="2"/>
        </w:pBdr>
        <w:shd w:fill="EDF1F6" w:val="clear"/>
        <w:spacing w:after="160" w:line="276"/>
        <w:ind w:left="170" w:right="170"/>
      </w:pPr>
      <w:r>
        <w:rPr>
          <w:rFonts w:ascii="Calibri" w:cs="Calibri" w:eastAsia="Calibri" w:hAnsi="Calibri"/>
          <w:sz w:val="21"/>
          <w:szCs w:val="21"/>
        </w:rPr>
        <w:t xml:space="preserve">We would rather give that advice than build something the business cannot justify. This is why the turnover figure in Section 8 is the first question we need answered.</w:t>
      </w:r>
    </w:p>
    <w:p>
      <w:r>
        <w:br w:type="page"/>
      </w:r>
    </w:p>
    <w:p>
      <w:pPr>
        <w:pStyle w:val="Heading1"/>
        <w:spacing w:after="160" w:before="360"/>
      </w:pPr>
      <w:r>
        <w:rPr>
          <w:rFonts w:ascii="Calibri" w:cs="Calibri" w:eastAsia="Calibri" w:hAnsi="Calibri"/>
          <w:b/>
          <w:bCs/>
          <w:color w:val="1F3864"/>
          <w:sz w:val="30"/>
          <w:szCs w:val="30"/>
        </w:rPr>
        <w:t xml:space="preserve">8. Information Required</w:t>
      </w:r>
    </w:p>
    <w:p>
      <w:pPr>
        <w:spacing w:after="120" w:line="276"/>
      </w:pPr>
      <w:r>
        <w:rPr>
          <w:rFonts w:ascii="Calibri" w:cs="Calibri" w:eastAsia="Calibri" w:hAnsi="Calibri"/>
          <w:color w:val="262626"/>
          <w:sz w:val="21"/>
          <w:szCs w:val="21"/>
        </w:rPr>
        <w:t xml:space="preserve">A costed proposal cannot be issued until the following are answered. The first three sections are blocking; the remainder shape scope and timing.</w:t>
      </w:r>
    </w:p>
    <w:p>
      <w:pPr>
        <w:pStyle w:val="Heading2"/>
        <w:spacing w:after="120" w:before="260"/>
      </w:pPr>
      <w:r>
        <w:rPr>
          <w:rFonts w:ascii="Calibri" w:cs="Calibri" w:eastAsia="Calibri" w:hAnsi="Calibri"/>
          <w:b/>
          <w:bCs/>
          <w:color w:val="2E5E8C"/>
          <w:sz w:val="24"/>
          <w:szCs w:val="24"/>
        </w:rPr>
        <w:t xml:space="preserve">A. Commercial — required</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700"/>
        <w:gridCol w:w="8660"/>
      </w:tblGrid>
      <w:tr>
        <w:trPr>
          <w:tblHeader/>
        </w:trPr>
        <w:tc>
          <w:tcPr>
            <w:tcW w:type="dxa" w:w="7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t>
            </w:r>
          </w:p>
        </w:tc>
        <w:tc>
          <w:tcPr>
            <w:tcW w:type="dxa" w:w="86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Question</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A1</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Total group turnover per month, and by branch.</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A2</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What gross margin the business believes it makes, against what it should make.</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A3</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Total current monthly spend on the existing platform, including licences, terminals, add-ons and support. A copy of an invoice would settle this.</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A4</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Any remaining contract term or notice period with the current vendor.</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A5</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The budget range set aside for this project.</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A6</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Who holds approval authority, and whether they have been briefed.</w:t>
            </w:r>
          </w:p>
        </w:tc>
      </w:tr>
    </w:tbl>
    <w:p>
      <w:pPr>
        <w:pStyle w:val="Heading2"/>
        <w:spacing w:after="120" w:before="260"/>
      </w:pPr>
      <w:r>
        <w:rPr>
          <w:rFonts w:ascii="Calibri" w:cs="Calibri" w:eastAsia="Calibri" w:hAnsi="Calibri"/>
          <w:b/>
          <w:bCs/>
          <w:color w:val="2E5E8C"/>
          <w:sz w:val="24"/>
          <w:szCs w:val="24"/>
        </w:rPr>
        <w:t xml:space="preserve">B. Tax and compliance — required</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700"/>
        <w:gridCol w:w="8660"/>
      </w:tblGrid>
      <w:tr>
        <w:trPr>
          <w:tblHeader/>
        </w:trPr>
        <w:tc>
          <w:tcPr>
            <w:tcW w:type="dxa" w:w="7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t>
            </w:r>
          </w:p>
        </w:tc>
        <w:tc>
          <w:tcPr>
            <w:tcW w:type="dxa" w:w="86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Question</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B1</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Is the business VAT-registered, and under one entity or several?</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B2</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Is it currently fiscalised with ZIMRA, and by hardware device or software interface?</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B3</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If hardware, which makes and models, and how many?</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B4</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Is the tax clearance certificate current? ZIMRA will not progress onboarding otherwise.</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B5</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Who advises on tax, and may we speak with them?</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B6</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Are all branches under one TIN, or registered separately?</w:t>
            </w:r>
          </w:p>
        </w:tc>
      </w:tr>
    </w:tbl>
    <w:p>
      <w:pPr>
        <w:pStyle w:val="Heading2"/>
        <w:spacing w:after="120" w:before="260"/>
      </w:pPr>
      <w:r>
        <w:rPr>
          <w:rFonts w:ascii="Calibri" w:cs="Calibri" w:eastAsia="Calibri" w:hAnsi="Calibri"/>
          <w:b/>
          <w:bCs/>
          <w:color w:val="2E5E8C"/>
          <w:sz w:val="24"/>
          <w:szCs w:val="24"/>
        </w:rPr>
        <w:t xml:space="preserve">C. Scale — required</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700"/>
        <w:gridCol w:w="8660"/>
      </w:tblGrid>
      <w:tr>
        <w:trPr>
          <w:tblHeader/>
        </w:trPr>
        <w:tc>
          <w:tcPr>
            <w:tcW w:type="dxa" w:w="7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t>
            </w:r>
          </w:p>
        </w:tc>
        <w:tc>
          <w:tcPr>
            <w:tcW w:type="dxa" w:w="86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Question</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C1</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The exact number of branches. We identified twelve; please confirm whether that is complete.</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C2</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Number of tills at each branch.</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C3</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Does the warehouse buy centrally and distribute, do branches buy directly, or both?</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C4</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Any branch openings or closures planned in the next twenty-four months.</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C5</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Total number of products group-wide, and whether every branch carries the same range.</w:t>
            </w:r>
          </w:p>
        </w:tc>
      </w:tr>
    </w:tbl>
    <w:p>
      <w:pPr>
        <w:pStyle w:val="Heading2"/>
        <w:spacing w:after="120" w:before="260"/>
      </w:pPr>
      <w:r>
        <w:rPr>
          <w:rFonts w:ascii="Calibri" w:cs="Calibri" w:eastAsia="Calibri" w:hAnsi="Calibri"/>
          <w:b/>
          <w:bCs/>
          <w:color w:val="2E5E8C"/>
          <w:sz w:val="24"/>
          <w:szCs w:val="24"/>
        </w:rPr>
        <w:t xml:space="preserve">D. Inventory and controls</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700"/>
        <w:gridCol w:w="8660"/>
      </w:tblGrid>
      <w:tr>
        <w:trPr>
          <w:tblHeader/>
        </w:trPr>
        <w:tc>
          <w:tcPr>
            <w:tcW w:type="dxa" w:w="7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t>
            </w:r>
          </w:p>
        </w:tc>
        <w:tc>
          <w:tcPr>
            <w:tcW w:type="dxa" w:w="86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Question</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D1</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What explanation was given at the time for the variance on count IC-10027?</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D2</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Is it normal for a count to cover only part of the range, and what happens to counts left unfinished?</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D3</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Who approves a write-off when a variance is found, and above what value does it escalate?</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D4</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When counting a case-packed product, do staff record cases or individual units? This is central to explaining the variance.</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D5</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How often should each branch count, and should this be a full count or rolling?</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D6</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Does the same person receive, sell and count the stock?</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D7</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Should a cashier ever be able to sell an item showing zero stock? If so, who reviews those overrides?</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D8</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How is stock received without a supplier recorded, as on GRN-10699?</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D9</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Who may backdate a receipt, and should it be permitted at all?</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D10</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Are the existing suspicious-activity reports read, by whom, and what happens next?</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D11</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Which reports are genuinely relied upon each week?</w:t>
            </w:r>
          </w:p>
        </w:tc>
      </w:tr>
    </w:tbl>
    <w:p>
      <w:pPr>
        <w:pStyle w:val="Heading2"/>
        <w:spacing w:after="120" w:before="260"/>
      </w:pPr>
      <w:r>
        <w:rPr>
          <w:rFonts w:ascii="Calibri" w:cs="Calibri" w:eastAsia="Calibri" w:hAnsi="Calibri"/>
          <w:b/>
          <w:bCs/>
          <w:color w:val="2E5E8C"/>
          <w:sz w:val="24"/>
          <w:szCs w:val="24"/>
        </w:rPr>
        <w:t xml:space="preserve">E. Costing and pricing</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700"/>
        <w:gridCol w:w="8660"/>
      </w:tblGrid>
      <w:tr>
        <w:trPr>
          <w:tblHeader/>
        </w:trPr>
        <w:tc>
          <w:tcPr>
            <w:tcW w:type="dxa" w:w="7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t>
            </w:r>
          </w:p>
        </w:tc>
        <w:tc>
          <w:tcPr>
            <w:tcW w:type="dxa" w:w="86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Question</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E1</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Where does cost price come from — entered at receipt, taken from the supplier invoice, or copied from selling price?</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E2</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Weighted average or FIFO costing? We would recommend weighted average.</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E3</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Are transport, duty and clearing costs added to item cost?</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E4</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Who sets retail prices and on what basis? May prices differ between branches?</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E5</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Who may change a price today, and is the change reviewed?</w:t>
            </w:r>
          </w:p>
        </w:tc>
      </w:tr>
    </w:tbl>
    <w:p>
      <w:pPr>
        <w:pStyle w:val="Heading2"/>
        <w:spacing w:after="120" w:before="260"/>
      </w:pPr>
      <w:r>
        <w:rPr>
          <w:rFonts w:ascii="Calibri" w:cs="Calibri" w:eastAsia="Calibri" w:hAnsi="Calibri"/>
          <w:b/>
          <w:bCs/>
          <w:color w:val="2E5E8C"/>
          <w:sz w:val="24"/>
          <w:szCs w:val="24"/>
        </w:rPr>
        <w:t xml:space="preserve">F. Operations</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700"/>
        <w:gridCol w:w="8660"/>
      </w:tblGrid>
      <w:tr>
        <w:trPr>
          <w:tblHeader/>
        </w:trPr>
        <w:tc>
          <w:tcPr>
            <w:tcW w:type="dxa" w:w="7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t>
            </w:r>
          </w:p>
        </w:tc>
        <w:tc>
          <w:tcPr>
            <w:tcW w:type="dxa" w:w="86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Question</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F1</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How often does connectivity fail, for how long, and what happens to trading when it does?</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F2</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How many hours of load-shedding per day, and do tills have battery or generator backing?</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F3</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Is anything weighed in store — butchery, produce or deli?</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F4</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Which payment methods are accepted, and must a single sale be splittable across more than one?</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F5</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How is USD and ZWG handled, who sets the rate, and how often?</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F6</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Is credit trading in use, and is there a loyalty programme?</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F7</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Makes and models of tills, printers, scanners and cash drawers. Photographs would help.</w:t>
            </w:r>
          </w:p>
        </w:tc>
      </w:tr>
    </w:tbl>
    <w:p>
      <w:pPr>
        <w:pStyle w:val="Heading2"/>
        <w:spacing w:after="120" w:before="260"/>
      </w:pPr>
      <w:r>
        <w:rPr>
          <w:rFonts w:ascii="Calibri" w:cs="Calibri" w:eastAsia="Calibri" w:hAnsi="Calibri"/>
          <w:b/>
          <w:bCs/>
          <w:color w:val="2E5E8C"/>
          <w:sz w:val="24"/>
          <w:szCs w:val="24"/>
        </w:rPr>
        <w:t xml:space="preserve">G. Data and integration</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700"/>
        <w:gridCol w:w="8660"/>
      </w:tblGrid>
      <w:tr>
        <w:trPr>
          <w:tblHeader/>
        </w:trPr>
        <w:tc>
          <w:tcPr>
            <w:tcW w:type="dxa" w:w="7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t>
            </w:r>
          </w:p>
        </w:tc>
        <w:tc>
          <w:tcPr>
            <w:tcW w:type="dxa" w:w="86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Question</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G1</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Can a full export be provided of products, suppliers, customers and twelve months of transactions?</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G2</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Who will decide which duplicate product record survives, and how much time can they give it?</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G3</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Where will correct barcodes come from — supplier catalogues, or scanning the packs?</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G4</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Should opening stock be migrated, or should the new system begin from a fresh count? We would recommend the latter.</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G5</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How much history must remain searchable?</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G6</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Is QuickBooks still in use, and is automatic posting required or is a periodic export sufficient?</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G7</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Who keeps the books, and may we speak with them?</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G8</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Is time-clock data used to calculate pay, or only attendance?</w:t>
            </w:r>
          </w:p>
        </w:tc>
      </w:tr>
    </w:tbl>
    <w:p>
      <w:pPr>
        <w:pStyle w:val="Heading2"/>
        <w:spacing w:after="120" w:before="260"/>
      </w:pPr>
      <w:r>
        <w:rPr>
          <w:rFonts w:ascii="Calibri" w:cs="Calibri" w:eastAsia="Calibri" w:hAnsi="Calibri"/>
          <w:b/>
          <w:bCs/>
          <w:color w:val="2E5E8C"/>
          <w:sz w:val="24"/>
          <w:szCs w:val="24"/>
        </w:rPr>
        <w:t xml:space="preserve">H. Support and ownership</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700"/>
        <w:gridCol w:w="8660"/>
      </w:tblGrid>
      <w:tr>
        <w:trPr>
          <w:tblHeader/>
        </w:trPr>
        <w:tc>
          <w:tcPr>
            <w:tcW w:type="dxa" w:w="7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t>
            </w:r>
          </w:p>
        </w:tc>
        <w:tc>
          <w:tcPr>
            <w:tcW w:type="dxa" w:w="86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Question</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H1</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Trading hours across the week, and what response is expected when something fails outside office hours.</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H2</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Is there any internal IT capability?</w:t>
            </w:r>
          </w:p>
        </w:tc>
      </w:tr>
      <w:tr>
        <w:tc>
          <w:tcPr>
            <w:tcW w:type="dxa" w:w="7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H3</w:t>
            </w:r>
          </w:p>
        </w:tc>
        <w:tc>
          <w:tcPr>
            <w:tcW w:type="dxa" w:w="86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Should the business own the system outright, or licence it at a lower recurring cost?</w:t>
            </w:r>
          </w:p>
        </w:tc>
      </w:tr>
      <w:tr>
        <w:tc>
          <w:tcPr>
            <w:tcW w:type="dxa" w:w="7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H4</w:t>
            </w:r>
          </w:p>
        </w:tc>
        <w:tc>
          <w:tcPr>
            <w:tcW w:type="dxa" w:w="86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Who will own this project day to day, and how many hours each week can they give it?</w:t>
            </w:r>
          </w:p>
        </w:tc>
      </w:tr>
    </w:tbl>
    <w:p>
      <w:r>
        <w:br w:type="page"/>
      </w:r>
    </w:p>
    <w:p>
      <w:pPr>
        <w:pStyle w:val="Heading1"/>
        <w:spacing w:after="160" w:before="360"/>
      </w:pPr>
      <w:r>
        <w:rPr>
          <w:rFonts w:ascii="Calibri" w:cs="Calibri" w:eastAsia="Calibri" w:hAnsi="Calibri"/>
          <w:b/>
          <w:bCs/>
          <w:color w:val="1F3864"/>
          <w:sz w:val="30"/>
          <w:szCs w:val="30"/>
        </w:rPr>
        <w:t xml:space="preserve">9. Risks</w:t>
      </w:r>
    </w:p>
    <w:tbl>
      <w:tblPr>
        <w:tblW w:type="dxa" w:w="9360"/>
        <w:tblBorders>
          <w:top w:val="single" w:color="BFC9D9" w:sz="2"/>
          <w:left w:val="single" w:color="BFC9D9" w:sz="2"/>
          <w:bottom w:val="single" w:color="BFC9D9" w:sz="2"/>
          <w:right w:val="single" w:color="BFC9D9" w:sz="2"/>
          <w:insideH w:val="single" w:color="D6DCE7" w:sz="1"/>
          <w:insideV w:val="single" w:color="D6DCE7" w:sz="1"/>
        </w:tblBorders>
      </w:tblPr>
      <w:tblGrid>
        <w:gridCol w:w="2400"/>
        <w:gridCol w:w="2600"/>
        <w:gridCol w:w="4360"/>
      </w:tblGrid>
      <w:tr>
        <w:trPr>
          <w:tblHeader/>
        </w:trPr>
        <w:tc>
          <w:tcPr>
            <w:tcW w:type="dxa" w:w="24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Risk</w:t>
            </w:r>
          </w:p>
        </w:tc>
        <w:tc>
          <w:tcPr>
            <w:tcW w:type="dxa" w:w="260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Impact</w:t>
            </w:r>
          </w:p>
        </w:tc>
        <w:tc>
          <w:tcPr>
            <w:tcW w:type="dxa" w:w="4360"/>
            <w:shd w:fill="1F3864"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How it is managed</w:t>
            </w:r>
          </w:p>
        </w:tc>
      </w:tr>
      <w:tr>
        <w:tc>
          <w:tcPr>
            <w:tcW w:type="dxa" w:w="2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Existing data migrated without cleansing</w:t>
            </w:r>
          </w:p>
        </w:tc>
        <w:tc>
          <w:tcPr>
            <w:tcW w:type="dxa" w:w="26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New system produces wrong figures from day one</w:t>
            </w:r>
          </w:p>
        </w:tc>
        <w:tc>
          <w:tcPr>
            <w:tcW w:type="dxa" w:w="43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Funded Phase 0 cleanse; business signs off the cleansed master; only approved data is migrated</w:t>
            </w:r>
          </w:p>
        </w:tc>
      </w:tr>
      <w:tr>
        <w:tc>
          <w:tcPr>
            <w:tcW w:type="dxa" w:w="24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ZIMRA onboarding delays</w:t>
            </w:r>
          </w:p>
        </w:tc>
        <w:tc>
          <w:tcPr>
            <w:tcW w:type="dxa" w:w="26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Go-live slips</w:t>
            </w:r>
          </w:p>
        </w:tc>
        <w:tc>
          <w:tcPr>
            <w:tcW w:type="dxa" w:w="43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Start in week one; track as a critical dependency; design tills to trade and backfill</w:t>
            </w:r>
          </w:p>
        </w:tc>
      </w:tr>
      <w:tr>
        <w:tc>
          <w:tcPr>
            <w:tcW w:type="dxa" w:w="2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Process, not software, is the underlying issue</w:t>
            </w:r>
          </w:p>
        </w:tc>
        <w:tc>
          <w:tcPr>
            <w:tcW w:type="dxa" w:w="26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Controls are delivered but overrides continue</w:t>
            </w:r>
          </w:p>
        </w:tc>
        <w:tc>
          <w:tcPr>
            <w:tcW w:type="dxa" w:w="43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Controls paired with training and a named process owner; exception-queue clearance reported as a performance measure</w:t>
            </w:r>
          </w:p>
        </w:tc>
      </w:tr>
      <w:tr>
        <w:tc>
          <w:tcPr>
            <w:tcW w:type="dxa" w:w="24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Scope expansion</w:t>
            </w:r>
          </w:p>
        </w:tc>
        <w:tc>
          <w:tcPr>
            <w:tcW w:type="dxa" w:w="26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Timeline and cost drift</w:t>
            </w:r>
          </w:p>
        </w:tc>
        <w:tc>
          <w:tcPr>
            <w:tcW w:type="dxa" w:w="43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Fixed phases, written change control, configuration in preference to custom development</w:t>
            </w:r>
          </w:p>
        </w:tc>
      </w:tr>
      <w:tr>
        <w:tc>
          <w:tcPr>
            <w:tcW w:type="dxa" w:w="2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Business-side capacity</w:t>
            </w:r>
          </w:p>
        </w:tc>
        <w:tc>
          <w:tcPr>
            <w:tcW w:type="dxa" w:w="26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Data cleansing and testing stall</w:t>
            </w:r>
          </w:p>
        </w:tc>
        <w:tc>
          <w:tcPr>
            <w:tcW w:type="dxa" w:w="43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Named owner with allocated time agreed at the outset</w:t>
            </w:r>
          </w:p>
        </w:tc>
      </w:tr>
      <w:tr>
        <w:tc>
          <w:tcPr>
            <w:tcW w:type="dxa" w:w="24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Internal resistance</w:t>
            </w:r>
          </w:p>
        </w:tc>
        <w:tc>
          <w:tcPr>
            <w:tcW w:type="dxa" w:w="260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Those benefiting from current gaps resist tighter control</w:t>
            </w:r>
          </w:p>
        </w:tc>
        <w:tc>
          <w:tcPr>
            <w:tcW w:type="dxa" w:w="4360"/>
            <w:shd w:fill="F4F6FA" w:val="clear"/>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Visible sponsorship from ownership from the first day</w:t>
            </w:r>
          </w:p>
        </w:tc>
      </w:tr>
      <w:tr>
        <w:tc>
          <w:tcPr>
            <w:tcW w:type="dxa" w:w="24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Key-person dependency</w:t>
            </w:r>
          </w:p>
        </w:tc>
        <w:tc>
          <w:tcPr>
            <w:tcW w:type="dxa" w:w="260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Continuity risk on a system the business trades on</w:t>
            </w:r>
          </w:p>
        </w:tc>
        <w:tc>
          <w:tcPr>
            <w:tcW w:type="dxa" w:w="4360"/>
            <w:tcMar>
              <w:top w:type="dxa" w:w="70"/>
              <w:left w:type="dxa" w:w="110"/>
              <w:bottom w:type="dxa" w:w="70"/>
              <w:right w:type="dxa" w:w="110"/>
            </w:tcMar>
          </w:tcPr>
          <w:p>
            <w:pPr>
              <w:spacing w:after="0" w:line="264"/>
            </w:pPr>
            <w:r>
              <w:rPr>
                <w:rFonts w:ascii="Calibri" w:cs="Calibri" w:eastAsia="Calibri" w:hAnsi="Calibri"/>
                <w:b w:val="false"/>
                <w:bCs w:val="false"/>
                <w:color w:val="262626"/>
                <w:sz w:val="20"/>
                <w:szCs w:val="20"/>
              </w:rPr>
              <w:t xml:space="preserve">Documentation, source code escrow, and a second engineer engaged before go-live</w:t>
            </w:r>
          </w:p>
        </w:tc>
      </w:tr>
    </w:tbl>
    <w:p>
      <w:pPr>
        <w:pStyle w:val="Heading2"/>
        <w:spacing w:after="120" w:before="260"/>
      </w:pPr>
      <w:r>
        <w:rPr>
          <w:rFonts w:ascii="Calibri" w:cs="Calibri" w:eastAsia="Calibri" w:hAnsi="Calibri"/>
          <w:b/>
          <w:bCs/>
          <w:color w:val="2E5E8C"/>
          <w:sz w:val="24"/>
          <w:szCs w:val="24"/>
        </w:rPr>
        <w:t xml:space="preserve">A note on the last two</w:t>
      </w:r>
    </w:p>
    <w:p>
      <w:pPr>
        <w:spacing w:after="120" w:line="276"/>
      </w:pPr>
      <w:r>
        <w:rPr>
          <w:rFonts w:ascii="Calibri" w:cs="Calibri" w:eastAsia="Calibri" w:hAnsi="Calibri"/>
          <w:color w:val="262626"/>
          <w:sz w:val="21"/>
          <w:szCs w:val="21"/>
        </w:rPr>
        <w:t xml:space="preserve">When 240 of 243 counted lines show more stock than the system expected, goods arrive with no supplier recorded, and receipts are backdated by five months, it is reasonable to assume that some people benefit from the current arrangement. No software resolves that on its own. Success depends on visible support from ownership, and on the business being willing to act on what the exception reports reveal.</w:t>
      </w:r>
    </w:p>
    <w:p>
      <w:r>
        <w:br w:type="page"/>
      </w:r>
    </w:p>
    <w:p>
      <w:pPr>
        <w:pStyle w:val="Heading1"/>
        <w:spacing w:after="160" w:before="360"/>
      </w:pPr>
      <w:r>
        <w:rPr>
          <w:rFonts w:ascii="Calibri" w:cs="Calibri" w:eastAsia="Calibri" w:hAnsi="Calibri"/>
          <w:b/>
          <w:bCs/>
          <w:color w:val="1F3864"/>
          <w:sz w:val="30"/>
          <w:szCs w:val="30"/>
        </w:rPr>
        <w:t xml:space="preserve">10. Next Steps</w:t>
      </w:r>
    </w:p>
    <w:p>
      <w:pPr>
        <w:pStyle w:val="ListParagraph"/>
        <w:numPr>
          <w:ilvl w:val="0"/>
          <w:numId w:val="5"/>
        </w:numPr>
        <w:spacing w:after="90" w:line="276"/>
      </w:pPr>
      <w:r>
        <w:rPr>
          <w:rFonts w:ascii="Calibri" w:cs="Calibri" w:eastAsia="Calibri" w:hAnsi="Calibri"/>
          <w:sz w:val="21"/>
          <w:szCs w:val="21"/>
        </w:rPr>
        <w:t xml:space="preserve">Review this report and confirm or correct the findings in Section 3.</w:t>
      </w:r>
    </w:p>
    <w:p>
      <w:pPr>
        <w:pStyle w:val="ListParagraph"/>
        <w:numPr>
          <w:ilvl w:val="0"/>
          <w:numId w:val="5"/>
        </w:numPr>
        <w:spacing w:after="90" w:line="276"/>
      </w:pPr>
      <w:r>
        <w:rPr>
          <w:rFonts w:ascii="Calibri" w:cs="Calibri" w:eastAsia="Calibri" w:hAnsi="Calibri"/>
          <w:sz w:val="21"/>
          <w:szCs w:val="21"/>
        </w:rPr>
        <w:t xml:space="preserve">Provide answers to Sections 8A, 8B and 8C. Without turnover, VAT status and confirmed branch numbers, no proposal can be responsibly priced.</w:t>
      </w:r>
    </w:p>
    <w:p>
      <w:pPr>
        <w:pStyle w:val="ListParagraph"/>
        <w:numPr>
          <w:ilvl w:val="0"/>
          <w:numId w:val="5"/>
        </w:numPr>
        <w:spacing w:after="90" w:line="276"/>
      </w:pPr>
      <w:r>
        <w:rPr>
          <w:rFonts w:ascii="Calibri" w:cs="Calibri" w:eastAsia="Calibri" w:hAnsi="Calibri"/>
          <w:sz w:val="21"/>
          <w:szCs w:val="21"/>
        </w:rPr>
        <w:t xml:space="preserve">Hold a working session — approximately ninety minutes — to walk through the stock count and receiving findings on screen and to work through the remaining questions.</w:t>
      </w:r>
    </w:p>
    <w:p>
      <w:pPr>
        <w:pStyle w:val="ListParagraph"/>
        <w:numPr>
          <w:ilvl w:val="0"/>
          <w:numId w:val="5"/>
        </w:numPr>
        <w:spacing w:after="90" w:line="276"/>
      </w:pPr>
      <w:r>
        <w:rPr>
          <w:rFonts w:ascii="Calibri" w:cs="Calibri" w:eastAsia="Calibri" w:hAnsi="Calibri"/>
          <w:sz w:val="21"/>
          <w:szCs w:val="21"/>
        </w:rPr>
        <w:t xml:space="preserve">Agree Phase 0 as a separate piece of work, delivering the cleansed item master, process map, hardware inventory and ZIMRA onboarding.</w:t>
      </w:r>
    </w:p>
    <w:p>
      <w:pPr>
        <w:pStyle w:val="ListParagraph"/>
        <w:numPr>
          <w:ilvl w:val="0"/>
          <w:numId w:val="5"/>
        </w:numPr>
        <w:spacing w:after="90" w:line="276"/>
      </w:pPr>
      <w:r>
        <w:rPr>
          <w:rFonts w:ascii="Calibri" w:cs="Calibri" w:eastAsia="Calibri" w:hAnsi="Calibri"/>
          <w:sz w:val="21"/>
          <w:szCs w:val="21"/>
        </w:rPr>
        <w:t xml:space="preserve">On completion of Phase 0, issue a costed proposal for the full build with firm scope and timeline.</w:t>
      </w:r>
    </w:p>
    <w:p>
      <w:pPr>
        <w:spacing w:after="240"/>
      </w:pPr>
    </w:p>
    <w:p>
      <w:pPr>
        <w:pBdr>
          <w:top w:val="single" w:color="2E5E8C" w:sz="2"/>
          <w:left w:val="single" w:color="2E5E8C" w:sz="12"/>
          <w:bottom w:val="single" w:color="2E5E8C" w:sz="2"/>
          <w:right w:val="single" w:color="2E5E8C" w:sz="2"/>
        </w:pBdr>
        <w:shd w:fill="EDF1F6" w:val="clear"/>
        <w:spacing w:after="60" w:before="120" w:line="276"/>
        <w:ind w:left="170" w:right="170"/>
      </w:pPr>
      <w:r>
        <w:rPr>
          <w:rFonts w:ascii="Calibri" w:cs="Calibri" w:eastAsia="Calibri" w:hAnsi="Calibri"/>
          <w:b/>
          <w:bCs/>
          <w:color w:val="2E5E8C"/>
          <w:sz w:val="21"/>
          <w:szCs w:val="21"/>
        </w:rPr>
        <w:t xml:space="preserve">In summary</w:t>
      </w:r>
    </w:p>
    <w:p>
      <w:pPr>
        <w:pBdr>
          <w:top w:val="single" w:color="2E5E8C" w:sz="2"/>
          <w:left w:val="single" w:color="2E5E8C" w:sz="12"/>
          <w:bottom w:val="single" w:color="2E5E8C" w:sz="2"/>
          <w:right w:val="single" w:color="2E5E8C" w:sz="2"/>
        </w:pBdr>
        <w:shd w:fill="EDF1F6" w:val="clear"/>
        <w:spacing w:after="60" w:line="276"/>
        <w:ind w:left="170" w:right="170"/>
      </w:pPr>
      <w:r>
        <w:rPr>
          <w:rFonts w:ascii="Calibri" w:cs="Calibri" w:eastAsia="Calibri" w:hAnsi="Calibri"/>
          <w:sz w:val="21"/>
          <w:szCs w:val="21"/>
        </w:rPr>
        <w:t xml:space="preserve">The current platform is not short of functionality. Its stock and cost data cannot be trusted, and the causes are identifiable and fixable.</w:t>
      </w:r>
    </w:p>
    <w:p>
      <w:pPr>
        <w:pBdr>
          <w:top w:val="single" w:color="2E5E8C" w:sz="2"/>
          <w:left w:val="single" w:color="2E5E8C" w:sz="12"/>
          <w:bottom w:val="single" w:color="2E5E8C" w:sz="2"/>
          <w:right w:val="single" w:color="2E5E8C" w:sz="2"/>
        </w:pBdr>
        <w:shd w:fill="EDF1F6" w:val="clear"/>
        <w:spacing w:after="60" w:line="276"/>
        <w:ind w:left="170" w:right="170"/>
      </w:pPr>
      <w:r>
        <w:rPr>
          <w:rFonts w:ascii="Calibri" w:cs="Calibri" w:eastAsia="Calibri" w:hAnsi="Calibri"/>
          <w:sz w:val="21"/>
          <w:szCs w:val="21"/>
        </w:rPr>
        <w:t xml:space="preserve">The value of addressing this is an order of magnitude greater than the software cost that prompted the review.</w:t>
      </w:r>
    </w:p>
    <w:p>
      <w:pPr>
        <w:pBdr>
          <w:top w:val="single" w:color="2E5E8C" w:sz="2"/>
          <w:left w:val="single" w:color="2E5E8C" w:sz="12"/>
          <w:bottom w:val="single" w:color="2E5E8C" w:sz="2"/>
          <w:right w:val="single" w:color="2E5E8C" w:sz="2"/>
        </w:pBdr>
        <w:shd w:fill="EDF1F6" w:val="clear"/>
        <w:spacing w:after="160" w:line="276"/>
        <w:ind w:left="170" w:right="170"/>
      </w:pPr>
      <w:r>
        <w:rPr>
          <w:rFonts w:ascii="Calibri" w:cs="Calibri" w:eastAsia="Calibri" w:hAnsi="Calibri"/>
          <w:sz w:val="21"/>
          <w:szCs w:val="21"/>
        </w:rPr>
        <w:t xml:space="preserve">The first step is not to build anything. It is to establish the true position — commercially, in terms of compliance, and in the data.</w:t>
      </w:r>
    </w:p>
    <w:p>
      <w:pPr>
        <w:spacing w:after="300"/>
      </w:pPr>
    </w:p>
    <w:p>
      <w:pPr>
        <w:spacing w:after="120" w:line="276"/>
        <w:jc w:val="center"/>
      </w:pPr>
      <w:r>
        <w:rPr>
          <w:rFonts w:ascii="Calibri" w:cs="Calibri" w:eastAsia="Calibri" w:hAnsi="Calibri"/>
          <w:i/>
          <w:iCs/>
          <w:color w:val="595959"/>
          <w:sz w:val="18"/>
          <w:szCs w:val="18"/>
        </w:rPr>
        <w:t xml:space="preserve">This document is a discovery report prepared for discussion. It is not a quotation, and the financial figures in Section 7 are illustrative pending the information requested in Section 8.</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right"/>
    </w:pPr>
    <w:r>
      <w:rPr>
        <w:rFonts w:ascii="Calibri" w:cs="Calibri" w:eastAsia="Calibri" w:hAnsi="Calibri"/>
        <w:color w:val="595959"/>
        <w:sz w:val="16"/>
        <w:szCs w:val="16"/>
      </w:rPr>
      <w:t xml:space="preserve">Draft for discussion — not a quotation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EDC" w:sz="4"/>
      </w:pBdr>
      <w:spacing w:after="200"/>
      <w:jc w:val="right"/>
    </w:pPr>
    <w:r>
      <w:rPr>
        <w:rFonts w:ascii="Calibri" w:cs="Calibri" w:eastAsia="Calibri" w:hAnsi="Calibri"/>
        <w:color w:val="595959"/>
        <w:sz w:val="17"/>
        <w:szCs w:val="17"/>
      </w:rPr>
      <w:t xml:space="preserve">Multi-Branch Retail Management System  |  Discovery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Multi-Branch Retail Management System — Discovery Report</dc:title>
  <dc:creator>Discovery Report</dc:creator>
  <dc:description>Findings, proposed scope and information required</dc:description>
  <cp:lastModifiedBy>Un-named</cp:lastModifiedBy>
  <cp:revision>1</cp:revision>
  <dcterms:created xsi:type="dcterms:W3CDTF">2026-08-06T10:29:58.242Z</dcterms:created>
  <dcterms:modified xsi:type="dcterms:W3CDTF">2026-08-06T10:29:58.243Z</dcterms:modified>
</cp:coreProperties>
</file>

<file path=docProps/custom.xml><?xml version="1.0" encoding="utf-8"?>
<Properties xmlns="http://schemas.openxmlformats.org/officeDocument/2006/custom-properties" xmlns:vt="http://schemas.openxmlformats.org/officeDocument/2006/docPropsVTypes"/>
</file>