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DFA7" w14:textId="77777777" w:rsidR="00BE5E20" w:rsidRDefault="00000000">
      <w:pPr>
        <w:spacing w:after="80"/>
        <w:jc w:val="center"/>
      </w:pPr>
      <w:r>
        <w:rPr>
          <w:b/>
          <w:bCs/>
          <w:color w:val="1F4E79"/>
          <w:sz w:val="40"/>
          <w:szCs w:val="40"/>
        </w:rPr>
        <w:t>Predicting U.S. Cleft Lip and Palate Cases</w:t>
      </w:r>
    </w:p>
    <w:p w14:paraId="121B169C" w14:textId="77777777" w:rsidR="00BE5E20" w:rsidRDefault="00000000">
      <w:pPr>
        <w:spacing w:after="80"/>
        <w:jc w:val="center"/>
      </w:pPr>
      <w:r>
        <w:rPr>
          <w:color w:val="595959"/>
          <w:sz w:val="26"/>
          <w:szCs w:val="26"/>
        </w:rPr>
        <w:t>Using 2024 NCHS National Natality Microdata</w:t>
      </w:r>
    </w:p>
    <w:p w14:paraId="343F2BC6" w14:textId="3C9D83BB" w:rsidR="00BE5E20" w:rsidRDefault="00000000">
      <w:pPr>
        <w:spacing w:after="320"/>
        <w:jc w:val="center"/>
      </w:pPr>
      <w:r>
        <w:rPr>
          <w:i/>
          <w:iCs/>
          <w:color w:val="595959"/>
        </w:rPr>
        <w:t>Executive Summary | Predictive Analytics Project</w:t>
      </w:r>
    </w:p>
    <w:p w14:paraId="767F213E" w14:textId="1241ABB1" w:rsidR="00BE5E20" w:rsidRDefault="00000000">
      <w:pPr>
        <w:pStyle w:val="Heading1"/>
        <w:pBdr>
          <w:bottom w:val="single" w:sz="6" w:space="6" w:color="2E75B6"/>
        </w:pBdr>
      </w:pPr>
      <w:r>
        <w:t>Dataset and Prediction</w:t>
      </w:r>
      <w:r w:rsidR="001F3357">
        <w:t>s</w:t>
      </w:r>
    </w:p>
    <w:p w14:paraId="062B5152" w14:textId="77777777" w:rsidR="00BE5E20" w:rsidRDefault="00000000">
      <w:pPr>
        <w:pStyle w:val="Heading2"/>
      </w:pPr>
      <w:r>
        <w:t>About the Data Source</w:t>
      </w:r>
    </w:p>
    <w:p w14:paraId="46DB6BC3" w14:textId="77777777" w:rsidR="00BE5E20" w:rsidRDefault="00000000">
      <w:pPr>
        <w:spacing w:before="80" w:after="140" w:line="276" w:lineRule="auto"/>
      </w:pPr>
      <w:r>
        <w:rPr>
          <w:color w:val="222222"/>
        </w:rPr>
        <w:t>This project is built on the 2024 National Natality Public Use File, published by the National Center for Health Statistics (NCHS) within the U.S. Centers for Disease Control and Prevention. The file is produced annually through the Vital Statistics Cooperative Program, in which vital registration offices from all 50 states, the District of Columbia, New York City, Puerto Rico, the U.S. Virgin Islands, Guam, American Samoa, and the Commonwealth of the Northern Mariana Islands submit individual birth certificate data to NCHS for compilation and release.</w:t>
      </w:r>
    </w:p>
    <w:p w14:paraId="6AC201C9" w14:textId="77777777" w:rsidR="00BE5E20" w:rsidRDefault="00BE5E20">
      <w:pPr>
        <w:spacing w:before="60" w:after="60"/>
      </w:pPr>
    </w:p>
    <w:p w14:paraId="2FCB7614" w14:textId="77777777" w:rsidR="00BE5E20" w:rsidRDefault="00000000">
      <w:pPr>
        <w:spacing w:before="80" w:after="140" w:line="276" w:lineRule="auto"/>
      </w:pPr>
      <w:r>
        <w:rPr>
          <w:color w:val="222222"/>
        </w:rPr>
        <w:t>The 2024 file contains 3,638,436 birth records for the United States, representing nearly all live births registered in the country during the calendar year. Each record corresponds to one live birth and is stored in a fixed-width text format with a record length of 1,330 characters. Across all reporting areas, the NCHS estimates that more than 99 percent of all U.S. births are captured in the registration system, making this one of the most complete administrative datasets available for public health research.</w:t>
      </w:r>
    </w:p>
    <w:p w14:paraId="2B7DB2FC" w14:textId="77777777" w:rsidR="00BE5E20" w:rsidRDefault="00BE5E20">
      <w:pPr>
        <w:spacing w:before="60" w:after="60"/>
      </w:pPr>
    </w:p>
    <w:p w14:paraId="10483F99" w14:textId="77777777" w:rsidR="00BE5E20" w:rsidRDefault="00000000">
      <w:pPr>
        <w:spacing w:before="80" w:after="140" w:line="276" w:lineRule="auto"/>
      </w:pPr>
      <w:r>
        <w:rPr>
          <w:color w:val="222222"/>
        </w:rPr>
        <w:t>The data items on each record are drawn from two primary collection instruments: the Mother's Worksheet, which captures self-reported information such as race, Hispanic origin, educational attainment, and smoking behavior; and the Facility Worksheet, which captures medical record data including prenatal care, risk factors, delivery method, and infant health outcomes. Both instruments were introduced as part of the 2003 revision of the U.S. Standard Certificate of Live Birth and have been fully implemented across all states and the District of Columbia since January 1, 2016.</w:t>
      </w:r>
    </w:p>
    <w:p w14:paraId="3EBC8016" w14:textId="77777777" w:rsidR="00BE5E20" w:rsidRDefault="00BE5E20">
      <w:pPr>
        <w:spacing w:before="60" w:after="60"/>
      </w:pPr>
    </w:p>
    <w:p w14:paraId="608AABF9" w14:textId="77777777" w:rsidR="00BE5E20" w:rsidRDefault="00000000">
      <w:pPr>
        <w:pStyle w:val="Heading2"/>
      </w:pPr>
      <w:r>
        <w:t>Features Available for Modeling</w:t>
      </w:r>
    </w:p>
    <w:p w14:paraId="42F46372" w14:textId="77777777" w:rsidR="00BE5E20" w:rsidRDefault="00000000">
      <w:pPr>
        <w:spacing w:before="80" w:after="140" w:line="276" w:lineRule="auto"/>
      </w:pPr>
      <w:r>
        <w:rPr>
          <w:color w:val="222222"/>
        </w:rPr>
        <w:t>The dataset provides a rich set of predictors spanning six substantive domains. Maternal demographics include the mother's age in single years, race using 31-category and 6-category recodes, Hispanic origin, nativity (U.S.-born vs. foreign-born), marital status, and educational attainment coded on an 8-level scale from less than 8th grade through doctorate or professional degree. Paternal demographics provide parallel fields for father's age, race, Hispanic origin, and education, though these carry higher missingness rates due to incomplete reporting for unmarried births.</w:t>
      </w:r>
    </w:p>
    <w:p w14:paraId="3497ED26" w14:textId="77777777" w:rsidR="00BE5E20" w:rsidRDefault="00BE5E20">
      <w:pPr>
        <w:spacing w:before="60" w:after="60"/>
      </w:pPr>
    </w:p>
    <w:p w14:paraId="43719163" w14:textId="77777777" w:rsidR="00BE5E20" w:rsidRDefault="00000000">
      <w:pPr>
        <w:spacing w:before="80" w:after="140" w:line="276" w:lineRule="auto"/>
      </w:pPr>
      <w:r>
        <w:rPr>
          <w:color w:val="222222"/>
        </w:rPr>
        <w:lastRenderedPageBreak/>
        <w:t xml:space="preserve">Pregnancy history variables capture the number of prior live births now living, prior live births now dead, prior other pregnancy terminations, live birth order, total birth order, and multiple interval-since-last-pregnancy </w:t>
      </w:r>
      <w:proofErr w:type="gramStart"/>
      <w:r>
        <w:rPr>
          <w:color w:val="222222"/>
        </w:rPr>
        <w:t>recodes</w:t>
      </w:r>
      <w:proofErr w:type="gramEnd"/>
      <w:r>
        <w:rPr>
          <w:color w:val="222222"/>
        </w:rPr>
        <w:t xml:space="preserve">. Prenatal behavior variables include the month prenatal care began (coded 1 through 10, plus no care and unknown), the total number of prenatal visits, WIC food program enrollment during pregnancy, and the number of cigarettes smoked per day before pregnancy and in each of the three trimesters. Maternal physical characteristics include height in inches, pre-pregnancy weight, </w:t>
      </w:r>
      <w:proofErr w:type="gramStart"/>
      <w:r>
        <w:rPr>
          <w:color w:val="222222"/>
        </w:rPr>
        <w:t>delivery weight,</w:t>
      </w:r>
      <w:proofErr w:type="gramEnd"/>
      <w:r>
        <w:rPr>
          <w:color w:val="222222"/>
        </w:rPr>
        <w:t xml:space="preserve"> weight gain, and body mass index (BMI) computed as pre-pregnancy weight divided by height squared, multiplied by 703.</w:t>
      </w:r>
    </w:p>
    <w:p w14:paraId="76E360D9" w14:textId="77777777" w:rsidR="00BE5E20" w:rsidRDefault="00BE5E20">
      <w:pPr>
        <w:spacing w:before="60" w:after="60"/>
      </w:pPr>
    </w:p>
    <w:p w14:paraId="0C075587" w14:textId="77777777" w:rsidR="00BE5E20" w:rsidRDefault="00000000">
      <w:pPr>
        <w:spacing w:before="80" w:after="140" w:line="276" w:lineRule="auto"/>
      </w:pPr>
      <w:r>
        <w:rPr>
          <w:color w:val="222222"/>
        </w:rPr>
        <w:t>Infant birth outcomes include gestational age in two formulations: the obstetric estimate (the NCHS standard since 2014) and the combined gestation measure based on the date of last normal menses. Additional outcome fields cover birth weight in grams, infant sex, birth facility type, and clinical status at the time of hospital discharge. The dataset also includes a full section on congenital anomalies of the newborn, in which 12 specific conditions are recorded via checkbox on the Facility Worksheet. This section is the direct source of the prediction target.</w:t>
      </w:r>
    </w:p>
    <w:p w14:paraId="1068D6B7" w14:textId="77777777" w:rsidR="00BE5E20" w:rsidRDefault="00BE5E20">
      <w:pPr>
        <w:spacing w:before="60" w:after="60"/>
      </w:pPr>
    </w:p>
    <w:p w14:paraId="2101E693" w14:textId="77777777" w:rsidR="00BE5E20" w:rsidRDefault="00000000">
      <w:pPr>
        <w:pStyle w:val="Heading2"/>
      </w:pPr>
      <w:r>
        <w:t>Prediction Target</w:t>
      </w:r>
    </w:p>
    <w:p w14:paraId="60F762CD" w14:textId="139D7DD3" w:rsidR="00BE5E20" w:rsidRDefault="00000000">
      <w:pPr>
        <w:spacing w:before="80" w:after="140" w:line="276" w:lineRule="auto"/>
      </w:pPr>
      <w:r>
        <w:rPr>
          <w:color w:val="222222"/>
        </w:rPr>
        <w:t xml:space="preserve">The prediction target is </w:t>
      </w:r>
      <w:proofErr w:type="spellStart"/>
      <w:r>
        <w:rPr>
          <w:b/>
          <w:bCs/>
          <w:color w:val="C44E52"/>
        </w:rPr>
        <w:t>cleft_case</w:t>
      </w:r>
      <w:proofErr w:type="spellEnd"/>
      <w:r>
        <w:rPr>
          <w:color w:val="222222"/>
        </w:rPr>
        <w:t>, a binary variable derived from two fields in the congenital anomalies section of the birth certificate: CA_CLEFT (cleft lip with or without cleft palate, file position 550) and CA_CLPAL (cleft palate alone, file position 551). A record is coded as a positive case (</w:t>
      </w:r>
      <w:proofErr w:type="spellStart"/>
      <w:r>
        <w:rPr>
          <w:color w:val="222222"/>
        </w:rPr>
        <w:t>cleft_case</w:t>
      </w:r>
      <w:proofErr w:type="spellEnd"/>
      <w:r>
        <w:rPr>
          <w:color w:val="222222"/>
        </w:rPr>
        <w:t xml:space="preserve"> = 1) if either field carries a value of Y; </w:t>
      </w:r>
      <w:proofErr w:type="gramStart"/>
      <w:r>
        <w:rPr>
          <w:color w:val="222222"/>
        </w:rPr>
        <w:t>otherwise</w:t>
      </w:r>
      <w:proofErr w:type="gramEnd"/>
      <w:r>
        <w:rPr>
          <w:color w:val="222222"/>
        </w:rPr>
        <w:t xml:space="preserve"> it is coded as 0. Together, these two fields capture the full clinical spectrum of orofacial </w:t>
      </w:r>
      <w:proofErr w:type="spellStart"/>
      <w:r>
        <w:rPr>
          <w:color w:val="222222"/>
        </w:rPr>
        <w:t>clefting</w:t>
      </w:r>
      <w:proofErr w:type="spellEnd"/>
      <w:r>
        <w:rPr>
          <w:color w:val="222222"/>
        </w:rPr>
        <w:t xml:space="preserve"> conditions reported at birth.</w:t>
      </w:r>
    </w:p>
    <w:p w14:paraId="58D500B4" w14:textId="77777777" w:rsidR="00BE5E20" w:rsidRDefault="00000000">
      <w:pPr>
        <w:spacing w:before="80" w:after="140" w:line="276" w:lineRule="auto"/>
        <w:rPr>
          <w:color w:val="222222"/>
        </w:rPr>
      </w:pPr>
      <w:r>
        <w:rPr>
          <w:color w:val="222222"/>
        </w:rPr>
        <w:t xml:space="preserve">An important data quality consideration is that congenital anomalies have historically been under-reported on birth certificates. The NCHS User Guide to the 2024 file explicitly notes this limitation, explaining that anomalies other than those that are highly visible or severe may be difficult to detect within the short interval between birth and certificate completion. The 2003 certificate revision attempted to address this by restricting the anomaly checklist to conditions diagnosable within 24 hours of birth using widely available techniques, which includes both forms of </w:t>
      </w:r>
      <w:proofErr w:type="spellStart"/>
      <w:r>
        <w:rPr>
          <w:color w:val="222222"/>
        </w:rPr>
        <w:t>clefting</w:t>
      </w:r>
      <w:proofErr w:type="spellEnd"/>
      <w:r>
        <w:rPr>
          <w:color w:val="222222"/>
        </w:rPr>
        <w:t>. The practical implication for this project is that the true prevalence of cleft conditions may be modestly higher than what the data records, and any model trained on these labels will reflect the completeness of birth certificate reporting rather than clinical ground truth.</w:t>
      </w:r>
    </w:p>
    <w:tbl>
      <w:tblPr>
        <w:tblStyle w:val="TableGrid"/>
        <w:tblW w:w="0" w:type="auto"/>
        <w:tblLook w:val="04A0" w:firstRow="1" w:lastRow="0" w:firstColumn="1" w:lastColumn="0" w:noHBand="0" w:noVBand="1"/>
      </w:tblPr>
      <w:tblGrid>
        <w:gridCol w:w="3685"/>
        <w:gridCol w:w="5038"/>
      </w:tblGrid>
      <w:tr w:rsidR="00147C04" w:rsidRPr="00147C04" w14:paraId="320ABCD6" w14:textId="77777777" w:rsidTr="00147C04">
        <w:trPr>
          <w:trHeight w:val="20"/>
        </w:trPr>
        <w:tc>
          <w:tcPr>
            <w:tcW w:w="3685" w:type="dxa"/>
            <w:hideMark/>
          </w:tcPr>
          <w:p w14:paraId="7DA55A5A" w14:textId="77777777" w:rsidR="00147C04" w:rsidRPr="00147C04" w:rsidRDefault="00147C04" w:rsidP="00147C04">
            <w:pPr>
              <w:spacing w:line="276" w:lineRule="auto"/>
              <w:rPr>
                <w:b/>
                <w:bCs/>
              </w:rPr>
            </w:pPr>
            <w:r w:rsidRPr="00147C04">
              <w:rPr>
                <w:b/>
                <w:bCs/>
              </w:rPr>
              <w:t>Metric</w:t>
            </w:r>
          </w:p>
        </w:tc>
        <w:tc>
          <w:tcPr>
            <w:tcW w:w="5038" w:type="dxa"/>
            <w:hideMark/>
          </w:tcPr>
          <w:p w14:paraId="4B8826B1" w14:textId="7EB1C21B" w:rsidR="00147C04" w:rsidRPr="00147C04" w:rsidRDefault="00147C04" w:rsidP="00147C04">
            <w:pPr>
              <w:spacing w:line="276" w:lineRule="auto"/>
              <w:rPr>
                <w:b/>
                <w:bCs/>
              </w:rPr>
            </w:pPr>
            <w:r>
              <w:rPr>
                <w:b/>
                <w:bCs/>
              </w:rPr>
              <w:t>Va</w:t>
            </w:r>
            <w:r w:rsidRPr="00147C04">
              <w:rPr>
                <w:b/>
                <w:bCs/>
              </w:rPr>
              <w:t>lue</w:t>
            </w:r>
          </w:p>
        </w:tc>
      </w:tr>
      <w:tr w:rsidR="00147C04" w:rsidRPr="00147C04" w14:paraId="7EA4B60A" w14:textId="77777777" w:rsidTr="00147C04">
        <w:trPr>
          <w:trHeight w:val="20"/>
        </w:trPr>
        <w:tc>
          <w:tcPr>
            <w:tcW w:w="3685" w:type="dxa"/>
            <w:hideMark/>
          </w:tcPr>
          <w:p w14:paraId="60FB2BBE" w14:textId="77777777" w:rsidR="00147C04" w:rsidRPr="00147C04" w:rsidRDefault="00147C04" w:rsidP="00147C04">
            <w:pPr>
              <w:spacing w:line="276" w:lineRule="auto"/>
            </w:pPr>
            <w:r w:rsidRPr="00147C04">
              <w:t>Total U.S. birth records (2024)</w:t>
            </w:r>
          </w:p>
        </w:tc>
        <w:tc>
          <w:tcPr>
            <w:tcW w:w="5038" w:type="dxa"/>
            <w:hideMark/>
          </w:tcPr>
          <w:p w14:paraId="1EC9F53D" w14:textId="77777777" w:rsidR="00147C04" w:rsidRPr="00147C04" w:rsidRDefault="00147C04" w:rsidP="00147C04">
            <w:pPr>
              <w:spacing w:line="276" w:lineRule="auto"/>
            </w:pPr>
            <w:r w:rsidRPr="00147C04">
              <w:t>3,638,436</w:t>
            </w:r>
          </w:p>
        </w:tc>
      </w:tr>
      <w:tr w:rsidR="00147C04" w:rsidRPr="00147C04" w14:paraId="796A4CBD" w14:textId="77777777" w:rsidTr="00147C04">
        <w:trPr>
          <w:trHeight w:val="20"/>
        </w:trPr>
        <w:tc>
          <w:tcPr>
            <w:tcW w:w="3685" w:type="dxa"/>
            <w:hideMark/>
          </w:tcPr>
          <w:p w14:paraId="5C612173" w14:textId="77777777" w:rsidR="00147C04" w:rsidRPr="00147C04" w:rsidRDefault="00147C04" w:rsidP="00147C04">
            <w:pPr>
              <w:spacing w:line="276" w:lineRule="auto"/>
            </w:pPr>
            <w:r w:rsidRPr="00147C04">
              <w:t>Total features parsed for modeling</w:t>
            </w:r>
          </w:p>
        </w:tc>
        <w:tc>
          <w:tcPr>
            <w:tcW w:w="5038" w:type="dxa"/>
            <w:hideMark/>
          </w:tcPr>
          <w:p w14:paraId="154D141E" w14:textId="77777777" w:rsidR="00147C04" w:rsidRPr="00147C04" w:rsidRDefault="00147C04" w:rsidP="00147C04">
            <w:pPr>
              <w:spacing w:line="276" w:lineRule="auto"/>
            </w:pPr>
            <w:r w:rsidRPr="00147C04">
              <w:t>80+</w:t>
            </w:r>
          </w:p>
        </w:tc>
      </w:tr>
      <w:tr w:rsidR="00147C04" w:rsidRPr="00147C04" w14:paraId="4EFB77D7" w14:textId="77777777" w:rsidTr="00147C04">
        <w:trPr>
          <w:trHeight w:val="20"/>
        </w:trPr>
        <w:tc>
          <w:tcPr>
            <w:tcW w:w="3685" w:type="dxa"/>
            <w:hideMark/>
          </w:tcPr>
          <w:p w14:paraId="7E0EE711" w14:textId="77777777" w:rsidR="00147C04" w:rsidRPr="00147C04" w:rsidRDefault="00147C04" w:rsidP="00147C04">
            <w:pPr>
              <w:spacing w:line="276" w:lineRule="auto"/>
            </w:pPr>
            <w:r w:rsidRPr="00147C04">
              <w:t>Target variable</w:t>
            </w:r>
          </w:p>
        </w:tc>
        <w:tc>
          <w:tcPr>
            <w:tcW w:w="5038" w:type="dxa"/>
            <w:hideMark/>
          </w:tcPr>
          <w:p w14:paraId="1CC3737C" w14:textId="77777777" w:rsidR="00147C04" w:rsidRPr="00147C04" w:rsidRDefault="00147C04" w:rsidP="00147C04">
            <w:pPr>
              <w:spacing w:line="276" w:lineRule="auto"/>
            </w:pPr>
            <w:proofErr w:type="spellStart"/>
            <w:r w:rsidRPr="00147C04">
              <w:t>cleft_case</w:t>
            </w:r>
            <w:proofErr w:type="spellEnd"/>
            <w:r w:rsidRPr="00147C04">
              <w:t> (1 cleft, 0 neither)</w:t>
            </w:r>
          </w:p>
        </w:tc>
      </w:tr>
      <w:tr w:rsidR="00147C04" w:rsidRPr="00147C04" w14:paraId="099CAFDE" w14:textId="77777777" w:rsidTr="00147C04">
        <w:trPr>
          <w:trHeight w:val="20"/>
        </w:trPr>
        <w:tc>
          <w:tcPr>
            <w:tcW w:w="3685" w:type="dxa"/>
            <w:hideMark/>
          </w:tcPr>
          <w:p w14:paraId="20315CE8" w14:textId="77777777" w:rsidR="00147C04" w:rsidRPr="00147C04" w:rsidRDefault="00147C04" w:rsidP="00147C04">
            <w:pPr>
              <w:spacing w:line="276" w:lineRule="auto"/>
            </w:pPr>
            <w:r w:rsidRPr="00147C04">
              <w:t>Positive class rate</w:t>
            </w:r>
          </w:p>
        </w:tc>
        <w:tc>
          <w:tcPr>
            <w:tcW w:w="5038" w:type="dxa"/>
            <w:hideMark/>
          </w:tcPr>
          <w:p w14:paraId="20C5F60B" w14:textId="0EB7EDB0" w:rsidR="00147C04" w:rsidRPr="00147C04" w:rsidRDefault="00147C04" w:rsidP="00147C04">
            <w:pPr>
              <w:spacing w:line="276" w:lineRule="auto"/>
            </w:pPr>
            <w:r w:rsidRPr="00147C04">
              <w:t>0.069673% (~`0.6967` per 1,000)</w:t>
            </w:r>
          </w:p>
        </w:tc>
      </w:tr>
      <w:tr w:rsidR="00147C04" w:rsidRPr="00147C04" w14:paraId="67A7B81A" w14:textId="77777777" w:rsidTr="00147C04">
        <w:trPr>
          <w:trHeight w:val="20"/>
        </w:trPr>
        <w:tc>
          <w:tcPr>
            <w:tcW w:w="3685" w:type="dxa"/>
            <w:hideMark/>
          </w:tcPr>
          <w:p w14:paraId="5B13941D" w14:textId="77777777" w:rsidR="00147C04" w:rsidRPr="00147C04" w:rsidRDefault="00147C04" w:rsidP="00147C04">
            <w:pPr>
              <w:spacing w:line="276" w:lineRule="auto"/>
            </w:pPr>
            <w:r w:rsidRPr="00147C04">
              <w:t>Class imbalance ratio (0:1)</w:t>
            </w:r>
          </w:p>
        </w:tc>
        <w:tc>
          <w:tcPr>
            <w:tcW w:w="5038" w:type="dxa"/>
            <w:hideMark/>
          </w:tcPr>
          <w:p w14:paraId="19260CC8" w14:textId="0A7631CE" w:rsidR="00147C04" w:rsidRPr="00147C04" w:rsidRDefault="00147C04" w:rsidP="00147C04">
            <w:pPr>
              <w:spacing w:line="276" w:lineRule="auto"/>
            </w:pPr>
            <w:r w:rsidRPr="00147C04">
              <w:t>1434.28:1</w:t>
            </w:r>
          </w:p>
        </w:tc>
      </w:tr>
      <w:tr w:rsidR="00147C04" w:rsidRPr="00147C04" w14:paraId="02AC1C5B" w14:textId="77777777" w:rsidTr="00147C04">
        <w:trPr>
          <w:trHeight w:val="20"/>
        </w:trPr>
        <w:tc>
          <w:tcPr>
            <w:tcW w:w="3685" w:type="dxa"/>
            <w:hideMark/>
          </w:tcPr>
          <w:p w14:paraId="284E9E67" w14:textId="77777777" w:rsidR="00147C04" w:rsidRPr="00147C04" w:rsidRDefault="00147C04" w:rsidP="00147C04">
            <w:pPr>
              <w:spacing w:line="276" w:lineRule="auto"/>
            </w:pPr>
            <w:r w:rsidRPr="00147C04">
              <w:t>Registration completeness</w:t>
            </w:r>
          </w:p>
        </w:tc>
        <w:tc>
          <w:tcPr>
            <w:tcW w:w="5038" w:type="dxa"/>
            <w:hideMark/>
          </w:tcPr>
          <w:p w14:paraId="6B1FB0E7" w14:textId="77777777" w:rsidR="00147C04" w:rsidRPr="00147C04" w:rsidRDefault="00147C04" w:rsidP="00147C04">
            <w:pPr>
              <w:spacing w:line="276" w:lineRule="auto"/>
            </w:pPr>
            <w:r w:rsidRPr="00147C04">
              <w:t>&gt;99% U.S. births captured</w:t>
            </w:r>
          </w:p>
        </w:tc>
      </w:tr>
      <w:tr w:rsidR="00147C04" w:rsidRPr="00147C04" w14:paraId="4B3668EB" w14:textId="77777777" w:rsidTr="00147C04">
        <w:trPr>
          <w:trHeight w:val="20"/>
        </w:trPr>
        <w:tc>
          <w:tcPr>
            <w:tcW w:w="3685" w:type="dxa"/>
            <w:hideMark/>
          </w:tcPr>
          <w:p w14:paraId="1FC873B3" w14:textId="77777777" w:rsidR="00147C04" w:rsidRPr="00147C04" w:rsidRDefault="00147C04" w:rsidP="00147C04">
            <w:pPr>
              <w:spacing w:line="276" w:lineRule="auto"/>
            </w:pPr>
            <w:r w:rsidRPr="00147C04">
              <w:t>Leakage-safe feature set</w:t>
            </w:r>
          </w:p>
        </w:tc>
        <w:tc>
          <w:tcPr>
            <w:tcW w:w="5038" w:type="dxa"/>
            <w:hideMark/>
          </w:tcPr>
          <w:p w14:paraId="680B6D0C" w14:textId="77777777" w:rsidR="00147C04" w:rsidRPr="00147C04" w:rsidRDefault="00147C04" w:rsidP="00147C04">
            <w:pPr>
              <w:spacing w:line="276" w:lineRule="auto"/>
            </w:pPr>
            <w:r w:rsidRPr="00147C04">
              <w:t>Pre-/at-birth only; excludes post-delivery outcomes</w:t>
            </w:r>
          </w:p>
        </w:tc>
      </w:tr>
    </w:tbl>
    <w:p w14:paraId="7438F3A9" w14:textId="77777777" w:rsidR="00147C04" w:rsidRDefault="00147C04">
      <w:pPr>
        <w:spacing w:before="80" w:after="140" w:line="276" w:lineRule="auto"/>
      </w:pPr>
    </w:p>
    <w:p w14:paraId="36CDA53C" w14:textId="1A86BCCE" w:rsidR="00BE5E20" w:rsidRDefault="00000000">
      <w:pPr>
        <w:pStyle w:val="Heading1"/>
        <w:pBdr>
          <w:bottom w:val="single" w:sz="6" w:space="6" w:color="2E75B6"/>
        </w:pBdr>
      </w:pPr>
      <w:r>
        <w:t>Why This Problem Matters</w:t>
      </w:r>
    </w:p>
    <w:p w14:paraId="0A48BB27" w14:textId="77777777" w:rsidR="00BE5E20" w:rsidRDefault="00000000">
      <w:pPr>
        <w:spacing w:before="80" w:after="140" w:line="276" w:lineRule="auto"/>
      </w:pPr>
      <w:r>
        <w:rPr>
          <w:color w:val="222222"/>
        </w:rPr>
        <w:t xml:space="preserve">Cleft lip and palate </w:t>
      </w:r>
      <w:proofErr w:type="gramStart"/>
      <w:r>
        <w:rPr>
          <w:color w:val="222222"/>
        </w:rPr>
        <w:t>is</w:t>
      </w:r>
      <w:proofErr w:type="gramEnd"/>
      <w:r>
        <w:rPr>
          <w:color w:val="222222"/>
        </w:rPr>
        <w:t xml:space="preserve"> among the most common congenital structural birth defects in the United States, affecting more than 6,000 infants each year. Despite its prevalence, it remains a condition that can go undetected until birth in many cases, delaying the mobilization of highly specialized multidisciplinary care teams that these infants require from the earliest weeks of life. Surgical repair, speech therapy, orthodontic treatment, audiological monitoring, and feeding support are all typically needed beginning in infancy and continuing for years.</w:t>
      </w:r>
    </w:p>
    <w:p w14:paraId="23407E2B" w14:textId="77777777" w:rsidR="00BE5E20" w:rsidRDefault="00BE5E20">
      <w:pPr>
        <w:spacing w:before="60" w:after="60"/>
      </w:pPr>
    </w:p>
    <w:p w14:paraId="7C34F788" w14:textId="77777777" w:rsidR="00BE5E20" w:rsidRDefault="00000000">
      <w:pPr>
        <w:spacing w:before="80" w:after="140" w:line="276" w:lineRule="auto"/>
      </w:pPr>
      <w:r>
        <w:rPr>
          <w:color w:val="222222"/>
        </w:rPr>
        <w:t>Accurate prediction models built on data that is already collected as part of standard birth certificate processing offer an opportunity to close this gap without requiring any additional clinical burden. By identifying which birth profiles carry elevated risk, health systems, craniofacial centers, and public health agencies can act earlier and more precisely in several ways:</w:t>
      </w:r>
    </w:p>
    <w:p w14:paraId="17091A4A" w14:textId="77777777" w:rsidR="00BE5E20" w:rsidRDefault="00BE5E20">
      <w:pPr>
        <w:spacing w:before="60" w:after="60"/>
      </w:pPr>
    </w:p>
    <w:p w14:paraId="5342425A" w14:textId="77777777" w:rsidR="00BE5E20" w:rsidRDefault="00000000">
      <w:pPr>
        <w:pStyle w:val="ListParagraph"/>
        <w:numPr>
          <w:ilvl w:val="0"/>
          <w:numId w:val="2"/>
        </w:numPr>
        <w:spacing w:before="60" w:after="60" w:line="260" w:lineRule="auto"/>
      </w:pPr>
      <w:r>
        <w:rPr>
          <w:color w:val="222222"/>
        </w:rPr>
        <w:t>Resource planning and staffing: Craniofacial surgical centers can anticipate seasonal and regional demand for procedures and specialist consultations based on predicted case volumes by geography and birth month.</w:t>
      </w:r>
    </w:p>
    <w:p w14:paraId="2FF85CC0" w14:textId="77777777" w:rsidR="00BE5E20" w:rsidRDefault="00000000">
      <w:pPr>
        <w:pStyle w:val="ListParagraph"/>
        <w:numPr>
          <w:ilvl w:val="0"/>
          <w:numId w:val="2"/>
        </w:numPr>
        <w:spacing w:before="60" w:after="60" w:line="260" w:lineRule="auto"/>
      </w:pPr>
      <w:r>
        <w:rPr>
          <w:color w:val="222222"/>
        </w:rPr>
        <w:t>Health equity: Cleft prevalence rates are not uniform across racial, ethnic, and socioeconomic groups. A model grounded in demographic and behavioral data can surface disparities that might otherwise remain invisible in aggregate statistics, enabling more targeted outreach to underserved populations.</w:t>
      </w:r>
    </w:p>
    <w:p w14:paraId="660AF45C" w14:textId="77777777" w:rsidR="00BE5E20" w:rsidRDefault="00000000">
      <w:pPr>
        <w:pStyle w:val="ListParagraph"/>
        <w:numPr>
          <w:ilvl w:val="0"/>
          <w:numId w:val="2"/>
        </w:numPr>
        <w:spacing w:before="60" w:after="60" w:line="260" w:lineRule="auto"/>
      </w:pPr>
      <w:r>
        <w:rPr>
          <w:color w:val="222222"/>
        </w:rPr>
        <w:t>Preventive care communication: Several modifiable risk factors associated with cleft conditions, including tobacco use and inadequate prenatal nutrition, are already known to clinicians. Embedding predictive risk signals into prenatal care workflows could prompt timely counseling for higher-risk expectant mothers.</w:t>
      </w:r>
    </w:p>
    <w:p w14:paraId="4D4D599E" w14:textId="77777777" w:rsidR="00BE5E20" w:rsidRDefault="00000000">
      <w:pPr>
        <w:pStyle w:val="ListParagraph"/>
        <w:numPr>
          <w:ilvl w:val="0"/>
          <w:numId w:val="2"/>
        </w:numPr>
        <w:spacing w:before="60" w:after="60" w:line="260" w:lineRule="auto"/>
      </w:pPr>
      <w:r>
        <w:rPr>
          <w:color w:val="222222"/>
        </w:rPr>
        <w:t>Policy and funding allocation: At the population level, aggregating individual predicted probabilities across expected births can generate forward-looking estimates of annual case burden, supporting federal and state-level maternal and child health budget decisions.</w:t>
      </w:r>
    </w:p>
    <w:p w14:paraId="2B73E754" w14:textId="77777777" w:rsidR="00BE5E20" w:rsidRDefault="00BE5E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20" w14:paraId="7DE58ECC"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60" w:type="dxa"/>
              <w:left w:w="200" w:type="dxa"/>
              <w:bottom w:w="160" w:type="dxa"/>
              <w:right w:w="200" w:type="dxa"/>
            </w:tcMar>
          </w:tcPr>
          <w:p w14:paraId="187E4EB2" w14:textId="77777777" w:rsidR="00BE5E20" w:rsidRDefault="00000000">
            <w:pPr>
              <w:spacing w:after="80"/>
            </w:pPr>
            <w:r>
              <w:rPr>
                <w:b/>
                <w:bCs/>
                <w:color w:val="1F4E79"/>
              </w:rPr>
              <w:t>The core value proposition:</w:t>
            </w:r>
          </w:p>
          <w:p w14:paraId="409DB996" w14:textId="77777777" w:rsidR="00BE5E20" w:rsidRDefault="00000000">
            <w:r>
              <w:rPr>
                <w:color w:val="222222"/>
              </w:rPr>
              <w:t xml:space="preserve">This is not just </w:t>
            </w:r>
            <w:proofErr w:type="gramStart"/>
            <w:r>
              <w:rPr>
                <w:color w:val="222222"/>
              </w:rPr>
              <w:t>a statistical</w:t>
            </w:r>
            <w:proofErr w:type="gramEnd"/>
            <w:r>
              <w:rPr>
                <w:color w:val="222222"/>
              </w:rPr>
              <w:t xml:space="preserve"> exercise. The data used to train these models is already collected on every U.S. birth certificate. What this project demonstrates is that latent predictive signal exists within existing administrative data. If surfaced responsibly, that signal could translate directly into earlier interventions, better resource allocation, and improved outcomes for thousands of infants each year.</w:t>
            </w:r>
          </w:p>
        </w:tc>
      </w:tr>
    </w:tbl>
    <w:p w14:paraId="6AA42A1C" w14:textId="77777777" w:rsidR="00BE5E20" w:rsidRDefault="00BE5E20">
      <w:pPr>
        <w:spacing w:before="60" w:after="60"/>
      </w:pPr>
    </w:p>
    <w:p w14:paraId="36F053B5" w14:textId="2039EB24" w:rsidR="00BE5E20" w:rsidRDefault="00000000">
      <w:pPr>
        <w:pStyle w:val="Heading1"/>
        <w:pBdr>
          <w:bottom w:val="single" w:sz="6" w:space="6" w:color="2E75B6"/>
        </w:pBdr>
      </w:pPr>
      <w:r>
        <w:lastRenderedPageBreak/>
        <w:t>Analytical Approach</w:t>
      </w:r>
    </w:p>
    <w:p w14:paraId="3CC810EF" w14:textId="77777777" w:rsidR="00BE5E20" w:rsidRDefault="00000000">
      <w:pPr>
        <w:spacing w:before="80" w:after="140" w:line="276" w:lineRule="auto"/>
      </w:pPr>
      <w:r>
        <w:rPr>
          <w:color w:val="222222"/>
        </w:rPr>
        <w:t>The project followed a structured three-part analytical pipeline covering descriptive analytics, predictive modeling, and model explainability.</w:t>
      </w:r>
    </w:p>
    <w:p w14:paraId="623E73EB" w14:textId="77777777" w:rsidR="00BE5E20" w:rsidRDefault="00BE5E20">
      <w:pPr>
        <w:spacing w:before="60" w:after="60"/>
      </w:pPr>
    </w:p>
    <w:p w14:paraId="10F1E912" w14:textId="77777777" w:rsidR="00BE5E20" w:rsidRDefault="00000000">
      <w:pPr>
        <w:pStyle w:val="Heading2"/>
      </w:pPr>
      <w:r>
        <w:t>Descriptive Analytics</w:t>
      </w:r>
    </w:p>
    <w:p w14:paraId="2B872431" w14:textId="77777777" w:rsidR="00BE5E20" w:rsidRDefault="00000000">
      <w:pPr>
        <w:spacing w:before="80" w:after="140" w:line="276" w:lineRule="auto"/>
      </w:pPr>
      <w:r>
        <w:rPr>
          <w:color w:val="222222"/>
        </w:rPr>
        <w:t>The exploratory analysis revealed several patterns in cleft risk across the dataset. Prevalence was not uniform across maternal age groups, with certain age ranges showing meaningfully higher case rates per 10,000 births. Cigarette smoking across pregnancy trimesters was associated with elevated cleft prevalence, consistent with published epidemiological literature. Maternal education level showed a gradient pattern, with lower attainment associated with higher observed rates. A cross-tabulation of infant sex and WIC enrollment status revealed interaction effects that would not be visible from looking at either variable in isolation.</w:t>
      </w:r>
    </w:p>
    <w:p w14:paraId="7A843EAB" w14:textId="77777777" w:rsidR="00BE5E20" w:rsidRDefault="00BE5E20">
      <w:pPr>
        <w:spacing w:before="60" w:after="60"/>
      </w:pPr>
    </w:p>
    <w:p w14:paraId="3E652247" w14:textId="77777777" w:rsidR="00BE5E20" w:rsidRDefault="00000000">
      <w:pPr>
        <w:pStyle w:val="Heading2"/>
      </w:pPr>
      <w:r>
        <w:t>Predictive Modeling</w:t>
      </w:r>
    </w:p>
    <w:p w14:paraId="48E0D6E2" w14:textId="77777777" w:rsidR="00BE5E20" w:rsidRDefault="00000000">
      <w:pPr>
        <w:spacing w:before="80" w:after="140" w:line="276" w:lineRule="auto"/>
      </w:pPr>
      <w:r>
        <w:rPr>
          <w:color w:val="222222"/>
        </w:rPr>
        <w:t xml:space="preserve">Five classification models were trained and evaluated on a 70/30 stratified train-test split using the full feature set: Logistic Regression as an interpretable baseline, a Decision Tree tuned via 5-fold grid search, a Random Forest ensemble, an </w:t>
      </w:r>
      <w:proofErr w:type="spellStart"/>
      <w:r>
        <w:rPr>
          <w:color w:val="222222"/>
        </w:rPr>
        <w:t>XGBoost</w:t>
      </w:r>
      <w:proofErr w:type="spellEnd"/>
      <w:r>
        <w:rPr>
          <w:color w:val="222222"/>
        </w:rPr>
        <w:t xml:space="preserve"> gradient-boosted tree model, and a two-hidden-layer neural network (MLP) built in </w:t>
      </w:r>
      <w:proofErr w:type="spellStart"/>
      <w:r>
        <w:rPr>
          <w:color w:val="222222"/>
        </w:rPr>
        <w:t>Keras</w:t>
      </w:r>
      <w:proofErr w:type="spellEnd"/>
      <w:r>
        <w:rPr>
          <w:color w:val="222222"/>
        </w:rPr>
        <w:t>. All models used class reweighting or scale adjustment to address the severe class imbalance. Threshold selection was performed on a held-out validation split using two operating points: an F1-optimized threshold that balances precision and recall, and a recall-first threshold designed to maximize sensitivity to true cases at the cost of accepting more false positives. The latter is particularly relevant for screening applications where missing a case is more costly than a false alarm.</w:t>
      </w:r>
    </w:p>
    <w:p w14:paraId="74A074D0" w14:textId="77777777" w:rsidR="00BE5E20" w:rsidRDefault="00BE5E20">
      <w:pPr>
        <w:spacing w:before="60" w:after="60"/>
      </w:pPr>
    </w:p>
    <w:p w14:paraId="4AAE522A" w14:textId="77777777" w:rsidR="00BE5E20" w:rsidRDefault="00000000">
      <w:pPr>
        <w:pStyle w:val="Heading2"/>
      </w:pPr>
      <w:r>
        <w:t>Explainability</w:t>
      </w:r>
    </w:p>
    <w:p w14:paraId="1C92DFD0" w14:textId="674B3968" w:rsidR="00BE5E20" w:rsidRDefault="00000000">
      <w:pPr>
        <w:spacing w:before="80" w:after="140" w:line="276" w:lineRule="auto"/>
      </w:pPr>
      <w:r>
        <w:rPr>
          <w:color w:val="222222"/>
        </w:rPr>
        <w:t>SHAP analysis was applied to the best-performing tree model to identify which features most strongly influenced individual predictions. A leakage-safe version of the model was also trained using only features available before or at birth, excluding post-delivery clinical fields such as birth weight, infant living status, and breastfeeding at discharge. This version is more appropriate for real-world deployment because it reflects only information a clinician or health system would have available at or before the time of birth.</w:t>
      </w:r>
    </w:p>
    <w:p w14:paraId="49A0FE23" w14:textId="77777777" w:rsidR="00BE5E20" w:rsidRDefault="00BE5E20">
      <w:pPr>
        <w:spacing w:before="60" w:after="60"/>
      </w:pPr>
    </w:p>
    <w:p w14:paraId="40425ACF" w14:textId="237A8972" w:rsidR="00BE5E20" w:rsidRDefault="00000000">
      <w:pPr>
        <w:pStyle w:val="Heading1"/>
        <w:pBdr>
          <w:bottom w:val="single" w:sz="6" w:space="6" w:color="2E75B6"/>
        </w:pBdr>
      </w:pPr>
      <w:r>
        <w:t>Key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5E20" w14:paraId="637A5A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60" w:type="dxa"/>
              <w:bottom w:w="120" w:type="dxa"/>
              <w:right w:w="160" w:type="dxa"/>
            </w:tcMar>
          </w:tcPr>
          <w:p w14:paraId="4CA285B9" w14:textId="77777777" w:rsidR="00BE5E20" w:rsidRDefault="00000000">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60" w:type="dxa"/>
              <w:bottom w:w="120" w:type="dxa"/>
              <w:right w:w="160" w:type="dxa"/>
            </w:tcMar>
          </w:tcPr>
          <w:p w14:paraId="11F0F1D6" w14:textId="77777777" w:rsidR="00BE5E20" w:rsidRDefault="00000000">
            <w:r>
              <w:rPr>
                <w:b/>
                <w:bCs/>
                <w:color w:val="FFFFFF"/>
              </w:rPr>
              <w:t>Value</w:t>
            </w:r>
          </w:p>
        </w:tc>
      </w:tr>
      <w:tr w:rsidR="00BE5E20" w14:paraId="1CDA1C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67E4922D" w14:textId="77777777" w:rsidR="00BE5E20" w:rsidRDefault="00000000">
            <w:r>
              <w:rPr>
                <w:b/>
                <w:bCs/>
                <w:color w:val="333333"/>
                <w:sz w:val="21"/>
                <w:szCs w:val="21"/>
              </w:rPr>
              <w:lastRenderedPageBreak/>
              <w:t>Best models by PR-AUC</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46C8B525" w14:textId="77777777" w:rsidR="00BE5E20" w:rsidRDefault="00000000">
            <w:proofErr w:type="spellStart"/>
            <w:r>
              <w:rPr>
                <w:b/>
                <w:bCs/>
                <w:color w:val="2E75B6"/>
                <w:sz w:val="21"/>
                <w:szCs w:val="21"/>
              </w:rPr>
              <w:t>XGBoost</w:t>
            </w:r>
            <w:proofErr w:type="spellEnd"/>
            <w:r>
              <w:rPr>
                <w:b/>
                <w:bCs/>
                <w:color w:val="2E75B6"/>
                <w:sz w:val="21"/>
                <w:szCs w:val="21"/>
              </w:rPr>
              <w:t xml:space="preserve"> and Random Forest</w:t>
            </w:r>
          </w:p>
        </w:tc>
      </w:tr>
      <w:tr w:rsidR="00BE5E20" w14:paraId="0E56E0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7FFAE5" w14:textId="77777777" w:rsidR="00BE5E20" w:rsidRDefault="00000000">
            <w:r>
              <w:rPr>
                <w:color w:val="333333"/>
                <w:sz w:val="21"/>
                <w:szCs w:val="21"/>
              </w:rPr>
              <w:t>Primary evaluation metric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C929D7" w14:textId="77777777" w:rsidR="00BE5E20" w:rsidRDefault="00000000">
            <w:r>
              <w:rPr>
                <w:color w:val="333333"/>
                <w:sz w:val="21"/>
                <w:szCs w:val="21"/>
              </w:rPr>
              <w:t>PR-AUC and Recall; standard accuracy is misleading for rare-event tasks</w:t>
            </w:r>
          </w:p>
        </w:tc>
      </w:tr>
      <w:tr w:rsidR="00BE5E20" w14:paraId="0C3C81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35E85AA5" w14:textId="77777777" w:rsidR="00BE5E20" w:rsidRDefault="00000000">
            <w:r>
              <w:rPr>
                <w:color w:val="333333"/>
                <w:sz w:val="21"/>
                <w:szCs w:val="21"/>
              </w:rPr>
              <w:t>Recall-first threshold</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2DEA2FE7" w14:textId="77777777" w:rsidR="00BE5E20" w:rsidRDefault="00000000">
            <w:r>
              <w:rPr>
                <w:color w:val="333333"/>
                <w:sz w:val="21"/>
                <w:szCs w:val="21"/>
              </w:rPr>
              <w:t>Targets approximately 80% recall; prioritizes not missing true cleft cases</w:t>
            </w:r>
          </w:p>
        </w:tc>
      </w:tr>
      <w:tr w:rsidR="00BE5E20" w14:paraId="2C3517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3136D6" w14:textId="77777777" w:rsidR="00BE5E20" w:rsidRDefault="00000000">
            <w:r>
              <w:rPr>
                <w:color w:val="333333"/>
                <w:sz w:val="21"/>
                <w:szCs w:val="21"/>
              </w:rPr>
              <w:t>Leakage-safe model result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115D4C" w14:textId="77777777" w:rsidR="00BE5E20" w:rsidRDefault="00000000">
            <w:r>
              <w:rPr>
                <w:color w:val="333333"/>
                <w:sz w:val="21"/>
                <w:szCs w:val="21"/>
              </w:rPr>
              <w:t>Comparable performance using only pre-birth features; suitable for deployment</w:t>
            </w:r>
          </w:p>
        </w:tc>
      </w:tr>
      <w:tr w:rsidR="00BE5E20" w14:paraId="37CF61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0BC91E7C" w14:textId="77777777" w:rsidR="00BE5E20" w:rsidRDefault="00000000">
            <w:r>
              <w:rPr>
                <w:color w:val="333333"/>
                <w:sz w:val="21"/>
                <w:szCs w:val="21"/>
              </w:rPr>
              <w:t>Top SHAP predictors</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100" w:type="dxa"/>
              <w:left w:w="160" w:type="dxa"/>
              <w:bottom w:w="100" w:type="dxa"/>
              <w:right w:w="160" w:type="dxa"/>
            </w:tcMar>
          </w:tcPr>
          <w:p w14:paraId="3DA32BAD" w14:textId="77777777" w:rsidR="00BE5E20" w:rsidRDefault="00000000">
            <w:r>
              <w:rPr>
                <w:color w:val="333333"/>
                <w:sz w:val="21"/>
                <w:szCs w:val="21"/>
              </w:rPr>
              <w:t>Maternal age group, tobacco use, WIC status, prenatal care timing, race/Hispanic origin</w:t>
            </w:r>
          </w:p>
        </w:tc>
      </w:tr>
      <w:tr w:rsidR="00BE5E20" w14:paraId="42253C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D34A3E" w14:textId="77777777" w:rsidR="00BE5E20" w:rsidRDefault="00000000">
            <w:r>
              <w:rPr>
                <w:color w:val="333333"/>
                <w:sz w:val="21"/>
                <w:szCs w:val="21"/>
              </w:rPr>
              <w:t>Class imbalance approach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D3EC84" w14:textId="77777777" w:rsidR="00BE5E20" w:rsidRDefault="00000000">
            <w:r>
              <w:rPr>
                <w:color w:val="333333"/>
                <w:sz w:val="21"/>
                <w:szCs w:val="21"/>
              </w:rPr>
              <w:t>Balanced class weights, stratified splits, and threshold optimization</w:t>
            </w:r>
          </w:p>
        </w:tc>
      </w:tr>
    </w:tbl>
    <w:p w14:paraId="297E809E" w14:textId="77777777" w:rsidR="00BE5E20" w:rsidRDefault="00BE5E20">
      <w:pPr>
        <w:spacing w:before="60" w:after="60"/>
      </w:pPr>
    </w:p>
    <w:p w14:paraId="7518ED76" w14:textId="77777777" w:rsidR="00BE5E20" w:rsidRDefault="00000000">
      <w:pPr>
        <w:spacing w:before="80" w:after="140" w:line="276" w:lineRule="auto"/>
      </w:pPr>
      <w:r>
        <w:rPr>
          <w:color w:val="222222"/>
        </w:rPr>
        <w:t>A consistent and important finding across all models is that raw accuracy is a deeply misleading metric for this problem. Because non-cases account for over 99.8% of births, a model that simply predicts everyone as negative achieves over 99% accuracy while identifying zero actual cleft cases. The appropriate metrics for this task are PR-AUC, recall, and F1. The specific threshold applied at inference time must be driven by the cost asymmetry of the deployment context: for broad screening, missing a case carries higher costs than a false positive; for resource-intensive clinical referral pathways, precision becomes more important.</w:t>
      </w:r>
    </w:p>
    <w:p w14:paraId="585AAD52" w14:textId="77777777" w:rsidR="00BE5E20" w:rsidRDefault="00BE5E20">
      <w:pPr>
        <w:spacing w:before="60" w:after="60"/>
      </w:pPr>
    </w:p>
    <w:p w14:paraId="29B7FA88" w14:textId="77777777" w:rsidR="00BE5E20" w:rsidRDefault="00000000">
      <w:pPr>
        <w:spacing w:before="80" w:after="140" w:line="276" w:lineRule="auto"/>
      </w:pPr>
      <w:r>
        <w:rPr>
          <w:color w:val="222222"/>
        </w:rPr>
        <w:t xml:space="preserve">The leakage-safe model's performance being comparable to the full model is a particularly meaningful finding. It demonstrates that the predictive signal in this dataset is not dependent on post-birth clinical measurements. The risk profile of </w:t>
      </w:r>
      <w:proofErr w:type="gramStart"/>
      <w:r>
        <w:rPr>
          <w:color w:val="222222"/>
        </w:rPr>
        <w:t>a birth</w:t>
      </w:r>
      <w:proofErr w:type="gramEnd"/>
      <w:r>
        <w:rPr>
          <w:color w:val="222222"/>
        </w:rPr>
        <w:t xml:space="preserve"> can be meaningfully estimated from information that is available before or </w:t>
      </w:r>
      <w:proofErr w:type="gramStart"/>
      <w:r>
        <w:rPr>
          <w:color w:val="222222"/>
        </w:rPr>
        <w:t>at the moment</w:t>
      </w:r>
      <w:proofErr w:type="gramEnd"/>
      <w:r>
        <w:rPr>
          <w:color w:val="222222"/>
        </w:rPr>
        <w:t xml:space="preserve"> of delivery, which is precisely when early intervention and resource preparation are most impactful.</w:t>
      </w:r>
    </w:p>
    <w:p w14:paraId="121301C9" w14:textId="77777777" w:rsidR="00BE5E20" w:rsidRDefault="00BE5E2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E20" w14:paraId="7936C6C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60" w:type="dxa"/>
              <w:left w:w="200" w:type="dxa"/>
              <w:bottom w:w="160" w:type="dxa"/>
              <w:right w:w="200" w:type="dxa"/>
            </w:tcMar>
          </w:tcPr>
          <w:p w14:paraId="7E382F58" w14:textId="77777777" w:rsidR="00BE5E20" w:rsidRDefault="00000000">
            <w:pPr>
              <w:spacing w:after="80"/>
            </w:pPr>
            <w:r>
              <w:rPr>
                <w:b/>
                <w:bCs/>
                <w:color w:val="1F4E79"/>
              </w:rPr>
              <w:t>Bottom line for non-technical stakeholders:</w:t>
            </w:r>
          </w:p>
          <w:p w14:paraId="4C7D2D11" w14:textId="77777777" w:rsidR="00BE5E20" w:rsidRDefault="00000000">
            <w:r>
              <w:rPr>
                <w:color w:val="222222"/>
              </w:rPr>
              <w:t>Publicly available U.S. birth certificate data already contains meaningful predictive signal for identifying births at elevated risk of cleft conditions, with no new data collection required. The models built here are not a clinical diagnosis tool. They represent a viable foundation for a risk-stratification layer that could be embedded in existing maternal health workflows to improve preparedness, resource allocation, and health equity outcomes.</w:t>
            </w:r>
          </w:p>
        </w:tc>
      </w:tr>
    </w:tbl>
    <w:p w14:paraId="4575C0AD" w14:textId="77777777" w:rsidR="00BE5E20" w:rsidRDefault="00BE5E20">
      <w:pPr>
        <w:spacing w:before="60" w:after="60"/>
      </w:pPr>
    </w:p>
    <w:p w14:paraId="516D7FCB" w14:textId="77777777" w:rsidR="00BE5E20" w:rsidRDefault="00000000">
      <w:pPr>
        <w:pBdr>
          <w:top w:val="single" w:sz="4" w:space="6" w:color="CCCCCC"/>
        </w:pBdr>
        <w:spacing w:before="480"/>
        <w:jc w:val="right"/>
      </w:pPr>
      <w:r>
        <w:rPr>
          <w:i/>
          <w:iCs/>
          <w:color w:val="595959"/>
          <w:sz w:val="18"/>
          <w:szCs w:val="18"/>
        </w:rPr>
        <w:t xml:space="preserve">Data Source: NCHS National Natality Public-Use File, </w:t>
      </w:r>
      <w:proofErr w:type="gramStart"/>
      <w:r>
        <w:rPr>
          <w:i/>
          <w:iCs/>
          <w:color w:val="595959"/>
          <w:sz w:val="18"/>
          <w:szCs w:val="18"/>
        </w:rPr>
        <w:t>2024  |</w:t>
      </w:r>
      <w:proofErr w:type="gramEnd"/>
      <w:r>
        <w:rPr>
          <w:i/>
          <w:iCs/>
          <w:color w:val="595959"/>
          <w:sz w:val="18"/>
          <w:szCs w:val="18"/>
        </w:rPr>
        <w:t xml:space="preserve">  Analysis: Predictive Analytics Project</w:t>
      </w:r>
    </w:p>
    <w:sectPr w:rsidR="00BE5E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526B"/>
    <w:multiLevelType w:val="hybridMultilevel"/>
    <w:tmpl w:val="1BDE8318"/>
    <w:lvl w:ilvl="0" w:tplc="AC1A08CA">
      <w:start w:val="1"/>
      <w:numFmt w:val="bullet"/>
      <w:lvlText w:val="●"/>
      <w:lvlJc w:val="left"/>
      <w:pPr>
        <w:ind w:left="720" w:hanging="360"/>
      </w:pPr>
    </w:lvl>
    <w:lvl w:ilvl="1" w:tplc="A77EFEC6">
      <w:start w:val="1"/>
      <w:numFmt w:val="bullet"/>
      <w:lvlText w:val="○"/>
      <w:lvlJc w:val="left"/>
      <w:pPr>
        <w:ind w:left="1440" w:hanging="360"/>
      </w:pPr>
    </w:lvl>
    <w:lvl w:ilvl="2" w:tplc="7C80D0FE">
      <w:start w:val="1"/>
      <w:numFmt w:val="bullet"/>
      <w:lvlText w:val="■"/>
      <w:lvlJc w:val="left"/>
      <w:pPr>
        <w:ind w:left="2160" w:hanging="360"/>
      </w:pPr>
    </w:lvl>
    <w:lvl w:ilvl="3" w:tplc="3E907214">
      <w:start w:val="1"/>
      <w:numFmt w:val="bullet"/>
      <w:lvlText w:val="●"/>
      <w:lvlJc w:val="left"/>
      <w:pPr>
        <w:ind w:left="2880" w:hanging="360"/>
      </w:pPr>
    </w:lvl>
    <w:lvl w:ilvl="4" w:tplc="F44821FA">
      <w:start w:val="1"/>
      <w:numFmt w:val="bullet"/>
      <w:lvlText w:val="○"/>
      <w:lvlJc w:val="left"/>
      <w:pPr>
        <w:ind w:left="3600" w:hanging="360"/>
      </w:pPr>
    </w:lvl>
    <w:lvl w:ilvl="5" w:tplc="E8908482">
      <w:start w:val="1"/>
      <w:numFmt w:val="bullet"/>
      <w:lvlText w:val="■"/>
      <w:lvlJc w:val="left"/>
      <w:pPr>
        <w:ind w:left="4320" w:hanging="360"/>
      </w:pPr>
    </w:lvl>
    <w:lvl w:ilvl="6" w:tplc="199CE078">
      <w:start w:val="1"/>
      <w:numFmt w:val="bullet"/>
      <w:lvlText w:val="●"/>
      <w:lvlJc w:val="left"/>
      <w:pPr>
        <w:ind w:left="5040" w:hanging="360"/>
      </w:pPr>
    </w:lvl>
    <w:lvl w:ilvl="7" w:tplc="151E77FC">
      <w:start w:val="1"/>
      <w:numFmt w:val="bullet"/>
      <w:lvlText w:val="●"/>
      <w:lvlJc w:val="left"/>
      <w:pPr>
        <w:ind w:left="5760" w:hanging="360"/>
      </w:pPr>
    </w:lvl>
    <w:lvl w:ilvl="8" w:tplc="7A1ACB32">
      <w:start w:val="1"/>
      <w:numFmt w:val="bullet"/>
      <w:lvlText w:val="●"/>
      <w:lvlJc w:val="left"/>
      <w:pPr>
        <w:ind w:left="6480" w:hanging="360"/>
      </w:pPr>
    </w:lvl>
  </w:abstractNum>
  <w:abstractNum w:abstractNumId="1" w15:restartNumberingAfterBreak="0">
    <w:nsid w:val="49C54575"/>
    <w:multiLevelType w:val="hybridMultilevel"/>
    <w:tmpl w:val="99362178"/>
    <w:lvl w:ilvl="0" w:tplc="41BAE1DE">
      <w:start w:val="1"/>
      <w:numFmt w:val="bullet"/>
      <w:lvlText w:val="•"/>
      <w:lvlJc w:val="left"/>
      <w:pPr>
        <w:ind w:left="720" w:hanging="360"/>
      </w:pPr>
    </w:lvl>
    <w:lvl w:ilvl="1" w:tplc="C00883DE">
      <w:numFmt w:val="decimal"/>
      <w:lvlText w:val=""/>
      <w:lvlJc w:val="left"/>
    </w:lvl>
    <w:lvl w:ilvl="2" w:tplc="4FA60E0E">
      <w:numFmt w:val="decimal"/>
      <w:lvlText w:val=""/>
      <w:lvlJc w:val="left"/>
    </w:lvl>
    <w:lvl w:ilvl="3" w:tplc="95B832D8">
      <w:numFmt w:val="decimal"/>
      <w:lvlText w:val=""/>
      <w:lvlJc w:val="left"/>
    </w:lvl>
    <w:lvl w:ilvl="4" w:tplc="E23EEB06">
      <w:numFmt w:val="decimal"/>
      <w:lvlText w:val=""/>
      <w:lvlJc w:val="left"/>
    </w:lvl>
    <w:lvl w:ilvl="5" w:tplc="CAA6BA5E">
      <w:numFmt w:val="decimal"/>
      <w:lvlText w:val=""/>
      <w:lvlJc w:val="left"/>
    </w:lvl>
    <w:lvl w:ilvl="6" w:tplc="50C6285A">
      <w:numFmt w:val="decimal"/>
      <w:lvlText w:val=""/>
      <w:lvlJc w:val="left"/>
    </w:lvl>
    <w:lvl w:ilvl="7" w:tplc="7FE04790">
      <w:numFmt w:val="decimal"/>
      <w:lvlText w:val=""/>
      <w:lvlJc w:val="left"/>
    </w:lvl>
    <w:lvl w:ilvl="8" w:tplc="D9EE2F56">
      <w:numFmt w:val="decimal"/>
      <w:lvlText w:val=""/>
      <w:lvlJc w:val="left"/>
    </w:lvl>
  </w:abstractNum>
  <w:num w:numId="1" w16cid:durableId="676536535">
    <w:abstractNumId w:val="0"/>
    <w:lvlOverride w:ilvl="0">
      <w:startOverride w:val="1"/>
    </w:lvlOverride>
  </w:num>
  <w:num w:numId="2" w16cid:durableId="1914045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20"/>
    <w:rsid w:val="00147C04"/>
    <w:rsid w:val="001F3357"/>
    <w:rsid w:val="00BE5E20"/>
    <w:rsid w:val="00E616CB"/>
    <w:rsid w:val="00E74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8E61"/>
  <w15:docId w15:val="{BAC43EE3-6FE2-405B-ABE2-03F0F7417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14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5</Pages>
  <Words>1793</Words>
  <Characters>10729</Characters>
  <Application>Microsoft Office Word</Application>
  <DocSecurity>0</DocSecurity>
  <Lines>206</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Mirell Uribe Márquez</cp:lastModifiedBy>
  <cp:revision>3</cp:revision>
  <dcterms:created xsi:type="dcterms:W3CDTF">2026-03-09T04:31:00Z</dcterms:created>
  <dcterms:modified xsi:type="dcterms:W3CDTF">2026-03-09T04:32:00Z</dcterms:modified>
</cp:coreProperties>
</file>