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i w:val="0"/>
          <w:sz w:val="32"/>
        </w:rPr>
        <w:t>nature-review-loop — review</w:t>
      </w:r>
    </w:p>
    <w:p>
      <w:pPr>
        <w:spacing w:line="276" w:lineRule="auto"/>
      </w:pPr>
      <w:r>
        <w:rPr>
          <w:rFonts w:ascii="Microsoft YaHei" w:hAnsi="Microsoft YaHei"/>
          <w:b w:val="0"/>
          <w:i/>
          <w:sz w:val="20"/>
        </w:rPr>
        <w:t>Case: review_tpm_manuscript_20260714</w:t>
      </w:r>
    </w:p>
    <w:p>
      <w:r>
        <w:rPr>
          <w:rFonts w:ascii="Microsoft YaHei" w:hAnsi="Microsoft YaHei"/>
          <w:b/>
          <w:i w:val="0"/>
          <w:sz w:val="26"/>
        </w:rPr>
        <w:t>编辑信 — 修订程度: Major revision</w:t>
      </w:r>
    </w:p>
    <w:p>
      <w:pPr>
        <w:spacing w:line="276" w:lineRule="auto"/>
      </w:pPr>
      <w:r>
        <w:rPr>
          <w:rFonts w:ascii="Microsoft YaHei" w:hAnsi="Microsoft YaHei"/>
          <w:b w:val="0"/>
          <w:i w:val="0"/>
          <w:sz w:val="21"/>
        </w:rPr>
        <w:t>本文针对儿童 T-ALL 中 CNS 浸润问题，基于 TARGET 队列 RNA-seq 与体外共培养/敲低实验，提出 SKAP1 介导的 inside-out signaling 与 CNS 受累相关。该研究在临床问题层面具有较高价值，队列规模合理（180 例骨髓样本），并整合了细胞系功能实验；然而，核心结论（inside-out signaling 在 CNS 浸润 T-ALL 中被劫持/激活）在机制因果链路上仍存在多处关键缺口，需要在补充实验与统计严谨性方面进行较大修订后再考虑。</w:t>
      </w:r>
    </w:p>
    <w:p>
      <w:pPr>
        <w:spacing w:line="276" w:lineRule="auto"/>
      </w:pPr>
      <w:r>
        <w:rPr>
          <w:rFonts w:ascii="Microsoft YaHei" w:hAnsi="Microsoft YaHei"/>
          <w:b w:val="0"/>
          <w:i w:val="0"/>
          <w:sz w:val="21"/>
        </w:rPr>
        <w:t>主要问题集中在三方面：（1）样本来源以骨髓替代 CSF，但作者未充分量化骨髓与 CNS 病灶转录组的可比性，也未对 CNS2（n=37）这一灰区人群做敏感性分析，使得 CNS3/CNS-relapse 的对照基础不稳；（2）统计推断在多重比较校正、效应量与 n=10/13 的小样本稳健性方面报告不充分，部分核心结论（如 SKAP1 在 CNS3 vs CNS1 中未达显著）与论文强调的意义存在张力；（3）机制证据停留在转录组相关性 + 单一敲低表型，缺少 rescue、orthogonal 阻断（LFA1/ICAM1 中和抗体、配体阻断）及体内或类体内模型，使得 inside-out signaling 被劫持这一因果主张难以支持。</w:t>
      </w:r>
    </w:p>
    <w:p>
      <w:pPr>
        <w:spacing w:line="276" w:lineRule="auto"/>
      </w:pPr>
      <w:r>
        <w:rPr>
          <w:rFonts w:ascii="Microsoft YaHei" w:hAnsi="Microsoft YaHei"/>
          <w:b w:val="0"/>
          <w:i w:val="0"/>
          <w:sz w:val="21"/>
        </w:rPr>
        <w:t>次要问题包括：图注与正文中的样本量表述需统一（SF 与 Fig 数字偶有差异）、MOLT16 在 SKAP1 敲低中被排除的理由应更充分、CNS relapse（n=13）与 BM relapse（n=5）的混杂需明确处理、补充图表需在正文引用并独立可读。数据/代码可及性方面，TARGET 数据虽公开，但分析 pipeline、EnrichR/ORA 脚本与敲低原始计数未声明，影响复现。综上，建议进行 Major revision。</w:t>
      </w:r>
    </w:p>
    <w:p>
      <w:r>
        <w:rPr>
          <w:rFonts w:ascii="Microsoft YaHei" w:hAnsi="Microsoft YaHei"/>
          <w:b/>
          <w:i w:val="0"/>
          <w:sz w:val="26"/>
        </w:rPr>
        <w:t>审稿人 1 — Mechanism Reviewer</w:t>
      </w:r>
    </w:p>
    <w:p>
      <w:pPr>
        <w:spacing w:line="276" w:lineRule="auto"/>
      </w:pPr>
      <w:r>
        <w:rPr>
          <w:rFonts w:ascii="Microsoft YaHei" w:hAnsi="Microsoft YaHei"/>
          <w:b w:val="0"/>
          <w:i w:val="0"/>
          <w:sz w:val="21"/>
        </w:rPr>
        <w:t>总体点评. 本文围绕 SKAP1 与 TCR 介导的 inside-out signaling 在 CNS 浸润 T-ALL 中的角色展开。整体思路连贯，数据呈现了相关性证据（SKAP1 在 CNS3/CNS relapse 升高、SKAP1-ICAM2/NFATC1 关联、SKAP1 敲低致增殖/活性下降），但关键机制因果链未闭合：既无 rescue 实验，也未对 LFA1/ICAM1 这一中心相互作用进行功能阻断，导致 inside-out signaling 被劫持这一标题性主张停留在相关性层面。共培养 + MTX 模型虽新颖但解读过度，需要进一步功能验证。</w:t>
      </w:r>
    </w:p>
    <w:p>
      <w:pPr>
        <w:spacing w:line="276" w:lineRule="auto"/>
      </w:pPr>
      <w:r>
        <w:rPr>
          <w:rFonts w:ascii="Microsoft YaHei" w:hAnsi="Microsoft YaHei"/>
          <w:b/>
          <w:i w:val="0"/>
          <w:sz w:val="22"/>
        </w:rPr>
        <w:t>主要问题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机制因果链未闭合——缺少 rescue 与正交阻断 — </w:t>
      </w:r>
      <w:r>
        <w:rPr>
          <w:rFonts w:ascii="Microsoft YaHei" w:hAnsi="Microsoft YaHei"/>
          <w:b w:val="0"/>
          <w:i w:val="0"/>
          <w:sz w:val="21"/>
        </w:rPr>
        <w:t>论文以 SKAP1 在 CNS3 与 CNS relapse 样本中升高、敲低后增殖/活性下降为核心机制证据，但仅依赖 shRNA knockdown 表型无法排除脱靶或代偿通路；亦未在 SKAP1 敲低后通过回补野生型/功能缺失突变体进行 rescue。更为关键的是，LFA1-ICAM1 是 inside-out signaling 的功能输出端，但通篇未见 ICAM1 中和抗体、ICAM1-Fc 阻断或小分子 LFA1 拮抗剂（如 BIRT377、lovastatin 拉链阻断）等正交阻断实验，使得通路被激活并驱动迁移/黏附这一因果陈述缺乏支持。建议在 SUP-T1/KARPAS45 中至少完成一组 rescue 与一组 ICAM1 阻断，并在共培养模型中测定黏附率。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TCR 表面表达异质性与 SKAP1 通路活化的关系未澄清 — </w:t>
      </w:r>
      <w:r>
        <w:rPr>
          <w:rFonts w:ascii="Microsoft YaHei" w:hAnsi="Microsoft YaHei"/>
          <w:b w:val="0"/>
          <w:i w:val="0"/>
          <w:sz w:val="21"/>
        </w:rPr>
        <w:t>作者在讨论中承认 T-ALL 起源于不同胸腺发育阶段，部分亚型表面 TCR 缺失，而 SKAP1 在 CNS3/CNS relapse 中升高被解读为 TCR 不依赖的 inside-out 通路激活。但正文未报告不同亚型（早 T 前体 vs cortical vs mature）中 SKAP1 的分布，亦未通过 anti-CD3 刺激或表面 TCR 流式分层，验证 SKAP1 升高是否仍依赖 TCR 信号。需要补充亚型分层或直接证明 SKAP1 上游活化事件（如 RAP1-GTP 水平），否则通路被劫持的具体节点含糊不清。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CNS 浸润的功能等价性未被实验验证 — </w:t>
      </w:r>
      <w:r>
        <w:rPr>
          <w:rFonts w:ascii="Microsoft YaHei" w:hAnsi="Microsoft YaHei"/>
          <w:b w:val="0"/>
          <w:i w:val="0"/>
          <w:sz w:val="21"/>
        </w:rPr>
        <w:t>研究将 BM 样本的转录组特征等同于 CNS 浸润的分子指征，但未在体内或类体内模型中证明这些转录组差异与 CNS 浸润能力的因果关系。共培养使用 HMC 模拟 meninges 提供了 niche 相互作用证据，但目前仅检测转录本，未测定 trans-well 迁移、跨 HMC 单层侵袭率，以及 SKAP1 敲低后迁移表型变化。建议增加 trans-endothelial/trans-meningeal 迁移实验，直接关联 SKAP1 与迁移这一中心表型。</w:t>
      </w:r>
    </w:p>
    <w:p>
      <w:pPr>
        <w:spacing w:line="276" w:lineRule="auto"/>
      </w:pPr>
      <w:r>
        <w:rPr>
          <w:rFonts w:ascii="Microsoft YaHei" w:hAnsi="Microsoft YaHei"/>
          <w:b/>
          <w:i w:val="0"/>
          <w:sz w:val="22"/>
        </w:rPr>
        <w:t>次要问题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SKAP1 与细胞周期/CCNB1 的连接属推测 — </w:t>
      </w:r>
      <w:r>
        <w:rPr>
          <w:rFonts w:ascii="Microsoft YaHei" w:hAnsi="Microsoft YaHei"/>
          <w:b w:val="0"/>
          <w:i w:val="0"/>
          <w:sz w:val="21"/>
        </w:rPr>
        <w:t>Discussion 提出 SKAP1 经 PLK1 影响 G2/M，但未提供 PLK1 表达/磷酸化数据。建议在 knock-down 后补充 PLK1、p-PLK1 与 cyclin B1 蛋白水平，或将该机制论断降级为可能的解释，以避免过度推论。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ICAM2 在 knock-down 后升高，与其抑癌定位的张力未解释 — </w:t>
      </w:r>
      <w:r>
        <w:rPr>
          <w:rFonts w:ascii="Microsoft YaHei" w:hAnsi="Microsoft YaHei"/>
          <w:b w:val="0"/>
          <w:i w:val="0"/>
          <w:sz w:val="21"/>
        </w:rPr>
        <w:t>Fig 4G 显示 SKAP1 knock-down 后 ICAM2 上调，Discussion 同时引述 ICAM2 在 T-ALL 中抑癌与在三阴乳腺癌中促跨 CSF 屏障迁移两篇相反文献。该二相性应被显式讨论，而非合并描述，以免读者对 ICAM2 角色误读。</w:t>
      </w:r>
    </w:p>
    <w:p>
      <w:pPr>
        <w:spacing w:line="276" w:lineRule="auto"/>
      </w:pPr>
      <w:r>
        <w:rPr>
          <w:rFonts w:ascii="Microsoft YaHei" w:hAnsi="Microsoft YaHei"/>
          <w:b w:val="0"/>
          <w:i/>
          <w:sz w:val="21"/>
        </w:rPr>
        <w:t>置信度: medium.</w:t>
      </w:r>
    </w:p>
    <w:p>
      <w:r>
        <w:rPr>
          <w:rFonts w:ascii="Microsoft YaHei" w:hAnsi="Microsoft YaHei"/>
          <w:b/>
          <w:i w:val="0"/>
          <w:sz w:val="26"/>
        </w:rPr>
        <w:t>审稿人 2 — Statistical Reviewer</w:t>
      </w:r>
    </w:p>
    <w:p>
      <w:pPr>
        <w:spacing w:line="276" w:lineRule="auto"/>
      </w:pPr>
      <w:r>
        <w:rPr>
          <w:rFonts w:ascii="Microsoft YaHei" w:hAnsi="Microsoft YaHei"/>
          <w:b w:val="0"/>
          <w:i w:val="0"/>
          <w:sz w:val="21"/>
        </w:rPr>
        <w:t>总体点评. 分析使用了 TPM 归一化、EnrichR/clusterProfiler 富集、Pearson 相关与 t-test/ANOVA 等常规流程，但在多重比较校正、效应量报告与小样本稳健性方面存在系统性的报告缺失。核心比较组（CNS3 n=10、CNS relapse n=13）样本量很小，任何不做敏感性分析或 bootstrap 置信区间的结论都应当被审慎对待。</w:t>
      </w:r>
    </w:p>
    <w:p>
      <w:pPr>
        <w:spacing w:line="276" w:lineRule="auto"/>
      </w:pPr>
      <w:r>
        <w:rPr>
          <w:rFonts w:ascii="Microsoft YaHei" w:hAnsi="Microsoft YaHei"/>
          <w:b/>
          <w:i w:val="0"/>
          <w:sz w:val="22"/>
        </w:rPr>
        <w:t>主要问题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多重比较校正策略不一致且未充分披露 — </w:t>
      </w:r>
      <w:r>
        <w:rPr>
          <w:rFonts w:ascii="Microsoft YaHei" w:hAnsi="Microsoft YaHei"/>
          <w:b w:val="0"/>
          <w:i w:val="0"/>
          <w:sz w:val="21"/>
        </w:rPr>
        <w:t>正文中部分比较（图 1G-H、图 3C-E、图 4G 等）使用 Holm-Šídák 或 Dunnett，部分（图 2C、图 3F-G、补充图）只使用 unpaired t-test。EnrichR 富集（图 1F、图 2A）仅显示 nominal p-value 而无 FDR，未说明是否对多次数据库查询做了校正。建议统一报告策略：对全转录组 ~20k 基因水平给出 BH-FDR；对所选通路与 RT-qPCR 比较注明是否做了基因水平 FDR，并把 adjusted p 与 raw p 同时呈现。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小样本（CNS3 n=10、CNS relapse n=13）的稳健性未评估 — </w:t>
      </w:r>
      <w:r>
        <w:rPr>
          <w:rFonts w:ascii="Microsoft YaHei" w:hAnsi="Microsoft YaHei"/>
          <w:b w:val="0"/>
          <w:i w:val="0"/>
          <w:sz w:val="21"/>
        </w:rPr>
        <w:t>t-test 在 n=10/13 与 TPM 数据（常非正态、含离群值）下的可靠性有限。建议（1）提供 Shapiro-Wilk 正态性结果或直接采用非参数 Mann-Whitney；（2）给出 Hedges’ g 或 rank-biserial 效应量；（3）leave-one-out 敏感性分析，确认 SKAP1、HINT2、COL9A3、MMP11 等关键基因的差异不由单一样本驱动；（4）考虑到 BM relapse n=5，讨论中将其作为对照时必须谨慎，因为统计功效不足以支撑特异性论断。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CNS2（n=37）灰区未被纳入敏感性分析 — </w:t>
      </w:r>
      <w:r>
        <w:rPr>
          <w:rFonts w:ascii="Microsoft YaHei" w:hAnsi="Microsoft YaHei"/>
          <w:b w:val="0"/>
          <w:i w:val="0"/>
          <w:sz w:val="21"/>
        </w:rPr>
        <w:t>CNS1/CNS2/CNS3 是临床浸润程度递增的三分类，作者仅在 CNS3 vs CNS1、CNS relapse vs CNS1 上做主要比较。CNS2 在论文中存在（图 1A、SF1A），但未在任何主结果中展示。建议把 CNS2 作为中间梯度纳入火山图/热图，并检验 SKAP1 等关键基因是否随 CNS 分级呈剂量-反应关系，既增强说服力，也回应是否存在阈值效应的潜在问题。</w:t>
      </w:r>
    </w:p>
    <w:p>
      <w:pPr>
        <w:spacing w:line="276" w:lineRule="auto"/>
      </w:pPr>
      <w:r>
        <w:rPr>
          <w:rFonts w:ascii="Microsoft YaHei" w:hAnsi="Microsoft YaHei"/>
          <w:b/>
          <w:i w:val="0"/>
          <w:sz w:val="22"/>
        </w:rPr>
        <w:t>次要问题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Pearson 相关在 TPM 数据上的适用性需声明 — </w:t>
      </w:r>
      <w:r>
        <w:rPr>
          <w:rFonts w:ascii="Microsoft YaHei" w:hAnsi="Microsoft YaHei"/>
          <w:b w:val="0"/>
          <w:i w:val="0"/>
          <w:sz w:val="21"/>
        </w:rPr>
        <w:t>TPM 右偏分布常违反 Pearson 假设；补充说明或并行报告 Spearman，有助于读者判断 Fig 2D 与 Fig 5C 中 R 值的稳健性。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n=1-4 per time-point 等小重复下的显著性解读 — </w:t>
      </w:r>
      <w:r>
        <w:rPr>
          <w:rFonts w:ascii="Microsoft YaHei" w:hAnsi="Microsoft YaHei"/>
          <w:b w:val="0"/>
          <w:i w:val="0"/>
          <w:sz w:val="21"/>
        </w:rPr>
        <w:t>Fig 4C/D 的 n 在不同时间点为 1-4，显著性 p 值（图例）应避免过度概括；建议在图注中显式说明每时间点 n，以及该 n 是否来自技术重复 vs 生物重复。</w:t>
      </w:r>
    </w:p>
    <w:p>
      <w:pPr>
        <w:spacing w:line="276" w:lineRule="auto"/>
      </w:pPr>
      <w:r>
        <w:rPr>
          <w:rFonts w:ascii="Microsoft YaHei" w:hAnsi="Microsoft YaHei"/>
          <w:b w:val="0"/>
          <w:i/>
          <w:sz w:val="21"/>
        </w:rPr>
        <w:t>置信度: medium.</w:t>
      </w:r>
    </w:p>
    <w:p>
      <w:r>
        <w:rPr>
          <w:rFonts w:ascii="Microsoft YaHei" w:hAnsi="Microsoft YaHei"/>
          <w:b/>
          <w:i w:val="0"/>
          <w:sz w:val="26"/>
        </w:rPr>
        <w:t>审稿人 3 — Reproducibility Reviewer</w:t>
      </w:r>
    </w:p>
    <w:p>
      <w:pPr>
        <w:spacing w:line="276" w:lineRule="auto"/>
      </w:pPr>
      <w:r>
        <w:rPr>
          <w:rFonts w:ascii="Microsoft YaHei" w:hAnsi="Microsoft YaHei"/>
          <w:b w:val="0"/>
          <w:i w:val="0"/>
          <w:sz w:val="21"/>
        </w:rPr>
        <w:t>总体点评. TARGET 队列数据公开，但本研究的自定义分析 pipeline、富集脚本与敲低原始数据未提供；共培养体系虽在先前论文中描述，但本研究所用具体参数（MOI、细胞比例、收样时序）与质控（黏附率、HMC 纯度）未充分披露。整体可复现性处于中等水平，建议补强。</w:t>
      </w:r>
    </w:p>
    <w:p>
      <w:pPr>
        <w:spacing w:line="276" w:lineRule="auto"/>
      </w:pPr>
      <w:r>
        <w:rPr>
          <w:rFonts w:ascii="Microsoft YaHei" w:hAnsi="Microsoft YaHei"/>
          <w:b/>
          <w:i w:val="0"/>
          <w:sz w:val="22"/>
        </w:rPr>
        <w:t>主要问题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分析 pipeline 与代码未共享 — </w:t>
      </w:r>
      <w:r>
        <w:rPr>
          <w:rFonts w:ascii="Microsoft YaHei" w:hAnsi="Microsoft YaHei"/>
          <w:b w:val="0"/>
          <w:i w:val="0"/>
          <w:sz w:val="21"/>
        </w:rPr>
        <w:t>正文与 Data Availability 仅说明 TARGET 数据可得，但未提供（1）从 .BAM 到 TPM 的具体参数与 SeqMonk 流水线版本；（2）R 脚本（EnrichR、clusterProfiler ORA、t-test 与绘图）及 sessionInfo；（3）所选基因列表/对比矩阵。建议在 Zenodo 或 GitHub 发布可执行仓库并附 DOI，在 Methods 与 Data Availability 中给出引用。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shRNA knock-down 实验的脱靶与效率控制不充分 — </w:t>
      </w:r>
      <w:r>
        <w:rPr>
          <w:rFonts w:ascii="Microsoft YaHei" w:hAnsi="Microsoft YaHei"/>
          <w:b w:val="0"/>
          <w:i w:val="0"/>
          <w:sz w:val="21"/>
        </w:rPr>
        <w:t>仅使用 OriGene TL309635V 单一套件中的 shRNA，且每细胞系 n=1 起始 + 2 技术重复，缺少独立 shRNA 序列或 CRISPR 验证。蛋白水平 knock-down 未报告（仅 RT-qPCR）。建议补充（1）至少 2 条独立 shRNA 或 CRISPRi；（2）SKAP1 蛋白印迹；（3）细胞系 STR 鉴定与支原体检测（在本研究范围内未提及）。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共培养体系关键参数与质控缺失 — </w:t>
      </w:r>
      <w:r>
        <w:rPr>
          <w:rFonts w:ascii="Microsoft YaHei" w:hAnsi="Microsoft YaHei"/>
          <w:b w:val="0"/>
          <w:i w:val="0"/>
          <w:sz w:val="21"/>
        </w:rPr>
        <w:t>正文给出 3:1 比例、24h/72h 时间点、2 μM MTX，但未报告（1）HMC 纯度与代数范围；（2）Transwell 与直接共培养区分；（3）非黏附 vs 黏附白血病细胞的分选纯度；（4）MTX 处理的细胞毒性窗口（2 μM 在 72h 是否引起非特异死亡）。这些参数是 MTX 引起 LFA1/ADAP1/NFATC1 下调结论可解释性的前提。</w:t>
      </w:r>
    </w:p>
    <w:p>
      <w:pPr>
        <w:spacing w:line="276" w:lineRule="auto"/>
      </w:pPr>
      <w:r>
        <w:rPr>
          <w:rFonts w:ascii="Microsoft YaHei" w:hAnsi="Microsoft YaHei"/>
          <w:b/>
          <w:i w:val="0"/>
          <w:sz w:val="22"/>
        </w:rPr>
        <w:t>次要问题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原代样本量 n=3 在 RT-qPCR 中以技术重复形式呈现 — </w:t>
      </w:r>
      <w:r>
        <w:rPr>
          <w:rFonts w:ascii="Microsoft YaHei" w:hAnsi="Microsoft YaHei"/>
          <w:b w:val="0"/>
          <w:i w:val="0"/>
          <w:sz w:val="21"/>
        </w:rPr>
        <w:t>Fig 3F-H 使用 n=3（CD34+ 与 CD34-），但未明确每例患者是否独立提供生物学重复，需在 Methods 与图注中区分生物 vs 技术重复。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试剂与细胞系来源细节充分但需统一表号 — </w:t>
      </w:r>
      <w:r>
        <w:rPr>
          <w:rFonts w:ascii="Microsoft YaHei" w:hAnsi="Microsoft YaHei"/>
          <w:b w:val="0"/>
          <w:i w:val="0"/>
          <w:sz w:val="21"/>
        </w:rPr>
        <w:t>Methods 中 ATCC/DMEM/IMDM/IM-HMC 信息完整，建议补充货号（如 SUP-T1 ATCC CRL-1942、CCL-119 ATCC CRL-2471 等），以便他人复购同一资源。</w:t>
      </w:r>
    </w:p>
    <w:p>
      <w:pPr>
        <w:spacing w:line="276" w:lineRule="auto"/>
      </w:pPr>
      <w:r>
        <w:rPr>
          <w:rFonts w:ascii="Microsoft YaHei" w:hAnsi="Microsoft YaHei"/>
          <w:b w:val="0"/>
          <w:i/>
          <w:sz w:val="21"/>
        </w:rPr>
        <w:t>置信度: medium.</w:t>
      </w:r>
    </w:p>
    <w:p>
      <w:r>
        <w:rPr>
          <w:rFonts w:ascii="Microsoft YaHei" w:hAnsi="Microsoft YaHei"/>
          <w:b/>
          <w:i w:val="0"/>
          <w:sz w:val="26"/>
        </w:rPr>
        <w:t>审稿人 4 — Figures &amp; Tables Reviewer</w:t>
      </w:r>
    </w:p>
    <w:p>
      <w:pPr>
        <w:spacing w:line="276" w:lineRule="auto"/>
      </w:pPr>
      <w:r>
        <w:rPr>
          <w:rFonts w:ascii="Microsoft YaHei" w:hAnsi="Microsoft YaHei"/>
          <w:b w:val="0"/>
          <w:i w:val="0"/>
          <w:sz w:val="21"/>
        </w:rPr>
        <w:t>总体点评. 整体图表结构清晰，5 张主图覆盖人群、转录组差异、共培养与敲低；但在样本量标注、统计图层与配色可读性（色盲友好）、轴标签一致性、补充图与正文交叉引用方面存在若干可改进之处。</w:t>
      </w:r>
    </w:p>
    <w:p>
      <w:pPr>
        <w:spacing w:line="276" w:lineRule="auto"/>
      </w:pPr>
      <w:r>
        <w:rPr>
          <w:rFonts w:ascii="Microsoft YaHei" w:hAnsi="Microsoft YaHei"/>
          <w:b/>
          <w:i w:val="0"/>
          <w:sz w:val="22"/>
        </w:rPr>
        <w:t>主要问题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样本量与检验方法在图注中存在不一致 — </w:t>
      </w:r>
      <w:r>
        <w:rPr>
          <w:rFonts w:ascii="Microsoft YaHei" w:hAnsi="Microsoft YaHei"/>
          <w:b w:val="0"/>
          <w:i w:val="0"/>
          <w:sz w:val="21"/>
        </w:rPr>
        <w:t>图注写 n=115/10/13，正文中部分位置写 n=15/10/13（图 1A、CNS1 应为 n=115 而非 15；图 3 比较 HSPCs 时 n=5）；Methods 也混用 162/18/180。需要在所有图注与正文中统一 n，避免读者在 CNS1 基线 n 上产生混淆。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图例与统计图层缺乏完整显示 — </w:t>
      </w:r>
      <w:r>
        <w:rPr>
          <w:rFonts w:ascii="Microsoft YaHei" w:hAnsi="Microsoft YaHei"/>
          <w:b w:val="0"/>
          <w:i w:val="0"/>
          <w:sz w:val="21"/>
        </w:rPr>
        <w:t>Fig 2D、Fig 5C 散点图直接打印 R 与 p，但未显示拟合线、95% CI 与样本量；Fig 4C/D 的误差棒定义（SEM/SD）与各时间点 n 未在图例中体现。建议按 Nature 风格补充完整统计图层，并在图注中显式注明 mean±SEM、n、检验方法。</w:t>
      </w:r>
    </w:p>
    <w:p>
      <w:pPr>
        <w:spacing w:line="276" w:lineRule="auto"/>
      </w:pPr>
      <w:r>
        <w:rPr>
          <w:rFonts w:ascii="Microsoft YaHei" w:hAnsi="Microsoft YaHei"/>
          <w:b/>
          <w:i w:val="0"/>
          <w:sz w:val="22"/>
        </w:rPr>
        <w:t>次要问题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配色对色盲友好性需评估 — </w:t>
      </w:r>
      <w:r>
        <w:rPr>
          <w:rFonts w:ascii="Microsoft YaHei" w:hAnsi="Microsoft YaHei"/>
          <w:b w:val="0"/>
          <w:i w:val="0"/>
          <w:sz w:val="21"/>
        </w:rPr>
        <w:t>Fig 4E-F 中 SUP-T1/KARPAS45/CCL-119 三色与 Fig 2D CNS3（蓝）/CNS relapse（紫）对比，建议补充色盲模拟检查（可通过 paletteer/viridis 系列），以保证 ≥8% 男性读者可分辨。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Supplementary Figure 与正文交叉引用需加强 — </w:t>
      </w:r>
      <w:r>
        <w:rPr>
          <w:rFonts w:ascii="Microsoft YaHei" w:hAnsi="Microsoft YaHei"/>
          <w:b w:val="0"/>
          <w:i w:val="0"/>
          <w:sz w:val="21"/>
        </w:rPr>
        <w:t>SF1-SF5 在正文多处以（Fig. 1A, SF1A）形式提及，但补充图本身未在主文档中独立列出图题；建议在补充材料首页附 Summary of Supplementary Figures，并在正文首次引用时给出补充图核心结论一句话。</w:t>
      </w:r>
    </w:p>
    <w:p>
      <w:pPr>
        <w:pStyle w:val="ListNumber"/>
        <w:spacing w:line="276" w:lineRule="auto"/>
      </w:pPr>
      <w:r>
        <w:rPr>
          <w:rFonts w:ascii="Microsoft YaHei" w:hAnsi="Microsoft YaHei"/>
          <w:b/>
          <w:i w:val="0"/>
          <w:sz w:val="21"/>
        </w:rPr>
        <w:t xml:space="preserve">Fig 5A 与 Fig 5B 的基因列表存在重叠不一致 — </w:t>
      </w:r>
      <w:r>
        <w:rPr>
          <w:rFonts w:ascii="Microsoft YaHei" w:hAnsi="Microsoft YaHei"/>
          <w:b w:val="0"/>
          <w:i w:val="0"/>
          <w:sz w:val="21"/>
        </w:rPr>
        <w:t>Fig 5A 显示 SKAP1/ICAM1/ALCAM/HINT2 在未处理共培养中的变化，Fig 5B 显示 LFA1/ADAP1/ICAM2/NFATC1/HINT2 在 MTX 处理后变化；两组没有完全一致的对照视野，不利于读者横向比较。建议把 SKAP1 与 ICAM1 同时纳入 MTX 处理的 5B，或额外给出合并图。</w:t>
      </w:r>
    </w:p>
    <w:p>
      <w:pPr>
        <w:spacing w:line="276" w:lineRule="auto"/>
      </w:pPr>
      <w:r>
        <w:rPr>
          <w:rFonts w:ascii="Microsoft YaHei" w:hAnsi="Microsoft YaHei"/>
          <w:b w:val="0"/>
          <w:i/>
          <w:sz w:val="21"/>
        </w:rPr>
        <w:t>置信度: high.</w:t>
      </w:r>
    </w:p>
    <w:p>
      <w:r>
        <w:rPr>
          <w:rFonts w:ascii="Microsoft YaHei" w:hAnsi="Microsoft YaHei"/>
          <w:b/>
          <w:i w:val="0"/>
          <w:sz w:val="26"/>
        </w:rPr>
        <w:t>跨审稿人共识</w:t>
      </w:r>
    </w:p>
    <w:p>
      <w:pPr>
        <w:spacing w:line="276" w:lineRule="auto"/>
      </w:pPr>
      <w:r>
        <w:rPr>
          <w:rFonts w:ascii="Microsoft YaHei" w:hAnsi="Microsoft YaHei"/>
          <w:b/>
          <w:i w:val="0"/>
          <w:sz w:val="22"/>
        </w:rPr>
        <w:t>Cc.1. 机制因果链未闭合——缺少 SKAP1 rescue、LFA1/ICAM1 正交阻断与跨内皮/跨脑膜迁移实验 | 提出者: Reviewer A, Reviewer C | 轴: mechanism-evidence | 严重程度: Major</w:t>
      </w:r>
    </w:p>
    <w:p>
      <w:pPr>
        <w:spacing w:line="276" w:lineRule="auto"/>
      </w:pPr>
      <w:r>
        <w:rPr>
          <w:rFonts w:ascii="Microsoft YaHei" w:hAnsi="Microsoft YaHei"/>
          <w:b w:val="0"/>
          <w:i w:val="0"/>
          <w:sz w:val="21"/>
        </w:rPr>
        <w:t>单靠 shRNA knock-down 得到的增殖/活性下降不能支撑 inside-out signaling 被劫持驱动 CNS 浸润的因果叙述；rescue 与正交阻断是此类论断的最低门槛。</w:t>
      </w:r>
    </w:p>
    <w:p>
      <w:pPr>
        <w:spacing w:line="276" w:lineRule="auto"/>
      </w:pPr>
      <w:r>
        <w:rPr>
          <w:rFonts w:ascii="Microsoft YaHei" w:hAnsi="Microsoft YaHei"/>
          <w:b/>
          <w:i w:val="0"/>
          <w:sz w:val="22"/>
        </w:rPr>
        <w:t>Cc.2. 统计多重比较与小样本稳健性报告不足（FDR、效应量、CNS2 剂量-反应） | 提出者: Reviewer B | 轴: statistical-rigor | 严重程度: Major</w:t>
      </w:r>
    </w:p>
    <w:p>
      <w:pPr>
        <w:spacing w:line="276" w:lineRule="auto"/>
      </w:pPr>
      <w:r>
        <w:rPr>
          <w:rFonts w:ascii="Microsoft YaHei" w:hAnsi="Microsoft YaHei"/>
          <w:b w:val="0"/>
          <w:i w:val="0"/>
          <w:sz w:val="21"/>
        </w:rPr>
        <w:t>CNS3 n=10、CNS relapse n=13 的小样本下，核心结论需补充 BH-FDR、Hedges’ g 与 leave-one-out 等稳健性证据，并纳入 CNS2 灰区分析。</w:t>
      </w:r>
    </w:p>
    <w:p>
      <w:pPr>
        <w:spacing w:line="276" w:lineRule="auto"/>
      </w:pPr>
      <w:r>
        <w:rPr>
          <w:rFonts w:ascii="Microsoft YaHei" w:hAnsi="Microsoft YaHei"/>
          <w:b/>
          <w:i w:val="0"/>
          <w:sz w:val="22"/>
        </w:rPr>
        <w:t>Cc.3. 可复现资源缺口（pipeline 代码、shRNA 独立序列、蛋白水平验证、共培养 QC） | 提出者: Reviewer C | 轴: reproducibility | 严重程度: Major</w:t>
      </w:r>
    </w:p>
    <w:p>
      <w:pPr>
        <w:spacing w:line="276" w:lineRule="auto"/>
      </w:pPr>
      <w:r>
        <w:rPr>
          <w:rFonts w:ascii="Microsoft YaHei" w:hAnsi="Microsoft YaHei"/>
          <w:b w:val="0"/>
          <w:i w:val="0"/>
          <w:sz w:val="21"/>
        </w:rPr>
        <w:t>TARGET 数据虽公开，但本研究自定义分析与关键功能实验需补充代码与正交试剂，否则他人难以复现。</w:t>
      </w:r>
    </w:p>
    <w:p>
      <w:pPr>
        <w:spacing w:line="276" w:lineRule="auto"/>
      </w:pPr>
      <w:r>
        <w:rPr>
          <w:rFonts w:ascii="Microsoft YaHei" w:hAnsi="Microsoft YaHei"/>
          <w:b/>
          <w:i w:val="0"/>
          <w:sz w:val="22"/>
        </w:rPr>
        <w:t>Cc.4. 样本量与图注一致性需统一（图 1A/M 的 n、统计图层缺失、补充图交叉引用） | 提出者: Reviewer D | 轴: figures-and-tables | 严重程度: Minor</w:t>
      </w:r>
    </w:p>
    <w:p>
      <w:pPr>
        <w:spacing w:line="276" w:lineRule="auto"/>
      </w:pPr>
      <w:r>
        <w:rPr>
          <w:rFonts w:ascii="Microsoft YaHei" w:hAnsi="Microsoft YaHei"/>
          <w:b w:val="0"/>
          <w:i w:val="0"/>
          <w:sz w:val="21"/>
        </w:rPr>
        <w:t>通过文本与图注校对即可解决，但需要逐图核对 n、误差棒定义、检验方法与色盲友好性。</w:t>
      </w:r>
    </w:p>
    <w:p>
      <w:r>
        <w:rPr>
          <w:rFonts w:ascii="Microsoft YaHei" w:hAnsi="Microsoft YaHei"/>
          <w:b/>
          <w:i w:val="0"/>
          <w:sz w:val="26"/>
        </w:rPr>
        <w:t>修订任务表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ID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Reviewer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Concern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Strategy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Input needed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Output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Blocks response?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T1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Reviewer A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机制因果链未闭合——rescue + LFA1/ICAM1 正交阻断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add_rescue_and_orthogonal_blockade_experiment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TODO_EXPERIMENT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SKAP1 WT/功能缺失回补质粒；ICAM1-Fc 或抗 ICAM1 中和抗体；LFA1 拮抗剂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Rescue 表型 + ICAM1 阻断下的迁移/黏附下降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T2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Reviewer A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TCR 表面表达异质性与 SKAP1 通路活化的关系未澄清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add_subtype_stratification_and_TCR_engagement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TODO_EXPERIMENT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原代 T-ALL 样本流式 anti-CD3 分层；RAP1-GTP pulldown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亚型分层 SKAP1 表；RAP1-GTP 在 CNS3 vs CNS1 差异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T3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Reviewer A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CNS 浸润的功能等价性未被实验验证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add_migration_and_invasion_assays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TODO_EXPERIMENT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Trans-meningeal/trans-endothelial 共培养体系；SKAP1 knock-down 后迁移率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迁移/侵袭倍数下降量化数据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T4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Reviewer B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多重比较校正策略不一致、未充分披露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add_multiple_testing_correction_reporting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TODO_ANALYSIS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差异基因全集；BH-FDR pipeline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全转录组 BH-FDR 表；统一校正策略声明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T5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Reviewer B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小样本稳健性未评估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add_robustness_and_effect_size_analysis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TODO_ANALYSIS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上述差异基因表；Hedges’ g 与留一法脚本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效应量表 + LOO 敏感性图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T6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Reviewer B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CNS2 灰区未被纳入敏感性分析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add_cns2_dose_response_analysis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TODO_ANALYSIS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CNS2 表达矩阵与分组表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CNS1/2/3 SKAP1 与 ECM 基因剂量-反应图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T7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Reviewer C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分析 pipeline 与代码未共享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add_code_and_pipeline_release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TODO_AUTHOR_CONFIRM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R/Snakemake 脚本；sessionInfo；Zenodo DOI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可执行仓库 + 引用信息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T8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Reviewer C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shRNA knock-down 脱靶与效率控制不充分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add_independent_reagents_and_protein_validation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TODO_EXPERIMENT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第二条独立 shRNA 或 CRISPRi；SKAP1 抗体；STR/支原体报告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第二条 shRNA 表型；SKAP1 蛋白印迹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T9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Reviewer C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共培养体系关键参数与质控缺失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add_coculture_qc_and_dose_response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TODO_EXPERIMENT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HMC STR/支原体；HMC 纯度流式；MTX 剂量-反应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共培养 QC 表 + MTX 剂量-反应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T10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Reviewer D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样本量与检验方法在图注中存在不一致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add_sample_size_consistency_check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TODO_TEXT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Fig 1A/Fig 3/Methods 的 n 校对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统一后的图注与正文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T11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Reviewer D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图例与统计图层缺乏完整显示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add_statistical_layer_in_figures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TODO_TEXT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Fig 2D/4C-F/5A-C 原始数据与拟合脚本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重制后的散点图与误差棒定义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/>
                <w:b w:val="0"/>
                <w:i w:val="0"/>
                <w:sz w:val="20"/>
              </w:rPr>
              <w:t>No</w:t>
            </w:r>
          </w:p>
        </w:tc>
      </w:tr>
    </w:tbl>
    <w:p>
      <w:r>
        <w:rPr>
          <w:rFonts w:ascii="Calibri" w:hAnsi="Calibri"/>
          <w:b w:val="0"/>
          <w:i/>
          <w:sz w:val="18"/>
        </w:rPr>
        <w:t>由 nature-review-loop 生成 · 2026-07-14 · review_tpm_manuscript_20260714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