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864"/>
          <w:sz w:val="42"/>
        </w:rPr>
        <w:t>SUSPENSION GEOMETRY — HARDPOINTS 2027</w:t>
      </w:r>
    </w:p>
    <w:p>
      <w:pPr>
        <w:spacing w:after="200"/>
      </w:pPr>
      <w:r>
        <w:rPr>
          <w:rFonts w:ascii="Calibri" w:hAnsi="Calibri"/>
          <w:color w:val="595959"/>
          <w:sz w:val="22"/>
        </w:rPr>
        <w:t>Double A-arm (SLA), front and rear  |  FSAE 2027 -- PUCPR Racing</w:t>
      </w:r>
    </w:p>
    <w:p>
      <w:pPr>
        <w:spacing w:before="60" w:after="120"/>
      </w:pPr>
      <w:r>
        <w:rPr>
          <w:rFonts w:ascii="Calibri" w:hAnsi="Calibri"/>
          <w:i/>
          <w:color w:val="595959"/>
          <w:sz w:val="18"/>
        </w:rPr>
        <w:t>Sign conventions: negative camber = top of the wheel inboard; toe-in positive; positive force = tension. Lengths in mm, angles in degrees unless stated. Two coordinate frames appear in this document and every table names the one it uses — see Provenance below.</w:t>
      </w:r>
    </w:p>
    <w:p>
      <w:pPr>
        <w:spacing w:before="60" w:after="120"/>
      </w:pPr>
      <w:r>
        <w:rPr>
          <w:rFonts w:ascii="Calibri" w:hAnsi="Calibri"/>
          <w:i w:val="0"/>
          <w:color w:val="595959"/>
          <w:sz w:val="18"/>
        </w:rPr>
        <w:t>Generated 2026-08-27 by scripts/build_summary_doc.py from sla_geometry.py and steering_geometry.py. Do not hand-edit: change the config in those scripts and re-run. This document supersedes "Hardpoints Suspensão 2027", whose rate tables predated the upright-rotation sign fix (commit 0e7e524) and whose force tables assumed a different weight distribution from its own roll-stiffness section.</w:t>
      </w:r>
    </w:p>
    <w:p>
      <w:pPr>
        <w:spacing w:before="320" w:after="100"/>
        <w:pBdr>
          <w:bottom w:val="single" w:sz="12" w:color="1F3864"/>
        </w:pBdr>
      </w:pPr>
      <w:r>
        <w:rPr>
          <w:rFonts w:ascii="Calibri" w:hAnsi="Calibri"/>
          <w:b/>
          <w:color w:val="1F3864"/>
          <w:sz w:val="28"/>
        </w:rPr>
        <w:t>0. Provenance and frames</w:t>
      </w:r>
    </w:p>
    <w:tbl>
      <w:tblPr>
        <w:tblStyle w:val="TableGrid"/>
        <w:tblW w:type="auto" w:w="0"/>
        <w:jc w:val="left"/>
        <w:tblLook w:firstColumn="1" w:firstRow="1" w:lastColumn="0" w:lastRow="0" w:noHBand="0" w:noVBand="1" w:val="04A0"/>
      </w:tblPr>
      <w:tblGrid>
        <w:gridCol w:w="4968"/>
        <w:gridCol w:w="4968"/>
      </w:tblGrid>
      <w:tr>
        <w:tc>
          <w:tcPr>
            <w:tcW w:type="dxa" w:w="6624"/>
            <w:shd w:val="clear" w:color="auto" w:fill="1F3864"/>
          </w:tcPr>
          <w:p>
            <w:pPr>
              <w:spacing w:before="40" w:after="40"/>
              <w:jc w:val="left"/>
            </w:pPr>
            <w:r/>
            <w:r>
              <w:rPr>
                <w:rFonts w:ascii="Calibri" w:hAnsi="Calibri"/>
                <w:b/>
                <w:color w:val="FFFFFF"/>
                <w:sz w:val="18"/>
              </w:rPr>
              <w:t>Content</w:t>
            </w:r>
          </w:p>
        </w:tc>
        <w:tc>
          <w:tcPr>
            <w:tcW w:type="dxa" w:w="3312"/>
            <w:shd w:val="clear" w:color="auto" w:fill="1F3864"/>
          </w:tcPr>
          <w:p>
            <w:pPr>
              <w:spacing w:before="40" w:after="40"/>
              <w:jc w:val="left"/>
            </w:pPr>
            <w:r/>
            <w:r>
              <w:rPr>
                <w:rFonts w:ascii="Calibri" w:hAnsi="Calibri"/>
                <w:b/>
                <w:color w:val="FFFFFF"/>
                <w:sz w:val="18"/>
              </w:rPr>
              <w:t>Produced by</w:t>
            </w:r>
          </w:p>
        </w:tc>
      </w:tr>
      <w:tr>
        <w:tc>
          <w:tcPr>
            <w:tcW w:type="dxa" w:w="6624"/>
          </w:tcPr>
          <w:p>
            <w:pPr>
              <w:spacing w:before="40" w:after="40"/>
              <w:jc w:val="left"/>
            </w:pPr>
            <w:r/>
            <w:r>
              <w:rPr>
                <w:rFonts w:ascii="Calibri" w:hAnsi="Calibri"/>
                <w:b w:val="0"/>
                <w:color w:val="1A1A1A"/>
                <w:sz w:val="19"/>
              </w:rPr>
              <w:t>Wishbone hardpoints, static KPIs, rates, roll, anti-geometry, leg forces</w:t>
            </w:r>
          </w:p>
        </w:tc>
        <w:tc>
          <w:tcPr>
            <w:tcW w:type="dxa" w:w="3312"/>
          </w:tcPr>
          <w:p>
            <w:pPr>
              <w:spacing w:before="40" w:after="40"/>
              <w:jc w:val="left"/>
            </w:pPr>
            <w:r/>
            <w:r>
              <w:rPr>
                <w:rFonts w:ascii="Calibri" w:hAnsi="Calibri"/>
                <w:b w:val="0"/>
                <w:color w:val="1A1A1A"/>
                <w:sz w:val="19"/>
              </w:rPr>
              <w:t>sla_geometry.py</w:t>
            </w:r>
          </w:p>
        </w:tc>
      </w:tr>
      <w:tr>
        <w:tc>
          <w:tcPr>
            <w:tcW w:type="dxa" w:w="6624"/>
            <w:shd w:val="clear" w:color="auto" w:fill="F2F3F5"/>
          </w:tcPr>
          <w:p>
            <w:pPr>
              <w:spacing w:before="40" w:after="40"/>
              <w:jc w:val="left"/>
            </w:pPr>
            <w:r/>
            <w:r>
              <w:rPr>
                <w:rFonts w:ascii="Calibri" w:hAnsi="Calibri"/>
                <w:b w:val="0"/>
                <w:color w:val="1A1A1A"/>
                <w:sz w:val="19"/>
              </w:rPr>
              <w:t>Caster, outboard ball joints, tie rod, rack, bump steer, Ackermann, effort</w:t>
            </w:r>
          </w:p>
        </w:tc>
        <w:tc>
          <w:tcPr>
            <w:tcW w:type="dxa" w:w="3312"/>
            <w:shd w:val="clear" w:color="auto" w:fill="F2F3F5"/>
          </w:tcPr>
          <w:p>
            <w:pPr>
              <w:spacing w:before="40" w:after="40"/>
              <w:jc w:val="left"/>
            </w:pPr>
            <w:r/>
            <w:r>
              <w:rPr>
                <w:rFonts w:ascii="Calibri" w:hAnsi="Calibri"/>
                <w:b w:val="0"/>
                <w:color w:val="1A1A1A"/>
                <w:sz w:val="19"/>
              </w:rPr>
              <w:t>steering_geometry.py</w:t>
            </w:r>
          </w:p>
        </w:tc>
      </w:tr>
      <w:tr>
        <w:tc>
          <w:tcPr>
            <w:tcW w:type="dxa" w:w="6624"/>
          </w:tcPr>
          <w:p>
            <w:pPr>
              <w:spacing w:before="40" w:after="40"/>
              <w:jc w:val="left"/>
            </w:pPr>
            <w:r/>
            <w:r>
              <w:rPr>
                <w:rFonts w:ascii="Calibri" w:hAnsi="Calibri"/>
                <w:b w:val="0"/>
                <w:color w:val="1A1A1A"/>
                <w:sz w:val="19"/>
              </w:rPr>
              <w:t>3D kinematic solve behind the steering numbers</w:t>
            </w:r>
          </w:p>
        </w:tc>
        <w:tc>
          <w:tcPr>
            <w:tcW w:type="dxa" w:w="3312"/>
          </w:tcPr>
          <w:p>
            <w:pPr>
              <w:spacing w:before="40" w:after="40"/>
              <w:jc w:val="left"/>
            </w:pPr>
            <w:r/>
            <w:r>
              <w:rPr>
                <w:rFonts w:ascii="Calibri" w:hAnsi="Calibri"/>
                <w:b w:val="0"/>
                <w:color w:val="1A1A1A"/>
                <w:sz w:val="19"/>
              </w:rPr>
              <w:t>vdcore.geometry.solver.DWSolver</w:t>
            </w:r>
          </w:p>
        </w:tc>
      </w:tr>
      <w:tr>
        <w:tc>
          <w:tcPr>
            <w:tcW w:type="dxa" w:w="6624"/>
            <w:shd w:val="clear" w:color="auto" w:fill="F2F3F5"/>
          </w:tcPr>
          <w:p>
            <w:pPr>
              <w:spacing w:before="40" w:after="40"/>
              <w:jc w:val="left"/>
            </w:pPr>
            <w:r/>
            <w:r>
              <w:rPr>
                <w:rFonts w:ascii="Calibri" w:hAnsi="Calibri"/>
                <w:b w:val="0"/>
                <w:color w:val="1A1A1A"/>
                <w:sz w:val="19"/>
              </w:rPr>
              <w:t>Composition, cross-checks, this document</w:t>
            </w:r>
          </w:p>
        </w:tc>
        <w:tc>
          <w:tcPr>
            <w:tcW w:type="dxa" w:w="3312"/>
            <w:shd w:val="clear" w:color="auto" w:fill="F2F3F5"/>
          </w:tcPr>
          <w:p>
            <w:pPr>
              <w:spacing w:before="40" w:after="40"/>
              <w:jc w:val="left"/>
            </w:pPr>
            <w:r/>
            <w:r>
              <w:rPr>
                <w:rFonts w:ascii="Calibri" w:hAnsi="Calibri"/>
                <w:b w:val="0"/>
                <w:color w:val="1A1A1A"/>
                <w:sz w:val="19"/>
              </w:rPr>
              <w:t>scripts/geometry_summary.py + build_summary_doc.py</w:t>
            </w:r>
          </w:p>
        </w:tc>
      </w:tr>
    </w:tbl>
    <w:p>
      <w:pPr>
        <w:spacing w:after="0"/>
      </w:pPr>
    </w:p>
    <w:tbl>
      <w:tblPr>
        <w:tblStyle w:val="TableGrid"/>
        <w:tblW w:type="auto" w:w="0"/>
        <w:jc w:val="left"/>
        <w:tblLook w:firstColumn="1" w:firstRow="1" w:lastColumn="0" w:lastRow="0" w:noHBand="0" w:noVBand="1" w:val="04A0"/>
      </w:tblPr>
      <w:tblGrid>
        <w:gridCol w:w="3312"/>
        <w:gridCol w:w="3312"/>
        <w:gridCol w:w="3312"/>
      </w:tblGrid>
      <w:tr>
        <w:tc>
          <w:tcPr>
            <w:tcW w:type="dxa" w:w="1584"/>
            <w:shd w:val="clear" w:color="auto" w:fill="1F3864"/>
          </w:tcPr>
          <w:p>
            <w:pPr>
              <w:spacing w:before="40" w:after="40"/>
              <w:jc w:val="left"/>
            </w:pPr>
            <w:r/>
            <w:r>
              <w:rPr>
                <w:rFonts w:ascii="Calibri" w:hAnsi="Calibri"/>
                <w:b/>
                <w:color w:val="FFFFFF"/>
                <w:sz w:val="18"/>
              </w:rPr>
              <w:t>Frame</w:t>
            </w:r>
          </w:p>
        </w:tc>
        <w:tc>
          <w:tcPr>
            <w:tcW w:type="dxa" w:w="3744"/>
            <w:shd w:val="clear" w:color="auto" w:fill="1F3864"/>
          </w:tcPr>
          <w:p>
            <w:pPr>
              <w:spacing w:before="40" w:after="40"/>
              <w:jc w:val="left"/>
            </w:pPr>
            <w:r/>
            <w:r>
              <w:rPr>
                <w:rFonts w:ascii="Calibri" w:hAnsi="Calibri"/>
                <w:b/>
                <w:color w:val="FFFFFF"/>
                <w:sz w:val="18"/>
              </w:rPr>
              <w:t>Axes</w:t>
            </w:r>
          </w:p>
        </w:tc>
        <w:tc>
          <w:tcPr>
            <w:tcW w:type="dxa" w:w="4608"/>
            <w:shd w:val="clear" w:color="auto" w:fill="1F3864"/>
          </w:tcPr>
          <w:p>
            <w:pPr>
              <w:spacing w:before="40" w:after="40"/>
              <w:jc w:val="left"/>
            </w:pPr>
            <w:r/>
            <w:r>
              <w:rPr>
                <w:rFonts w:ascii="Calibri" w:hAnsi="Calibri"/>
                <w:b/>
                <w:color w:val="FFFFFF"/>
                <w:sz w:val="18"/>
              </w:rPr>
              <w:t>Used in</w:t>
            </w:r>
          </w:p>
        </w:tc>
      </w:tr>
      <w:tr>
        <w:tc>
          <w:tcPr>
            <w:tcW w:type="dxa" w:w="1584"/>
          </w:tcPr>
          <w:p>
            <w:pPr>
              <w:spacing w:before="40" w:after="40"/>
              <w:jc w:val="left"/>
            </w:pPr>
            <w:r/>
            <w:r>
              <w:rPr>
                <w:rFonts w:ascii="Calibri" w:hAnsi="Calibri"/>
                <w:b w:val="0"/>
                <w:color w:val="1A1A1A"/>
                <w:sz w:val="19"/>
              </w:rPr>
              <w:t>DESIGN</w:t>
            </w:r>
          </w:p>
        </w:tc>
        <w:tc>
          <w:tcPr>
            <w:tcW w:type="dxa" w:w="3744"/>
          </w:tcPr>
          <w:p>
            <w:pPr>
              <w:spacing w:before="40" w:after="40"/>
              <w:jc w:val="left"/>
            </w:pPr>
            <w:r/>
            <w:r>
              <w:rPr>
                <w:rFonts w:ascii="Calibri" w:hAnsi="Calibri"/>
                <w:b w:val="0"/>
                <w:color w:val="1A1A1A"/>
                <w:sz w:val="19"/>
              </w:rPr>
              <w:t>y outboard, z up, x REARWARD</w:t>
            </w:r>
          </w:p>
        </w:tc>
        <w:tc>
          <w:tcPr>
            <w:tcW w:type="dxa" w:w="4608"/>
          </w:tcPr>
          <w:p>
            <w:pPr>
              <w:spacing w:before="40" w:after="40"/>
              <w:jc w:val="left"/>
            </w:pPr>
            <w:r/>
            <w:r>
              <w:rPr>
                <w:rFonts w:ascii="Calibri" w:hAnsi="Calibri"/>
                <w:b w:val="0"/>
                <w:color w:val="1A1A1A"/>
                <w:sz w:val="19"/>
              </w:rPr>
              <w:t>Sections 2 and 3 (front-view work)</w:t>
            </w:r>
          </w:p>
        </w:tc>
      </w:tr>
      <w:tr>
        <w:tc>
          <w:tcPr>
            <w:tcW w:type="dxa" w:w="1584"/>
            <w:shd w:val="clear" w:color="auto" w:fill="F2F3F5"/>
          </w:tcPr>
          <w:p>
            <w:pPr>
              <w:spacing w:before="40" w:after="40"/>
              <w:jc w:val="left"/>
            </w:pPr>
            <w:r/>
            <w:r>
              <w:rPr>
                <w:rFonts w:ascii="Calibri" w:hAnsi="Calibri"/>
                <w:b w:val="0"/>
                <w:color w:val="1A1A1A"/>
                <w:sz w:val="19"/>
              </w:rPr>
              <w:t>ISO 8855</w:t>
            </w:r>
          </w:p>
        </w:tc>
        <w:tc>
          <w:tcPr>
            <w:tcW w:type="dxa" w:w="3744"/>
            <w:shd w:val="clear" w:color="auto" w:fill="F2F3F5"/>
          </w:tcPr>
          <w:p>
            <w:pPr>
              <w:spacing w:before="40" w:after="40"/>
              <w:jc w:val="left"/>
            </w:pPr>
            <w:r/>
            <w:r>
              <w:rPr>
                <w:rFonts w:ascii="Calibri" w:hAnsi="Calibri"/>
                <w:b w:val="0"/>
                <w:color w:val="1A1A1A"/>
                <w:sz w:val="19"/>
              </w:rPr>
              <w:t>X FORWARD, Y LEFT, Z up</w:t>
            </w:r>
          </w:p>
        </w:tc>
        <w:tc>
          <w:tcPr>
            <w:tcW w:type="dxa" w:w="4608"/>
            <w:shd w:val="clear" w:color="auto" w:fill="F2F3F5"/>
          </w:tcPr>
          <w:p>
            <w:pPr>
              <w:spacing w:before="40" w:after="40"/>
              <w:jc w:val="left"/>
            </w:pPr>
            <w:r/>
            <w:r>
              <w:rPr>
                <w:rFonts w:ascii="Calibri" w:hAnsi="Calibri"/>
                <w:b w:val="0"/>
                <w:color w:val="1A1A1A"/>
                <w:sz w:val="19"/>
              </w:rPr>
              <w:t>Section 6 (model export)</w:t>
            </w:r>
          </w:p>
        </w:tc>
      </w:tr>
    </w:tbl>
    <w:p>
      <w:pPr>
        <w:spacing w:after="0"/>
      </w:pPr>
    </w:p>
    <w:p>
      <w:pPr>
        <w:spacing w:before="60" w:after="120"/>
      </w:pPr>
      <w:r>
        <w:rPr>
          <w:rFonts w:ascii="Calibri" w:hAnsi="Calibri"/>
          <w:i/>
          <w:color w:val="595959"/>
          <w:sz w:val="18"/>
        </w:rPr>
        <w:t>Conversion: X_iso = −x_rearward, Y_iso = ±y_outboard, Z_iso = z. In ISO 8855 the rear axle is at NEGATIVE X and right-hand corners are at NEGATIVE Y.</w:t>
      </w:r>
    </w:p>
    <w:p>
      <w:pPr>
        <w:spacing w:before="60" w:after="120"/>
      </w:pPr>
      <w:r>
        <w:rPr>
          <w:rFonts w:ascii="Calibri" w:hAnsi="Calibri"/>
          <w:i w:val="0"/>
          <w:color w:val="9E241C"/>
          <w:sz w:val="18"/>
        </w:rPr>
        <w:t>OPEN: the rear tie rod is not synthesised by any script. steering_geometry.py covers the front axle only, so RL/RR TIE_ROD_IN and TIE_ROD_OUT are hand-entered points read from legacy_app/carro_formula_2027.csv. They are not regenerated, not bounds-checked and not covered by any test.</w:t>
      </w:r>
    </w:p>
    <w:p>
      <w:pPr>
        <w:spacing w:before="320" w:after="100"/>
        <w:pBdr>
          <w:bottom w:val="single" w:sz="12" w:color="1F3864"/>
        </w:pBdr>
      </w:pPr>
      <w:r>
        <w:rPr>
          <w:rFonts w:ascii="Calibri" w:hAnsi="Calibri"/>
          <w:b/>
          <w:color w:val="1F3864"/>
          <w:sz w:val="28"/>
        </w:rPr>
        <w:t>1. Vehicle, stiffness and rules compliance</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Total / sprung mass</w:t>
            </w:r>
          </w:p>
        </w:tc>
        <w:tc>
          <w:tcPr>
            <w:tcW w:type="dxa" w:w="5760"/>
          </w:tcPr>
          <w:p>
            <w:pPr>
              <w:spacing w:before="40" w:after="40"/>
              <w:jc w:val="left"/>
            </w:pPr>
            <w:r/>
            <w:r>
              <w:rPr>
                <w:rFonts w:ascii="Calibri" w:hAnsi="Calibri"/>
                <w:b w:val="0"/>
                <w:color w:val="1A1A1A"/>
                <w:sz w:val="19"/>
              </w:rPr>
              <w:t>315.0 / 270.0 kg</w:t>
            </w:r>
          </w:p>
        </w:tc>
      </w:tr>
      <w:tr>
        <w:tc>
          <w:tcPr>
            <w:tcW w:type="dxa" w:w="4176"/>
            <w:shd w:val="clear" w:color="auto" w:fill="F2F3F5"/>
          </w:tcPr>
          <w:p>
            <w:pPr>
              <w:spacing w:before="40" w:after="40"/>
              <w:jc w:val="left"/>
            </w:pPr>
            <w:r/>
            <w:r>
              <w:rPr>
                <w:rFonts w:ascii="Calibri" w:hAnsi="Calibri"/>
                <w:b w:val="0"/>
                <w:color w:val="1A1A1A"/>
                <w:sz w:val="19"/>
              </w:rPr>
              <w:t>Wheelbase</w:t>
            </w:r>
          </w:p>
        </w:tc>
        <w:tc>
          <w:tcPr>
            <w:tcW w:type="dxa" w:w="5760"/>
            <w:shd w:val="clear" w:color="auto" w:fill="F2F3F5"/>
          </w:tcPr>
          <w:p>
            <w:pPr>
              <w:spacing w:before="40" w:after="40"/>
              <w:jc w:val="left"/>
            </w:pPr>
            <w:r/>
            <w:r>
              <w:rPr>
                <w:rFonts w:ascii="Calibri" w:hAnsi="Calibri"/>
                <w:b w:val="0"/>
                <w:color w:val="1A1A1A"/>
                <w:sz w:val="19"/>
              </w:rPr>
              <w:t>1540.0 mm</w:t>
            </w:r>
          </w:p>
        </w:tc>
      </w:tr>
      <w:tr>
        <w:tc>
          <w:tcPr>
            <w:tcW w:type="dxa" w:w="4176"/>
          </w:tcPr>
          <w:p>
            <w:pPr>
              <w:spacing w:before="40" w:after="40"/>
              <w:jc w:val="left"/>
            </w:pPr>
            <w:r/>
            <w:r>
              <w:rPr>
                <w:rFonts w:ascii="Calibri" w:hAnsi="Calibri"/>
                <w:b w:val="0"/>
                <w:color w:val="1A1A1A"/>
                <w:sz w:val="19"/>
              </w:rPr>
              <w:t>Front track / rear track</w:t>
            </w:r>
          </w:p>
        </w:tc>
        <w:tc>
          <w:tcPr>
            <w:tcW w:type="dxa" w:w="5760"/>
          </w:tcPr>
          <w:p>
            <w:pPr>
              <w:spacing w:before="40" w:after="40"/>
              <w:jc w:val="left"/>
            </w:pPr>
            <w:r/>
            <w:r>
              <w:rPr>
                <w:rFonts w:ascii="Calibri" w:hAnsi="Calibri"/>
                <w:b w:val="0"/>
                <w:color w:val="1A1A1A"/>
                <w:sz w:val="19"/>
              </w:rPr>
              <w:t>1240.0 / 1200.0 mm</w:t>
            </w:r>
          </w:p>
        </w:tc>
      </w:tr>
      <w:tr>
        <w:tc>
          <w:tcPr>
            <w:tcW w:type="dxa" w:w="4176"/>
            <w:shd w:val="clear" w:color="auto" w:fill="F2F3F5"/>
          </w:tcPr>
          <w:p>
            <w:pPr>
              <w:spacing w:before="40" w:after="40"/>
              <w:jc w:val="left"/>
            </w:pPr>
            <w:r/>
            <w:r>
              <w:rPr>
                <w:rFonts w:ascii="Calibri" w:hAnsi="Calibri"/>
                <w:b w:val="0"/>
                <w:color w:val="1A1A1A"/>
                <w:sz w:val="19"/>
              </w:rPr>
              <w:t>CG height / station</w:t>
            </w:r>
          </w:p>
        </w:tc>
        <w:tc>
          <w:tcPr>
            <w:tcW w:type="dxa" w:w="5760"/>
            <w:shd w:val="clear" w:color="auto" w:fill="F2F3F5"/>
          </w:tcPr>
          <w:p>
            <w:pPr>
              <w:spacing w:before="40" w:after="40"/>
              <w:jc w:val="left"/>
            </w:pPr>
            <w:r/>
            <w:r>
              <w:rPr>
                <w:rFonts w:ascii="Calibri" w:hAnsi="Calibri"/>
                <w:b w:val="0"/>
                <w:color w:val="1A1A1A"/>
                <w:sz w:val="19"/>
              </w:rPr>
              <w:t>320.0 mm / 693.0 mm aft of the front axle</w:t>
            </w:r>
          </w:p>
        </w:tc>
      </w:tr>
      <w:tr>
        <w:tc>
          <w:tcPr>
            <w:tcW w:type="dxa" w:w="4176"/>
          </w:tcPr>
          <w:p>
            <w:pPr>
              <w:spacing w:before="40" w:after="40"/>
              <w:jc w:val="left"/>
            </w:pPr>
            <w:r/>
            <w:r>
              <w:rPr>
                <w:rFonts w:ascii="Calibri" w:hAnsi="Calibri"/>
                <w:b w:val="0"/>
                <w:color w:val="1A1A1A"/>
                <w:sz w:val="19"/>
              </w:rPr>
              <w:t>Static front mass fraction</w:t>
            </w:r>
          </w:p>
        </w:tc>
        <w:tc>
          <w:tcPr>
            <w:tcW w:type="dxa" w:w="5760"/>
          </w:tcPr>
          <w:p>
            <w:pPr>
              <w:spacing w:before="40" w:after="40"/>
              <w:jc w:val="left"/>
            </w:pPr>
            <w:r/>
            <w:r>
              <w:rPr>
                <w:rFonts w:ascii="Calibri" w:hAnsi="Calibri"/>
                <w:b w:val="0"/>
                <w:color w:val="1A1A1A"/>
                <w:sz w:val="19"/>
              </w:rPr>
              <w:t>55.0 %</w:t>
            </w:r>
          </w:p>
        </w:tc>
      </w:tr>
      <w:tr>
        <w:tc>
          <w:tcPr>
            <w:tcW w:type="dxa" w:w="4176"/>
            <w:shd w:val="clear" w:color="auto" w:fill="F2F3F5"/>
          </w:tcPr>
          <w:p>
            <w:pPr>
              <w:spacing w:before="40" w:after="40"/>
              <w:jc w:val="left"/>
            </w:pPr>
            <w:r/>
            <w:r>
              <w:rPr>
                <w:rFonts w:ascii="Calibri" w:hAnsi="Calibri"/>
                <w:b w:val="0"/>
                <w:color w:val="1A1A1A"/>
                <w:sz w:val="19"/>
              </w:rPr>
              <w:t>Roll axis height at the CG</w:t>
            </w:r>
          </w:p>
        </w:tc>
        <w:tc>
          <w:tcPr>
            <w:tcW w:type="dxa" w:w="5760"/>
            <w:shd w:val="clear" w:color="auto" w:fill="F2F3F5"/>
          </w:tcPr>
          <w:p>
            <w:pPr>
              <w:spacing w:before="40" w:after="40"/>
              <w:jc w:val="left"/>
            </w:pPr>
            <w:r/>
            <w:r>
              <w:rPr>
                <w:rFonts w:ascii="Calibri" w:hAnsi="Calibri"/>
                <w:b w:val="0"/>
                <w:color w:val="1A1A1A"/>
                <w:sz w:val="19"/>
              </w:rPr>
              <w:t>44.0 mm</w:t>
            </w:r>
          </w:p>
        </w:tc>
      </w:tr>
      <w:tr>
        <w:tc>
          <w:tcPr>
            <w:tcW w:type="dxa" w:w="4176"/>
          </w:tcPr>
          <w:p>
            <w:pPr>
              <w:spacing w:before="40" w:after="40"/>
              <w:jc w:val="left"/>
            </w:pPr>
            <w:r/>
            <w:r>
              <w:rPr>
                <w:rFonts w:ascii="Calibri" w:hAnsi="Calibri"/>
                <w:b w:val="0"/>
                <w:color w:val="1A1A1A"/>
                <w:sz w:val="19"/>
              </w:rPr>
              <w:t>Roll moment arm</w:t>
            </w:r>
          </w:p>
        </w:tc>
        <w:tc>
          <w:tcPr>
            <w:tcW w:type="dxa" w:w="5760"/>
          </w:tcPr>
          <w:p>
            <w:pPr>
              <w:spacing w:before="40" w:after="40"/>
              <w:jc w:val="left"/>
            </w:pPr>
            <w:r/>
            <w:r>
              <w:rPr>
                <w:rFonts w:ascii="Calibri" w:hAnsi="Calibri"/>
                <w:b w:val="0"/>
                <w:color w:val="1A1A1A"/>
                <w:sz w:val="19"/>
              </w:rPr>
              <w:t>276.0 mm</w:t>
            </w:r>
          </w:p>
        </w:tc>
      </w:tr>
      <w:tr>
        <w:tc>
          <w:tcPr>
            <w:tcW w:type="dxa" w:w="4176"/>
            <w:shd w:val="clear" w:color="auto" w:fill="F2F3F5"/>
          </w:tcPr>
          <w:p>
            <w:pPr>
              <w:spacing w:before="40" w:after="40"/>
              <w:jc w:val="left"/>
            </w:pPr>
            <w:r/>
            <w:r>
              <w:rPr>
                <w:rFonts w:ascii="Calibri" w:hAnsi="Calibri"/>
                <w:b w:val="0"/>
                <w:color w:val="1A1A1A"/>
                <w:sz w:val="19"/>
              </w:rPr>
              <w:t>Target roll gradient</w:t>
            </w:r>
          </w:p>
        </w:tc>
        <w:tc>
          <w:tcPr>
            <w:tcW w:type="dxa" w:w="5760"/>
            <w:shd w:val="clear" w:color="auto" w:fill="F2F3F5"/>
          </w:tcPr>
          <w:p>
            <w:pPr>
              <w:spacing w:before="40" w:after="40"/>
              <w:jc w:val="left"/>
            </w:pPr>
            <w:r/>
            <w:r>
              <w:rPr>
                <w:rFonts w:ascii="Calibri" w:hAnsi="Calibri"/>
                <w:b w:val="0"/>
                <w:color w:val="1A1A1A"/>
                <w:sz w:val="19"/>
              </w:rPr>
              <w:t>1.00 °/g</w:t>
            </w:r>
          </w:p>
        </w:tc>
      </w:tr>
      <w:tr>
        <w:tc>
          <w:tcPr>
            <w:tcW w:type="dxa" w:w="4176"/>
          </w:tcPr>
          <w:p>
            <w:pPr>
              <w:spacing w:before="40" w:after="40"/>
              <w:jc w:val="left"/>
            </w:pPr>
            <w:r/>
            <w:r>
              <w:rPr>
                <w:rFonts w:ascii="Calibri" w:hAnsi="Calibri"/>
                <w:b w:val="0"/>
                <w:color w:val="1A1A1A"/>
                <w:sz w:val="19"/>
              </w:rPr>
              <w:t>Required roll stiffness</w:t>
            </w:r>
          </w:p>
        </w:tc>
        <w:tc>
          <w:tcPr>
            <w:tcW w:type="dxa" w:w="5760"/>
          </w:tcPr>
          <w:p>
            <w:pPr>
              <w:spacing w:before="40" w:after="40"/>
              <w:jc w:val="left"/>
            </w:pPr>
            <w:r/>
            <w:r>
              <w:rPr>
                <w:rFonts w:ascii="Calibri" w:hAnsi="Calibri"/>
                <w:b w:val="0"/>
                <w:color w:val="1A1A1A"/>
                <w:sz w:val="19"/>
              </w:rPr>
              <w:t>731.0 N·m/°</w:t>
            </w:r>
          </w:p>
        </w:tc>
      </w:tr>
      <w:tr>
        <w:tc>
          <w:tcPr>
            <w:tcW w:type="dxa" w:w="4176"/>
            <w:shd w:val="clear" w:color="auto" w:fill="F2F3F5"/>
          </w:tcPr>
          <w:p>
            <w:pPr>
              <w:spacing w:before="40" w:after="40"/>
              <w:jc w:val="left"/>
            </w:pPr>
            <w:r/>
            <w:r>
              <w:rPr>
                <w:rFonts w:ascii="Calibri" w:hAnsi="Calibri"/>
                <w:b w:val="0"/>
                <w:color w:val="1A1A1A"/>
                <w:sz w:val="19"/>
              </w:rPr>
              <w:t>Chassis torsional stiffness</w:t>
            </w:r>
          </w:p>
        </w:tc>
        <w:tc>
          <w:tcPr>
            <w:tcW w:type="dxa" w:w="5760"/>
            <w:shd w:val="clear" w:color="auto" w:fill="F2F3F5"/>
          </w:tcPr>
          <w:p>
            <w:pPr>
              <w:spacing w:before="40" w:after="40"/>
              <w:jc w:val="left"/>
            </w:pPr>
            <w:r/>
            <w:r>
              <w:rPr>
                <w:rFonts w:ascii="Calibri" w:hAnsi="Calibri"/>
                <w:b w:val="0"/>
                <w:color w:val="1A1A1A"/>
                <w:sz w:val="19"/>
              </w:rPr>
              <w:t>2193 (min) / 3655 (target) N·m/°</w:t>
            </w:r>
          </w:p>
        </w:tc>
      </w:tr>
    </w:tbl>
    <w:p>
      <w:pPr>
        <w:spacing w:after="0"/>
      </w:pPr>
    </w:p>
    <w:p>
      <w:pPr>
        <w:spacing w:before="60" w:after="120"/>
      </w:pPr>
      <w:r>
        <w:rPr>
          <w:rFonts w:ascii="Calibri" w:hAnsi="Calibri"/>
          <w:i/>
          <w:color w:val="595959"/>
          <w:sz w:val="18"/>
        </w:rPr>
        <w:t>The front mass fraction sets BOTH the roll axis height and the leg-force load cases in section 7. It is a single input; the two must never be allowed to disagree again.</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Wheelbase</w:t>
            </w:r>
          </w:p>
        </w:tc>
        <w:tc>
          <w:tcPr>
            <w:tcW w:type="dxa" w:w="2448"/>
          </w:tcPr>
          <w:p>
            <w:pPr>
              <w:spacing w:before="40" w:after="40"/>
              <w:jc w:val="right"/>
            </w:pPr>
            <w:r/>
            <w:r>
              <w:rPr>
                <w:rFonts w:ascii="Consolas" w:hAnsi="Consolas"/>
                <w:b w:val="0"/>
                <w:color w:val="1A1A1A"/>
                <w:sz w:val="19"/>
              </w:rPr>
              <w:t>1540 mm</w:t>
            </w:r>
          </w:p>
        </w:tc>
        <w:tc>
          <w:tcPr>
            <w:tcW w:type="dxa" w:w="2160"/>
          </w:tcPr>
          <w:p>
            <w:pPr>
              <w:spacing w:before="40" w:after="40"/>
              <w:jc w:val="right"/>
            </w:pPr>
            <w:r/>
            <w:r>
              <w:rPr>
                <w:rFonts w:ascii="Consolas" w:hAnsi="Consolas"/>
                <w:b w:val="0"/>
                <w:color w:val="1A1A1A"/>
                <w:sz w:val="19"/>
              </w:rPr>
              <w:t>1525 to 10000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Narrow / wide track ratio</w:t>
            </w:r>
          </w:p>
        </w:tc>
        <w:tc>
          <w:tcPr>
            <w:tcW w:type="dxa" w:w="2448"/>
            <w:shd w:val="clear" w:color="auto" w:fill="F2F3F5"/>
          </w:tcPr>
          <w:p>
            <w:pPr>
              <w:spacing w:before="40" w:after="40"/>
              <w:jc w:val="right"/>
            </w:pPr>
            <w:r/>
            <w:r>
              <w:rPr>
                <w:rFonts w:ascii="Consolas" w:hAnsi="Consolas"/>
                <w:b w:val="0"/>
                <w:color w:val="1A1A1A"/>
                <w:sz w:val="19"/>
              </w:rPr>
              <w:t>96.8 %</w:t>
            </w:r>
          </w:p>
        </w:tc>
        <w:tc>
          <w:tcPr>
            <w:tcW w:type="dxa" w:w="2160"/>
            <w:shd w:val="clear" w:color="auto" w:fill="F2F3F5"/>
          </w:tcPr>
          <w:p>
            <w:pPr>
              <w:spacing w:before="40" w:after="40"/>
              <w:jc w:val="right"/>
            </w:pPr>
            <w:r/>
            <w:r>
              <w:rPr>
                <w:rFonts w:ascii="Consolas" w:hAnsi="Consolas"/>
                <w:b w:val="0"/>
                <w:color w:val="1A1A1A"/>
                <w:sz w:val="19"/>
              </w:rPr>
              <w:t>75 to 100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60° tilt test</w:t>
            </w:r>
          </w:p>
        </w:tc>
        <w:tc>
          <w:tcPr>
            <w:tcW w:type="dxa" w:w="2448"/>
          </w:tcPr>
          <w:p>
            <w:pPr>
              <w:spacing w:before="40" w:after="40"/>
              <w:jc w:val="right"/>
            </w:pPr>
            <w:r/>
            <w:r>
              <w:rPr>
                <w:rFonts w:ascii="Consolas" w:hAnsi="Consolas"/>
                <w:b w:val="0"/>
                <w:color w:val="1A1A1A"/>
                <w:sz w:val="19"/>
              </w:rPr>
              <w:t>1200 mm fitted</w:t>
            </w:r>
          </w:p>
        </w:tc>
        <w:tc>
          <w:tcPr>
            <w:tcW w:type="dxa" w:w="2160"/>
          </w:tcPr>
          <w:p>
            <w:pPr>
              <w:spacing w:before="40" w:after="40"/>
              <w:jc w:val="right"/>
            </w:pPr>
            <w:r/>
            <w:r>
              <w:rPr>
                <w:rFonts w:ascii="Consolas" w:hAnsi="Consolas"/>
                <w:b w:val="0"/>
                <w:color w:val="1A1A1A"/>
                <w:sz w:val="19"/>
              </w:rPr>
              <w:t>needs 1109 mm</w:t>
            </w:r>
          </w:p>
        </w:tc>
      </w:tr>
    </w:tbl>
    <w:p>
      <w:pPr>
        <w:spacing w:after="0"/>
      </w:pPr>
    </w:p>
    <w:p>
      <w:pPr>
        <w:spacing w:before="60" w:after="120"/>
      </w:pPr>
      <w:r>
        <w:rPr>
          <w:rFonts w:ascii="Calibri" w:hAnsi="Calibri"/>
          <w:i/>
          <w:color w:val="595959"/>
          <w:sz w:val="18"/>
        </w:rPr>
        <w:t>The tilt test uses the NARROWER track, which is the rear (1200 mm). Quoting that as "the track" hides the 1240 mm on the other axle.</w:t>
      </w:r>
    </w:p>
    <w:p>
      <w:pPr>
        <w:spacing w:before="320" w:after="100"/>
        <w:pBdr>
          <w:bottom w:val="single" w:sz="12" w:color="1F3864"/>
        </w:pBdr>
      </w:pPr>
      <w:r>
        <w:rPr>
          <w:rFonts w:ascii="Calibri" w:hAnsi="Calibri"/>
          <w:b/>
          <w:color w:val="1F3864"/>
          <w:sz w:val="28"/>
        </w:rPr>
        <w:t>2. Front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582.00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536.97</w:t>
            </w:r>
          </w:p>
        </w:tc>
        <w:tc>
          <w:tcPr>
            <w:tcW w:type="dxa" w:w="2592"/>
            <w:shd w:val="clear" w:color="auto" w:fill="F2F3F5"/>
          </w:tcPr>
          <w:p>
            <w:pPr>
              <w:spacing w:before="40" w:after="40"/>
              <w:jc w:val="right"/>
            </w:pPr>
            <w:r/>
            <w:r>
              <w:rPr>
                <w:rFonts w:ascii="Consolas" w:hAnsi="Consolas"/>
                <w:b w:val="0"/>
                <w:color w:val="1A1A1A"/>
                <w:sz w:val="19"/>
              </w:rPr>
              <w:t>385.40</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117.38</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175.00</w:t>
            </w:r>
          </w:p>
        </w:tc>
        <w:tc>
          <w:tcPr>
            <w:tcW w:type="dxa" w:w="2592"/>
            <w:shd w:val="clear" w:color="auto" w:fill="F2F3F5"/>
          </w:tcPr>
          <w:p>
            <w:pPr>
              <w:spacing w:before="40" w:after="40"/>
              <w:jc w:val="right"/>
            </w:pPr>
            <w:r/>
            <w:r>
              <w:rPr>
                <w:rFonts w:ascii="Consolas" w:hAnsi="Consolas"/>
                <w:b w:val="0"/>
                <w:color w:val="1A1A1A"/>
                <w:sz w:val="19"/>
              </w:rPr>
              <w:t>308.58</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-880.00</w:t>
            </w:r>
          </w:p>
        </w:tc>
        <w:tc>
          <w:tcPr>
            <w:tcW w:type="dxa" w:w="2592"/>
          </w:tcPr>
          <w:p>
            <w:pPr>
              <w:spacing w:before="40" w:after="40"/>
              <w:jc w:val="right"/>
            </w:pPr>
            <w:r/>
            <w:r>
              <w:rPr>
                <w:rFonts w:ascii="Consolas" w:hAnsi="Consolas"/>
                <w:b w:val="0"/>
                <w:color w:val="1A1A1A"/>
                <w:sz w:val="19"/>
              </w:rPr>
              <w:t>84.68</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407.20 / 370.03 mm  (ratio 0.909)</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255.40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191.20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1.78°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11.98°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53.73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35.00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1500.00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15.08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10.00 °</w:t>
            </w:r>
          </w:p>
        </w:tc>
        <w:tc>
          <w:tcPr>
            <w:tcW w:type="dxa" w:w="2160"/>
            <w:shd w:val="clear" w:color="auto" w:fill="F2F3F5"/>
          </w:tcPr>
          <w:p>
            <w:pPr>
              <w:spacing w:before="40" w:after="40"/>
              <w:jc w:val="right"/>
            </w:pPr>
            <w:r/>
            <w:r>
              <w:rPr>
                <w:rFonts w:ascii="Consolas" w:hAnsi="Consolas"/>
                <w:b w:val="0"/>
                <w:color w:val="1A1A1A"/>
                <w:sz w:val="19"/>
              </w:rPr>
              <w:t>6 to 14</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407.20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0.909</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0.0384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-880.00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385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-0.0384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-0.3914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+0.0568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-2.49°</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-0.57°</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25.3 to 44.9 mm</w:t>
            </w:r>
          </w:p>
        </w:tc>
      </w:tr>
    </w:tbl>
    <w:p>
      <w:pPr>
        <w:spacing w:after="0"/>
      </w:pPr>
    </w:p>
    <w:p>
      <w:pPr>
        <w:spacing w:before="60" w:after="120"/>
      </w:pPr>
      <w:r>
        <w:rPr>
          <w:rFonts w:ascii="Calibri" w:hAnsi="Calibri"/>
          <w:i/>
          <w:color w:val="595959"/>
          <w:sz w:val="18"/>
        </w:rPr>
        <w:t>Travel ±25 mm. Camber gain equals 57.2958 / FVSA = 0.0382 °/mm, the textbook value for a wheel turning about an instant centre 1500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-0.64°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-2.39°</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33.9 mm  (design 35.0)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-111.5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16.23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 / 130.0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-120.0 / 120.0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1.5)</w:t>
            </w:r>
          </w:p>
        </w:tc>
      </w:tr>
      <w:tr>
        <w:tc>
          <w:tcPr>
            <w:tcW w:type="dxa" w:w="4176"/>
            <w:shd w:val="clear" w:color="auto" w:fill="F2F3F5"/>
          </w:tcPr>
          <w:p>
            <w:pPr>
              <w:spacing w:before="40" w:after="40"/>
              <w:jc w:val="left"/>
            </w:pPr>
            <w:r/>
            <w:r>
              <w:rPr>
                <w:rFonts w:ascii="Calibri" w:hAnsi="Calibri"/>
                <w:b w:val="0"/>
                <w:color w:val="1A1A1A"/>
                <w:sz w:val="19"/>
              </w:rPr>
              <w:t>Anti-dive</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3. Rear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558.60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519.69</w:t>
            </w:r>
          </w:p>
        </w:tc>
        <w:tc>
          <w:tcPr>
            <w:tcW w:type="dxa" w:w="2592"/>
            <w:shd w:val="clear" w:color="auto" w:fill="F2F3F5"/>
          </w:tcPr>
          <w:p>
            <w:pPr>
              <w:spacing w:before="40" w:after="40"/>
              <w:jc w:val="right"/>
            </w:pPr>
            <w:r/>
            <w:r>
              <w:rPr>
                <w:rFonts w:ascii="Consolas" w:hAnsi="Consolas"/>
                <w:b w:val="0"/>
                <w:color w:val="1A1A1A"/>
                <w:sz w:val="19"/>
              </w:rPr>
              <w:t>390.34</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129.53</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175.00</w:t>
            </w:r>
          </w:p>
        </w:tc>
        <w:tc>
          <w:tcPr>
            <w:tcW w:type="dxa" w:w="2592"/>
            <w:shd w:val="clear" w:color="auto" w:fill="F2F3F5"/>
          </w:tcPr>
          <w:p>
            <w:pPr>
              <w:spacing w:before="40" w:after="40"/>
              <w:jc w:val="right"/>
            </w:pPr>
            <w:r/>
            <w:r>
              <w:rPr>
                <w:rFonts w:ascii="Consolas" w:hAnsi="Consolas"/>
                <w:b w:val="0"/>
                <w:color w:val="1A1A1A"/>
                <w:sz w:val="19"/>
              </w:rPr>
              <w:t>321.91</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-800.00</w:t>
            </w:r>
          </w:p>
        </w:tc>
        <w:tc>
          <w:tcPr>
            <w:tcW w:type="dxa" w:w="2592"/>
          </w:tcPr>
          <w:p>
            <w:pPr>
              <w:spacing w:before="40" w:after="40"/>
              <w:jc w:val="right"/>
            </w:pPr>
            <w:r/>
            <w:r>
              <w:rPr>
                <w:rFonts w:ascii="Consolas" w:hAnsi="Consolas"/>
                <w:b w:val="0"/>
                <w:color w:val="1A1A1A"/>
                <w:sz w:val="19"/>
              </w:rPr>
              <w:t>128.33</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383.60 / 351.42 mm  (ratio 0.916)</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260.34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192.38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0.07°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11.23°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55.71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55.00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1400.00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21.97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8.50 °</w:t>
            </w:r>
          </w:p>
        </w:tc>
        <w:tc>
          <w:tcPr>
            <w:tcW w:type="dxa" w:w="2160"/>
            <w:shd w:val="clear" w:color="auto" w:fill="F2F3F5"/>
          </w:tcPr>
          <w:p>
            <w:pPr>
              <w:spacing w:before="40" w:after="40"/>
              <w:jc w:val="right"/>
            </w:pPr>
            <w:r/>
            <w:r>
              <w:rPr>
                <w:rFonts w:ascii="Consolas" w:hAnsi="Consolas"/>
                <w:b w:val="0"/>
                <w:color w:val="1A1A1A"/>
                <w:sz w:val="19"/>
              </w:rPr>
              <w:t>3 to 10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0.916</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0.0411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-800.00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390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-0.0411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-0.4239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+0.0922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-2.54°</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-0.49°</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44.5 to 65.7 mm</w:t>
            </w:r>
          </w:p>
        </w:tc>
      </w:tr>
    </w:tbl>
    <w:p>
      <w:pPr>
        <w:spacing w:after="0"/>
      </w:pPr>
    </w:p>
    <w:p>
      <w:pPr>
        <w:spacing w:before="60" w:after="120"/>
      </w:pPr>
      <w:r>
        <w:rPr>
          <w:rFonts w:ascii="Calibri" w:hAnsi="Calibri"/>
          <w:i/>
          <w:color w:val="595959"/>
          <w:sz w:val="18"/>
        </w:rPr>
        <w:t>Travel ±25 mm. Camber gain equals 57.2958 / FVSA = 0.0409 °/mm, the textbook value for a wheel turning about an instant centre 1400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-0.65°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-2.36°</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54.2 mm  (design 55.0)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-71.1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15.70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1360.0 / 1540.0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1380.0 / 1540.0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1.5)</w:t>
            </w:r>
          </w:p>
        </w:tc>
      </w:tr>
      <w:tr>
        <w:tc>
          <w:tcPr>
            <w:tcW w:type="dxa" w:w="4176"/>
            <w:shd w:val="clear" w:color="auto" w:fill="F2F3F5"/>
          </w:tcPr>
          <w:p>
            <w:pPr>
              <w:spacing w:before="40" w:after="40"/>
              <w:jc w:val="left"/>
            </w:pPr>
            <w:r/>
            <w:r>
              <w:rPr>
                <w:rFonts w:ascii="Calibri" w:hAnsi="Calibri"/>
                <w:b w:val="0"/>
                <w:color w:val="1A1A1A"/>
                <w:sz w:val="19"/>
              </w:rPr>
              <w:t>Anti-squat</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4. Steering (front axle)</w:t>
      </w:r>
    </w:p>
    <w:p>
      <w:pPr>
        <w:spacing w:before="60" w:after="120"/>
      </w:pPr>
      <w:r>
        <w:rPr>
          <w:rFonts w:ascii="Calibri" w:hAnsi="Calibri"/>
          <w:i/>
          <w:color w:val="595959"/>
          <w:sz w:val="18"/>
        </w:rPr>
        <w:t>Absent in its entirety from the superseded document. Caster and mechanical trail set steering feel and effort; bump steer is the tie rod's primary KPI.</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Caster angle</w:t>
            </w:r>
          </w:p>
        </w:tc>
        <w:tc>
          <w:tcPr>
            <w:tcW w:type="dxa" w:w="5760"/>
          </w:tcPr>
          <w:p>
            <w:pPr>
              <w:spacing w:before="40" w:after="40"/>
              <w:jc w:val="left"/>
            </w:pPr>
            <w:r/>
            <w:r>
              <w:rPr>
                <w:rFonts w:ascii="Calibri" w:hAnsi="Calibri"/>
                <w:b w:val="0"/>
                <w:color w:val="1A1A1A"/>
                <w:sz w:val="19"/>
              </w:rPr>
              <w:t>5.00°</w:t>
            </w:r>
          </w:p>
        </w:tc>
      </w:tr>
      <w:tr>
        <w:tc>
          <w:tcPr>
            <w:tcW w:type="dxa" w:w="4176"/>
            <w:shd w:val="clear" w:color="auto" w:fill="F2F3F5"/>
          </w:tcPr>
          <w:p>
            <w:pPr>
              <w:spacing w:before="40" w:after="40"/>
              <w:jc w:val="left"/>
            </w:pPr>
            <w:r/>
            <w:r>
              <w:rPr>
                <w:rFonts w:ascii="Calibri" w:hAnsi="Calibri"/>
                <w:b w:val="0"/>
                <w:color w:val="1A1A1A"/>
                <w:sz w:val="19"/>
              </w:rPr>
              <w:t>Mechanical trail</w:t>
            </w:r>
          </w:p>
        </w:tc>
        <w:tc>
          <w:tcPr>
            <w:tcW w:type="dxa" w:w="5760"/>
            <w:shd w:val="clear" w:color="auto" w:fill="F2F3F5"/>
          </w:tcPr>
          <w:p>
            <w:pPr>
              <w:spacing w:before="40" w:after="40"/>
              <w:jc w:val="left"/>
            </w:pPr>
            <w:r/>
            <w:r>
              <w:rPr>
                <w:rFonts w:ascii="Calibri" w:hAnsi="Calibri"/>
                <w:b w:val="0"/>
                <w:color w:val="1A1A1A"/>
                <w:sz w:val="19"/>
              </w:rPr>
              <w:t>21.43 mm</w:t>
            </w:r>
          </w:p>
        </w:tc>
      </w:tr>
      <w:tr>
        <w:tc>
          <w:tcPr>
            <w:tcW w:type="dxa" w:w="4176"/>
          </w:tcPr>
          <w:p>
            <w:pPr>
              <w:spacing w:before="40" w:after="40"/>
              <w:jc w:val="left"/>
            </w:pPr>
            <w:r/>
            <w:r>
              <w:rPr>
                <w:rFonts w:ascii="Calibri" w:hAnsi="Calibri"/>
                <w:b w:val="0"/>
                <w:color w:val="1A1A1A"/>
                <w:sz w:val="19"/>
              </w:rPr>
              <w:t>Scrub radius (3D)</w:t>
            </w:r>
          </w:p>
        </w:tc>
        <w:tc>
          <w:tcPr>
            <w:tcW w:type="dxa" w:w="5760"/>
          </w:tcPr>
          <w:p>
            <w:pPr>
              <w:spacing w:before="40" w:after="40"/>
              <w:jc w:val="left"/>
            </w:pPr>
            <w:r/>
            <w:r>
              <w:rPr>
                <w:rFonts w:ascii="Calibri" w:hAnsi="Calibri"/>
                <w:b w:val="0"/>
                <w:color w:val="1A1A1A"/>
                <w:sz w:val="19"/>
              </w:rPr>
              <w:t>15.08 mm</w:t>
            </w:r>
          </w:p>
        </w:tc>
      </w:tr>
      <w:tr>
        <w:tc>
          <w:tcPr>
            <w:tcW w:type="dxa" w:w="4176"/>
            <w:shd w:val="clear" w:color="auto" w:fill="F2F3F5"/>
          </w:tcPr>
          <w:p>
            <w:pPr>
              <w:spacing w:before="40" w:after="40"/>
              <w:jc w:val="left"/>
            </w:pPr>
            <w:r/>
            <w:r>
              <w:rPr>
                <w:rFonts w:ascii="Calibri" w:hAnsi="Calibri"/>
                <w:b w:val="0"/>
                <w:color w:val="1A1A1A"/>
                <w:sz w:val="19"/>
              </w:rPr>
              <w:t>Steering arm length</w:t>
            </w:r>
          </w:p>
        </w:tc>
        <w:tc>
          <w:tcPr>
            <w:tcW w:type="dxa" w:w="5760"/>
            <w:shd w:val="clear" w:color="auto" w:fill="F2F3F5"/>
          </w:tcPr>
          <w:p>
            <w:pPr>
              <w:spacing w:before="40" w:after="40"/>
              <w:jc w:val="left"/>
            </w:pPr>
            <w:r/>
            <w:r>
              <w:rPr>
                <w:rFonts w:ascii="Calibri" w:hAnsi="Calibri"/>
                <w:b w:val="0"/>
                <w:color w:val="1A1A1A"/>
                <w:sz w:val="19"/>
              </w:rPr>
              <w:t>80.00 mm</w:t>
            </w:r>
          </w:p>
        </w:tc>
      </w:tr>
      <w:tr>
        <w:tc>
          <w:tcPr>
            <w:tcW w:type="dxa" w:w="4176"/>
          </w:tcPr>
          <w:p>
            <w:pPr>
              <w:spacing w:before="40" w:after="40"/>
              <w:jc w:val="left"/>
            </w:pPr>
            <w:r/>
            <w:r>
              <w:rPr>
                <w:rFonts w:ascii="Calibri" w:hAnsi="Calibri"/>
                <w:b w:val="0"/>
                <w:color w:val="1A1A1A"/>
                <w:sz w:val="19"/>
              </w:rPr>
              <w:t>Tie rod length</w:t>
            </w:r>
          </w:p>
        </w:tc>
        <w:tc>
          <w:tcPr>
            <w:tcW w:type="dxa" w:w="5760"/>
          </w:tcPr>
          <w:p>
            <w:pPr>
              <w:spacing w:before="40" w:after="40"/>
              <w:jc w:val="left"/>
            </w:pPr>
            <w:r/>
            <w:r>
              <w:rPr>
                <w:rFonts w:ascii="Calibri" w:hAnsi="Calibri"/>
                <w:b w:val="0"/>
                <w:color w:val="1A1A1A"/>
                <w:sz w:val="19"/>
              </w:rPr>
              <w:t>340.79 mm</w:t>
            </w:r>
          </w:p>
        </w:tc>
      </w:tr>
      <w:tr>
        <w:tc>
          <w:tcPr>
            <w:tcW w:type="dxa" w:w="4176"/>
            <w:shd w:val="clear" w:color="auto" w:fill="F2F3F5"/>
          </w:tcPr>
          <w:p>
            <w:pPr>
              <w:spacing w:before="40" w:after="40"/>
              <w:jc w:val="left"/>
            </w:pPr>
            <w:r/>
            <w:r>
              <w:rPr>
                <w:rFonts w:ascii="Calibri" w:hAnsi="Calibri"/>
                <w:b w:val="0"/>
                <w:color w:val="1A1A1A"/>
                <w:sz w:val="19"/>
              </w:rPr>
              <w:t>Rack position (x rearward, z)</w:t>
            </w:r>
          </w:p>
        </w:tc>
        <w:tc>
          <w:tcPr>
            <w:tcW w:type="dxa" w:w="5760"/>
            <w:shd w:val="clear" w:color="auto" w:fill="F2F3F5"/>
          </w:tcPr>
          <w:p>
            <w:pPr>
              <w:spacing w:before="40" w:after="40"/>
              <w:jc w:val="left"/>
            </w:pPr>
            <w:r/>
            <w:r>
              <w:rPr>
                <w:rFonts w:ascii="Calibri" w:hAnsi="Calibri"/>
                <w:b w:val="0"/>
                <w:color w:val="1A1A1A"/>
                <w:sz w:val="19"/>
              </w:rPr>
              <w:t>30.0, 158.3 mm</w:t>
            </w:r>
          </w:p>
        </w:tc>
      </w:tr>
      <w:tr>
        <w:tc>
          <w:tcPr>
            <w:tcW w:type="dxa" w:w="4176"/>
          </w:tcPr>
          <w:p>
            <w:pPr>
              <w:spacing w:before="40" w:after="40"/>
              <w:jc w:val="left"/>
            </w:pPr>
            <w:r/>
            <w:r>
              <w:rPr>
                <w:rFonts w:ascii="Calibri" w:hAnsi="Calibri"/>
                <w:b w:val="0"/>
                <w:color w:val="1A1A1A"/>
                <w:sz w:val="19"/>
              </w:rPr>
              <w:t>Rack half length / max travel</w:t>
            </w:r>
          </w:p>
        </w:tc>
        <w:tc>
          <w:tcPr>
            <w:tcW w:type="dxa" w:w="5760"/>
          </w:tcPr>
          <w:p>
            <w:pPr>
              <w:spacing w:before="40" w:after="40"/>
              <w:jc w:val="left"/>
            </w:pPr>
            <w:r/>
            <w:r>
              <w:rPr>
                <w:rFonts w:ascii="Calibri" w:hAnsi="Calibri"/>
                <w:b w:val="0"/>
                <w:color w:val="1A1A1A"/>
                <w:sz w:val="19"/>
              </w:rPr>
              <w:t>270.0 / ±38.0 mm</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Bump steer (per side)</w:t>
            </w:r>
          </w:p>
        </w:tc>
        <w:tc>
          <w:tcPr>
            <w:tcW w:type="dxa" w:w="5760"/>
          </w:tcPr>
          <w:p>
            <w:pPr>
              <w:spacing w:before="40" w:after="40"/>
              <w:jc w:val="left"/>
            </w:pPr>
            <w:r/>
            <w:r>
              <w:rPr>
                <w:rFonts w:ascii="Calibri" w:hAnsi="Calibri"/>
                <w:b w:val="0"/>
                <w:color w:val="1A1A1A"/>
                <w:sz w:val="19"/>
              </w:rPr>
              <w:t>-0.00010 °/mm</w:t>
            </w:r>
          </w:p>
        </w:tc>
      </w:tr>
      <w:tr>
        <w:tc>
          <w:tcPr>
            <w:tcW w:type="dxa" w:w="4176"/>
            <w:shd w:val="clear" w:color="auto" w:fill="F2F3F5"/>
          </w:tcPr>
          <w:p>
            <w:pPr>
              <w:spacing w:before="40" w:after="40"/>
              <w:jc w:val="left"/>
            </w:pPr>
            <w:r/>
            <w:r>
              <w:rPr>
                <w:rFonts w:ascii="Calibri" w:hAnsi="Calibri"/>
                <w:b w:val="0"/>
                <w:color w:val="1A1A1A"/>
                <w:sz w:val="19"/>
              </w:rPr>
              <w:t>Bump steer (total toe)</w:t>
            </w:r>
          </w:p>
        </w:tc>
        <w:tc>
          <w:tcPr>
            <w:tcW w:type="dxa" w:w="5760"/>
            <w:shd w:val="clear" w:color="auto" w:fill="F2F3F5"/>
          </w:tcPr>
          <w:p>
            <w:pPr>
              <w:spacing w:before="40" w:after="40"/>
              <w:jc w:val="left"/>
            </w:pPr>
            <w:r/>
            <w:r>
              <w:rPr>
                <w:rFonts w:ascii="Calibri" w:hAnsi="Calibri"/>
                <w:b w:val="0"/>
                <w:color w:val="1A1A1A"/>
                <w:sz w:val="19"/>
              </w:rPr>
              <w:t>+0.00021 °/mm</w:t>
            </w:r>
          </w:p>
        </w:tc>
      </w:tr>
      <w:tr>
        <w:tc>
          <w:tcPr>
            <w:tcW w:type="dxa" w:w="4176"/>
          </w:tcPr>
          <w:p>
            <w:pPr>
              <w:spacing w:before="40" w:after="40"/>
              <w:jc w:val="left"/>
            </w:pPr>
            <w:r/>
            <w:r>
              <w:rPr>
                <w:rFonts w:ascii="Calibri" w:hAnsi="Calibri"/>
                <w:b w:val="0"/>
                <w:color w:val="1A1A1A"/>
                <w:sz w:val="19"/>
              </w:rPr>
              <w:t>Toe at full bump / droop (per side)</w:t>
            </w:r>
          </w:p>
        </w:tc>
        <w:tc>
          <w:tcPr>
            <w:tcW w:type="dxa" w:w="5760"/>
          </w:tcPr>
          <w:p>
            <w:pPr>
              <w:spacing w:before="40" w:after="40"/>
              <w:jc w:val="left"/>
            </w:pPr>
            <w:r/>
            <w:r>
              <w:rPr>
                <w:rFonts w:ascii="Calibri" w:hAnsi="Calibri"/>
                <w:b w:val="0"/>
                <w:color w:val="1A1A1A"/>
                <w:sz w:val="19"/>
              </w:rPr>
              <w:t>+0.152 / +0.158 °</w:t>
            </w:r>
          </w:p>
        </w:tc>
      </w:tr>
      <w:tr>
        <w:tc>
          <w:tcPr>
            <w:tcW w:type="dxa" w:w="4176"/>
            <w:shd w:val="clear" w:color="auto" w:fill="F2F3F5"/>
          </w:tcPr>
          <w:p>
            <w:pPr>
              <w:spacing w:before="40" w:after="40"/>
              <w:jc w:val="left"/>
            </w:pPr>
            <w:r/>
            <w:r>
              <w:rPr>
                <w:rFonts w:ascii="Calibri" w:hAnsi="Calibri"/>
                <w:b w:val="0"/>
                <w:color w:val="1A1A1A"/>
                <w:sz w:val="19"/>
              </w:rPr>
              <w:t>C-factor</w:t>
            </w:r>
          </w:p>
        </w:tc>
        <w:tc>
          <w:tcPr>
            <w:tcW w:type="dxa" w:w="5760"/>
            <w:shd w:val="clear" w:color="auto" w:fill="F2F3F5"/>
          </w:tcPr>
          <w:p>
            <w:pPr>
              <w:spacing w:before="40" w:after="40"/>
              <w:jc w:val="left"/>
            </w:pPr>
            <w:r/>
            <w:r>
              <w:rPr>
                <w:rFonts w:ascii="Calibri" w:hAnsi="Calibri"/>
                <w:b w:val="0"/>
                <w:color w:val="1A1A1A"/>
                <w:sz w:val="19"/>
              </w:rPr>
              <w:t>-1.278 mm/°</w:t>
            </w:r>
          </w:p>
        </w:tc>
      </w:tr>
      <w:tr>
        <w:tc>
          <w:tcPr>
            <w:tcW w:type="dxa" w:w="4176"/>
          </w:tcPr>
          <w:p>
            <w:pPr>
              <w:spacing w:before="40" w:after="40"/>
              <w:jc w:val="left"/>
            </w:pPr>
            <w:r/>
            <w:r>
              <w:rPr>
                <w:rFonts w:ascii="Calibri" w:hAnsi="Calibri"/>
                <w:b w:val="0"/>
                <w:color w:val="1A1A1A"/>
                <w:sz w:val="19"/>
              </w:rPr>
              <w:t>Steering ratio</w:t>
            </w:r>
          </w:p>
        </w:tc>
        <w:tc>
          <w:tcPr>
            <w:tcW w:type="dxa" w:w="5760"/>
          </w:tcPr>
          <w:p>
            <w:pPr>
              <w:spacing w:before="40" w:after="40"/>
              <w:jc w:val="left"/>
            </w:pPr>
            <w:r/>
            <w:r>
              <w:rPr>
                <w:rFonts w:ascii="Calibri" w:hAnsi="Calibri"/>
                <w:b w:val="0"/>
                <w:color w:val="1A1A1A"/>
                <w:sz w:val="19"/>
              </w:rPr>
              <w:t>4.58 : 1</w:t>
            </w:r>
          </w:p>
        </w:tc>
      </w:tr>
      <w:tr>
        <w:tc>
          <w:tcPr>
            <w:tcW w:type="dxa" w:w="4176"/>
            <w:shd w:val="clear" w:color="auto" w:fill="F2F3F5"/>
          </w:tcPr>
          <w:p>
            <w:pPr>
              <w:spacing w:before="40" w:after="40"/>
              <w:jc w:val="left"/>
            </w:pPr>
            <w:r/>
            <w:r>
              <w:rPr>
                <w:rFonts w:ascii="Calibri" w:hAnsi="Calibri"/>
                <w:b w:val="0"/>
                <w:color w:val="1A1A1A"/>
                <w:sz w:val="19"/>
              </w:rPr>
              <w:t>Max steer at stroke (outer / inner)</w:t>
            </w:r>
          </w:p>
        </w:tc>
        <w:tc>
          <w:tcPr>
            <w:tcW w:type="dxa" w:w="5760"/>
            <w:shd w:val="clear" w:color="auto" w:fill="F2F3F5"/>
          </w:tcPr>
          <w:p>
            <w:pPr>
              <w:spacing w:before="40" w:after="40"/>
              <w:jc w:val="left"/>
            </w:pPr>
            <w:r/>
            <w:r>
              <w:rPr>
                <w:rFonts w:ascii="Calibri" w:hAnsi="Calibri"/>
                <w:b w:val="0"/>
                <w:color w:val="1A1A1A"/>
                <w:sz w:val="19"/>
              </w:rPr>
              <w:t>27.07 / 39.69°</w:t>
            </w:r>
          </w:p>
        </w:tc>
      </w:tr>
      <w:tr>
        <w:tc>
          <w:tcPr>
            <w:tcW w:type="dxa" w:w="4176"/>
          </w:tcPr>
          <w:p>
            <w:pPr>
              <w:spacing w:before="40" w:after="40"/>
              <w:jc w:val="left"/>
            </w:pPr>
            <w:r/>
            <w:r>
              <w:rPr>
                <w:rFonts w:ascii="Calibri" w:hAnsi="Calibri"/>
                <w:b w:val="0"/>
                <w:color w:val="1A1A1A"/>
                <w:sz w:val="19"/>
              </w:rPr>
              <w:t>Ackermann at target steer</w:t>
            </w:r>
          </w:p>
        </w:tc>
        <w:tc>
          <w:tcPr>
            <w:tcW w:type="dxa" w:w="5760"/>
          </w:tcPr>
          <w:p>
            <w:pPr>
              <w:spacing w:before="40" w:after="40"/>
              <w:jc w:val="left"/>
            </w:pPr>
            <w:r/>
            <w:r>
              <w:rPr>
                <w:rFonts w:ascii="Calibri" w:hAnsi="Calibri"/>
                <w:b w:val="0"/>
                <w:color w:val="1A1A1A"/>
                <w:sz w:val="19"/>
              </w:rPr>
              <w:t>70.0 %</w:t>
            </w:r>
          </w:p>
        </w:tc>
      </w:tr>
      <w:tr>
        <w:tc>
          <w:tcPr>
            <w:tcW w:type="dxa" w:w="4176"/>
            <w:shd w:val="clear" w:color="auto" w:fill="F2F3F5"/>
          </w:tcPr>
          <w:p>
            <w:pPr>
              <w:spacing w:before="40" w:after="40"/>
              <w:jc w:val="left"/>
            </w:pPr>
            <w:r/>
            <w:r>
              <w:rPr>
                <w:rFonts w:ascii="Calibri" w:hAnsi="Calibri"/>
                <w:b w:val="0"/>
                <w:color w:val="1A1A1A"/>
                <w:sz w:val="19"/>
              </w:rPr>
              <w:t>Worst rod-end misalignment</w:t>
            </w:r>
          </w:p>
        </w:tc>
        <w:tc>
          <w:tcPr>
            <w:tcW w:type="dxa" w:w="5760"/>
            <w:shd w:val="clear" w:color="auto" w:fill="F2F3F5"/>
          </w:tcPr>
          <w:p>
            <w:pPr>
              <w:spacing w:before="40" w:after="40"/>
              <w:jc w:val="left"/>
            </w:pPr>
            <w:r/>
            <w:r>
              <w:rPr>
                <w:rFonts w:ascii="Calibri" w:hAnsi="Calibri"/>
                <w:b w:val="0"/>
                <w:color w:val="1A1A1A"/>
                <w:sz w:val="19"/>
              </w:rPr>
              <w:t>5.54°</w:t>
            </w:r>
          </w:p>
        </w:tc>
      </w:tr>
    </w:tbl>
    <w:p>
      <w:pPr>
        <w:spacing w:after="0"/>
      </w:pPr>
    </w:p>
    <w:p>
      <w:pPr>
        <w:spacing w:before="60" w:after="120"/>
      </w:pPr>
      <w:r>
        <w:rPr>
          <w:rFonts w:ascii="Calibri" w:hAnsi="Calibri"/>
          <w:i/>
          <w:color w:val="595959"/>
          <w:sz w:val="18"/>
        </w:rPr>
        <w:t>Bump steer is per side and total toe separately, because per-side versus total has caused confusion on the real car. The gradient is effectively zero at static: both tie rods aim at their own front-view instant centre. The residual is second order and the same sign at both ends of travel, so roll steer stays near zero while total toe rises slightly at full travel.</w:t>
      </w:r>
    </w:p>
    <w:p>
      <w:pPr>
        <w:spacing w:before="200" w:after="100"/>
      </w:pPr>
      <w:r>
        <w:rPr>
          <w:rFonts w:ascii="Calibri" w:hAnsi="Calibri"/>
          <w:b/>
          <w:color w:val="1F3864"/>
          <w:sz w:val="22"/>
        </w:rPr>
        <w:t>Steering effort (parking)</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Fz per front wheel</w:t>
            </w:r>
          </w:p>
        </w:tc>
        <w:tc>
          <w:tcPr>
            <w:tcW w:type="dxa" w:w="5760"/>
          </w:tcPr>
          <w:p>
            <w:pPr>
              <w:spacing w:before="40" w:after="40"/>
              <w:jc w:val="left"/>
            </w:pPr>
            <w:r/>
            <w:r>
              <w:rPr>
                <w:rFonts w:ascii="Calibri" w:hAnsi="Calibri"/>
                <w:b w:val="0"/>
                <w:color w:val="1A1A1A"/>
                <w:sz w:val="19"/>
              </w:rPr>
              <w:t>849.8 N</w:t>
            </w:r>
          </w:p>
        </w:tc>
      </w:tr>
      <w:tr>
        <w:tc>
          <w:tcPr>
            <w:tcW w:type="dxa" w:w="4176"/>
            <w:shd w:val="clear" w:color="auto" w:fill="F2F3F5"/>
          </w:tcPr>
          <w:p>
            <w:pPr>
              <w:spacing w:before="40" w:after="40"/>
              <w:jc w:val="left"/>
            </w:pPr>
            <w:r/>
            <w:r>
              <w:rPr>
                <w:rFonts w:ascii="Calibri" w:hAnsi="Calibri"/>
                <w:b w:val="0"/>
                <w:color w:val="1A1A1A"/>
                <w:sz w:val="19"/>
              </w:rPr>
              <w:t>Kingpin moment per wheel</w:t>
            </w:r>
          </w:p>
        </w:tc>
        <w:tc>
          <w:tcPr>
            <w:tcW w:type="dxa" w:w="5760"/>
            <w:shd w:val="clear" w:color="auto" w:fill="F2F3F5"/>
          </w:tcPr>
          <w:p>
            <w:pPr>
              <w:spacing w:before="40" w:after="40"/>
              <w:jc w:val="left"/>
            </w:pPr>
            <w:r/>
            <w:r>
              <w:rPr>
                <w:rFonts w:ascii="Calibri" w:hAnsi="Calibri"/>
                <w:b w:val="0"/>
                <w:color w:val="1A1A1A"/>
                <w:sz w:val="19"/>
              </w:rPr>
              <w:t>22.27 N·m</w:t>
            </w:r>
          </w:p>
        </w:tc>
      </w:tr>
      <w:tr>
        <w:tc>
          <w:tcPr>
            <w:tcW w:type="dxa" w:w="4176"/>
          </w:tcPr>
          <w:p>
            <w:pPr>
              <w:spacing w:before="40" w:after="40"/>
              <w:jc w:val="left"/>
            </w:pPr>
            <w:r/>
            <w:r>
              <w:rPr>
                <w:rFonts w:ascii="Calibri" w:hAnsi="Calibri"/>
                <w:b w:val="0"/>
                <w:color w:val="1A1A1A"/>
                <w:sz w:val="19"/>
              </w:rPr>
              <w:t>Rack force (both wheels)</w:t>
            </w:r>
          </w:p>
        </w:tc>
        <w:tc>
          <w:tcPr>
            <w:tcW w:type="dxa" w:w="5760"/>
          </w:tcPr>
          <w:p>
            <w:pPr>
              <w:spacing w:before="40" w:after="40"/>
              <w:jc w:val="left"/>
            </w:pPr>
            <w:r/>
            <w:r>
              <w:rPr>
                <w:rFonts w:ascii="Calibri" w:hAnsi="Calibri"/>
                <w:b w:val="0"/>
                <w:color w:val="1A1A1A"/>
                <w:sz w:val="19"/>
              </w:rPr>
              <w:t>608.4 N</w:t>
            </w:r>
          </w:p>
        </w:tc>
      </w:tr>
      <w:tr>
        <w:tc>
          <w:tcPr>
            <w:tcW w:type="dxa" w:w="4176"/>
            <w:shd w:val="clear" w:color="auto" w:fill="F2F3F5"/>
          </w:tcPr>
          <w:p>
            <w:pPr>
              <w:spacing w:before="40" w:after="40"/>
              <w:jc w:val="left"/>
            </w:pPr>
            <w:r/>
            <w:r>
              <w:rPr>
                <w:rFonts w:ascii="Calibri" w:hAnsi="Calibri"/>
                <w:b w:val="0"/>
                <w:color w:val="1A1A1A"/>
                <w:sz w:val="19"/>
              </w:rPr>
              <w:t>Steering wheel torque</w:t>
            </w:r>
          </w:p>
        </w:tc>
        <w:tc>
          <w:tcPr>
            <w:tcW w:type="dxa" w:w="5760"/>
            <w:shd w:val="clear" w:color="auto" w:fill="F2F3F5"/>
          </w:tcPr>
          <w:p>
            <w:pPr>
              <w:spacing w:before="40" w:after="40"/>
              <w:jc w:val="left"/>
            </w:pPr>
            <w:r/>
            <w:r>
              <w:rPr>
                <w:rFonts w:ascii="Calibri" w:hAnsi="Calibri"/>
                <w:b w:val="0"/>
                <w:color w:val="1A1A1A"/>
                <w:sz w:val="19"/>
              </w:rPr>
              <w:t>9.73 N·m</w:t>
            </w:r>
          </w:p>
        </w:tc>
      </w:tr>
      <w:tr>
        <w:tc>
          <w:tcPr>
            <w:tcW w:type="dxa" w:w="4176"/>
          </w:tcPr>
          <w:p>
            <w:pPr>
              <w:spacing w:before="40" w:after="40"/>
              <w:jc w:val="left"/>
            </w:pPr>
            <w:r/>
            <w:r>
              <w:rPr>
                <w:rFonts w:ascii="Calibri" w:hAnsi="Calibri"/>
                <w:b w:val="0"/>
                <w:color w:val="1A1A1A"/>
                <w:sz w:val="19"/>
              </w:rPr>
              <w:t>Rim force</w:t>
            </w:r>
          </w:p>
        </w:tc>
        <w:tc>
          <w:tcPr>
            <w:tcW w:type="dxa" w:w="5760"/>
          </w:tcPr>
          <w:p>
            <w:pPr>
              <w:spacing w:before="40" w:after="40"/>
              <w:jc w:val="left"/>
            </w:pPr>
            <w:r/>
            <w:r>
              <w:rPr>
                <w:rFonts w:ascii="Calibri" w:hAnsi="Calibri"/>
                <w:b w:val="0"/>
                <w:color w:val="1A1A1A"/>
                <w:sz w:val="19"/>
              </w:rPr>
              <w:t>69.5 N</w:t>
            </w:r>
          </w:p>
        </w:tc>
      </w:tr>
    </w:tbl>
    <w:p>
      <w:pPr>
        <w:spacing w:after="0"/>
      </w:pPr>
    </w:p>
    <w:p>
      <w:pPr>
        <w:spacing w:before="60" w:after="120"/>
      </w:pPr>
      <w:r>
        <w:rPr>
          <w:rFonts w:ascii="Calibri" w:hAnsi="Calibri"/>
          <w:i w:val="0"/>
          <w:color w:val="9E241C"/>
          <w:sz w:val="18"/>
        </w:rPr>
        <w:t>Parking effort assumes a friction coefficient. PUCPR Racing has no TTC tyre data — this is a design_intent assumption, not a measured value.</w:t>
      </w:r>
    </w:p>
    <w:p>
      <w:pPr>
        <w:spacing w:before="320" w:after="100"/>
        <w:pBdr>
          <w:bottom w:val="single" w:sz="12" w:color="1F3864"/>
        </w:pBdr>
      </w:pPr>
      <w:r>
        <w:rPr>
          <w:rFonts w:ascii="Calibri" w:hAnsi="Calibri"/>
          <w:b/>
          <w:color w:val="1F3864"/>
          <w:sz w:val="28"/>
        </w:rPr>
        <w:t>5. Member lengths and sweep as built (true 3D)</w:t>
      </w:r>
    </w:p>
    <w:p>
      <w:pPr>
        <w:spacing w:before="60" w:after="120"/>
      </w:pPr>
      <w:r>
        <w:rPr>
          <w:rFonts w:ascii="Calibri" w:hAnsi="Calibri"/>
          <w:i/>
          <w:color w:val="595959"/>
          <w:sz w:val="18"/>
        </w:rPr>
        <w:t>Measured off the merged hardpoints in ISO 8855, after caster. These are the members that get cut, as opposed to the front-view projections checked in sections 2 and 3.</w:t>
      </w:r>
    </w:p>
    <w:p>
      <w:pPr>
        <w:spacing w:before="200" w:after="100"/>
      </w:pPr>
      <w:r>
        <w:rPr>
          <w:rFonts w:ascii="Calibri" w:hAnsi="Calibri"/>
          <w:b/>
          <w:color w:val="1F3864"/>
          <w:sz w:val="22"/>
        </w:rPr>
        <w:t>Front axle [FL]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424.49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430.61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392.96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385.39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260.30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260.00 / 10.06 mm   (e/a 0.077)</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240.00 / 12.28 mm   (e/a 0.102)</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340.79 mm</w:t>
            </w:r>
          </w:p>
        </w:tc>
      </w:tr>
    </w:tbl>
    <w:p>
      <w:pPr>
        <w:spacing w:after="0"/>
      </w:pPr>
    </w:p>
    <w:p>
      <w:pPr>
        <w:spacing w:before="200" w:after="100"/>
      </w:pPr>
      <w:r>
        <w:rPr>
          <w:rFonts w:ascii="Calibri" w:hAnsi="Calibri"/>
          <w:b/>
          <w:color w:val="1F3864"/>
          <w:sz w:val="22"/>
        </w:rPr>
        <w:t>Rear axle [RL]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423.73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386.13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351.42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263.23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180.00 / 90.00 mm   (e/a 1.000)</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160.00 / 80.00 mm   (e/a 1.000)</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364.59 mm</w:t>
            </w:r>
          </w:p>
        </w:tc>
      </w:tr>
    </w:tbl>
    <w:p>
      <w:pPr>
        <w:spacing w:after="0"/>
      </w:pPr>
    </w:p>
    <w:p>
      <w:pPr>
        <w:spacing w:before="60" w:after="120"/>
      </w:pPr>
      <w:r>
        <w:rPr>
          <w:rFonts w:ascii="Calibri" w:hAnsi="Calibri"/>
          <w:i w:val="0"/>
          <w:color w:val="9E241C"/>
          <w:sz w:val="18"/>
        </w:rPr>
        <w:t>Any leg flagged above is longer than the packaging window the front-view check passes it against. The swept rear legs matter most: e/a above 1 means the sweep roughly doubles the leg load, and buckling of a long compression member is outside this tool's scope. Someone has to check it.</w:t>
      </w:r>
    </w:p>
    <w:p>
      <w:pPr>
        <w:spacing w:before="320" w:after="100"/>
        <w:pBdr>
          <w:bottom w:val="single" w:sz="12" w:color="1F3864"/>
        </w:pBdr>
      </w:pPr>
      <w:r>
        <w:rPr>
          <w:rFonts w:ascii="Calibri" w:hAnsi="Calibri"/>
          <w:b/>
          <w:color w:val="1F3864"/>
          <w:sz w:val="28"/>
        </w:rPr>
        <w:t>6. Merged hardpoints (ISO 8855)</w:t>
      </w:r>
    </w:p>
    <w:p>
      <w:pPr>
        <w:spacing w:before="60" w:after="120"/>
      </w:pPr>
      <w:r>
        <w:rPr>
          <w:rFonts w:ascii="Calibri" w:hAnsi="Calibri"/>
          <w:i/>
          <w:color w:val="595959"/>
          <w:sz w:val="18"/>
        </w:rPr>
        <w:t>X POSITIVE FORWARD. Y POSITIVE LEFT. Z POSITIVE UP. Origin at the front axle centreline, ground plane, vehicle centreline. The rear axle is therefore at NEGATIVE X and right-hand corners at NEGATIVE Y. This is NOT the design frame used in sections 2 and 3.</w:t>
      </w:r>
    </w:p>
    <w:p>
      <w:pPr>
        <w:spacing w:before="200" w:after="100"/>
      </w:pPr>
      <w:r>
        <w:rPr>
          <w:rFonts w:ascii="Calibri" w:hAnsi="Calibri"/>
          <w:b/>
          <w:color w:val="1F3864"/>
          <w:sz w:val="22"/>
        </w:rPr>
        <w:t>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308.58</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308.58</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158.30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FR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308.58</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308.58</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158.30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321.91</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321.91</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-1360.00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321.91</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321.91</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-1360.00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60" w:after="120"/>
      </w:pPr>
      <w:r>
        <w:rPr>
          <w:rFonts w:ascii="Calibri" w:hAnsi="Calibri"/>
          <w:i/>
          <w:color w:val="595959"/>
          <w:sz w:val="18"/>
        </w:rPr>
        <w:t>* reference points, not hardpoints.</w:t>
      </w:r>
    </w:p>
    <w:p>
      <w:pPr>
        <w:spacing w:before="60" w:after="120"/>
      </w:pPr>
      <w:r>
        <w:rPr>
          <w:rFonts w:ascii="Calibri" w:hAnsi="Calibri"/>
          <w:i w:val="0"/>
          <w:color w:val="9E241C"/>
          <w:sz w:val="18"/>
        </w:rPr>
        <w:t>STATIC ALIGNMENT ENCODED HERE: camber -1.50°, toe +0.00° per side. CONTACT_PATCH sits directly below WHEEL_CENTER on all four corners, which is a zero-camber, zero-toe convention, while the rate and roll tables assume the design-intent static camber. Decide the convention once and apply it everywhere — see section 8.</w:t>
      </w:r>
    </w:p>
    <w:p>
      <w:pPr>
        <w:spacing w:before="320" w:after="100"/>
        <w:pBdr>
          <w:bottom w:val="single" w:sz="12" w:color="1F3864"/>
        </w:pBdr>
      </w:pPr>
      <w:r>
        <w:rPr>
          <w:rFonts w:ascii="Calibri" w:hAnsi="Calibri"/>
          <w:b/>
          <w:color w:val="1F3864"/>
          <w:sz w:val="28"/>
        </w:rPr>
        <w:t>7. Load case behind the leg forces</w:t>
      </w:r>
    </w:p>
    <w:p>
      <w:pPr>
        <w:spacing w:before="60" w:after="120"/>
      </w:pPr>
      <w:r>
        <w:rPr>
          <w:rFonts w:ascii="Calibri" w:hAnsi="Calibri"/>
          <w:i/>
          <w:color w:val="595959"/>
          <w:sz w:val="18"/>
        </w:rPr>
        <w:t>The superseded document printed leg forces with no stated load case, so they could not be checked or defended. These are the assumptions.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Assumption</w:t>
            </w:r>
          </w:p>
        </w:tc>
        <w:tc>
          <w:tcPr>
            <w:tcW w:type="dxa" w:w="2736"/>
            <w:shd w:val="clear" w:color="auto" w:fill="1F3864"/>
          </w:tcPr>
          <w:p>
            <w:pPr>
              <w:spacing w:before="40" w:after="40"/>
              <w:jc w:val="right"/>
            </w:pPr>
            <w:r/>
            <w:r>
              <w:rPr>
                <w:rFonts w:ascii="Calibri" w:hAnsi="Calibri"/>
                <w:b/>
                <w:color w:val="FFFFFF"/>
                <w:sz w:val="18"/>
              </w:rPr>
              <w:t>Value</w:t>
            </w:r>
          </w:p>
        </w:tc>
        <w:tc>
          <w:tcPr>
            <w:tcW w:type="dxa" w:w="2592"/>
            <w:shd w:val="clear" w:color="auto" w:fill="1F3864"/>
          </w:tcPr>
          <w:p>
            <w:pPr>
              <w:spacing w:before="40" w:after="40"/>
              <w:jc w:val="right"/>
            </w:pPr>
            <w:r/>
            <w:r>
              <w:rPr>
                <w:rFonts w:ascii="Calibri" w:hAnsi="Calibri"/>
                <w:b/>
                <w:color w:val="FFFFFF"/>
                <w:sz w:val="18"/>
              </w:rPr>
              <w:t>Source</w:t>
            </w:r>
          </w:p>
        </w:tc>
      </w:tr>
      <w:tr>
        <w:tc>
          <w:tcPr>
            <w:tcW w:type="dxa" w:w="4608"/>
          </w:tcPr>
          <w:p>
            <w:pPr>
              <w:spacing w:before="40" w:after="40"/>
              <w:jc w:val="left"/>
            </w:pPr>
            <w:r/>
            <w:r>
              <w:rPr>
                <w:rFonts w:ascii="Calibri" w:hAnsi="Calibri"/>
                <w:b w:val="0"/>
                <w:color w:val="1A1A1A"/>
                <w:sz w:val="19"/>
              </w:rPr>
              <w:t>Total mass</w:t>
            </w:r>
          </w:p>
        </w:tc>
        <w:tc>
          <w:tcPr>
            <w:tcW w:type="dxa" w:w="2736"/>
          </w:tcPr>
          <w:p>
            <w:pPr>
              <w:spacing w:before="40" w:after="40"/>
              <w:jc w:val="right"/>
            </w:pPr>
            <w:r/>
            <w:r>
              <w:rPr>
                <w:rFonts w:ascii="Consolas" w:hAnsi="Consolas"/>
                <w:b w:val="0"/>
                <w:color w:val="1A1A1A"/>
                <w:sz w:val="19"/>
              </w:rPr>
              <w:t>315.0 kg</w:t>
            </w:r>
          </w:p>
        </w:tc>
        <w:tc>
          <w:tcPr>
            <w:tcW w:type="dxa" w:w="2592"/>
          </w:tcPr>
          <w:p>
            <w:pPr>
              <w:spacing w:before="40" w:after="40"/>
              <w:jc w:val="right"/>
            </w:pPr>
            <w:r/>
            <w:r>
              <w:rPr>
                <w:rFonts w:ascii="Consolas" w:hAnsi="Consolas"/>
                <w:b w:val="0"/>
                <w:color w:val="1A1A1A"/>
                <w:sz w:val="19"/>
              </w:rPr>
              <w:t>input</w:t>
            </w:r>
          </w:p>
        </w:tc>
      </w:tr>
      <w:tr>
        <w:tc>
          <w:tcPr>
            <w:tcW w:type="dxa" w:w="4608"/>
            <w:shd w:val="clear" w:color="auto" w:fill="F2F3F5"/>
          </w:tcPr>
          <w:p>
            <w:pPr>
              <w:spacing w:before="40" w:after="40"/>
              <w:jc w:val="left"/>
            </w:pPr>
            <w:r/>
            <w:r>
              <w:rPr>
                <w:rFonts w:ascii="Calibri" w:hAnsi="Calibri"/>
                <w:b w:val="0"/>
                <w:color w:val="1A1A1A"/>
                <w:sz w:val="19"/>
              </w:rPr>
              <w:t>Front mass fraction</w:t>
            </w:r>
          </w:p>
        </w:tc>
        <w:tc>
          <w:tcPr>
            <w:tcW w:type="dxa" w:w="2736"/>
            <w:shd w:val="clear" w:color="auto" w:fill="F2F3F5"/>
          </w:tcPr>
          <w:p>
            <w:pPr>
              <w:spacing w:before="40" w:after="40"/>
              <w:jc w:val="right"/>
            </w:pPr>
            <w:r/>
            <w:r>
              <w:rPr>
                <w:rFonts w:ascii="Consolas" w:hAnsi="Consolas"/>
                <w:b w:val="0"/>
                <w:color w:val="1A1A1A"/>
                <w:sz w:val="19"/>
              </w:rPr>
              <w:t>55.0 %</w:t>
            </w:r>
          </w:p>
        </w:tc>
        <w:tc>
          <w:tcPr>
            <w:tcW w:type="dxa" w:w="2592"/>
            <w:shd w:val="clear" w:color="auto" w:fill="F2F3F5"/>
          </w:tcPr>
          <w:p>
            <w:pPr>
              <w:spacing w:before="40" w:after="40"/>
              <w:jc w:val="right"/>
            </w:pPr>
            <w:r/>
            <w:r>
              <w:rPr>
                <w:rFonts w:ascii="Consolas" w:hAnsi="Consolas"/>
                <w:b w:val="0"/>
                <w:color w:val="1A1A1A"/>
                <w:sz w:val="19"/>
              </w:rPr>
              <w:t>input</w:t>
            </w:r>
          </w:p>
        </w:tc>
      </w:tr>
      <w:tr>
        <w:tc>
          <w:tcPr>
            <w:tcW w:type="dxa" w:w="4608"/>
          </w:tcPr>
          <w:p>
            <w:pPr>
              <w:spacing w:before="40" w:after="40"/>
              <w:jc w:val="left"/>
            </w:pPr>
            <w:r/>
            <w:r>
              <w:rPr>
                <w:rFonts w:ascii="Calibri" w:hAnsi="Calibri"/>
                <w:b w:val="0"/>
                <w:color w:val="1A1A1A"/>
                <w:sz w:val="19"/>
              </w:rPr>
              <w:t>CG height</w:t>
            </w:r>
          </w:p>
        </w:tc>
        <w:tc>
          <w:tcPr>
            <w:tcW w:type="dxa" w:w="2736"/>
          </w:tcPr>
          <w:p>
            <w:pPr>
              <w:spacing w:before="40" w:after="40"/>
              <w:jc w:val="right"/>
            </w:pPr>
            <w:r/>
            <w:r>
              <w:rPr>
                <w:rFonts w:ascii="Consolas" w:hAnsi="Consolas"/>
                <w:b w:val="0"/>
                <w:color w:val="1A1A1A"/>
                <w:sz w:val="19"/>
              </w:rPr>
              <w:t>320.0 mm</w:t>
            </w:r>
          </w:p>
        </w:tc>
        <w:tc>
          <w:tcPr>
            <w:tcW w:type="dxa" w:w="2592"/>
          </w:tcPr>
          <w:p>
            <w:pPr>
              <w:spacing w:before="40" w:after="40"/>
              <w:jc w:val="right"/>
            </w:pPr>
            <w:r/>
            <w:r>
              <w:rPr>
                <w:rFonts w:ascii="Consolas" w:hAnsi="Consolas"/>
                <w:b w:val="0"/>
                <w:color w:val="1A1A1A"/>
                <w:sz w:val="19"/>
              </w:rPr>
              <w:t>estimate</w:t>
            </w:r>
          </w:p>
        </w:tc>
      </w:tr>
      <w:tr>
        <w:tc>
          <w:tcPr>
            <w:tcW w:type="dxa" w:w="4608"/>
            <w:shd w:val="clear" w:color="auto" w:fill="F2F3F5"/>
          </w:tcPr>
          <w:p>
            <w:pPr>
              <w:spacing w:before="40" w:after="40"/>
              <w:jc w:val="left"/>
            </w:pPr>
            <w:r/>
            <w:r>
              <w:rPr>
                <w:rFonts w:ascii="Calibri" w:hAnsi="Calibri"/>
                <w:b w:val="0"/>
                <w:color w:val="1A1A1A"/>
                <w:sz w:val="19"/>
              </w:rPr>
              <w:t>Lateral friction coefficient</w:t>
            </w:r>
          </w:p>
        </w:tc>
        <w:tc>
          <w:tcPr>
            <w:tcW w:type="dxa" w:w="2736"/>
            <w:shd w:val="clear" w:color="auto" w:fill="F2F3F5"/>
          </w:tcPr>
          <w:p>
            <w:pPr>
              <w:spacing w:before="40" w:after="40"/>
              <w:jc w:val="right"/>
            </w:pPr>
            <w:r/>
            <w:r>
              <w:rPr>
                <w:rFonts w:ascii="Consolas" w:hAnsi="Consolas"/>
                <w:b w:val="0"/>
                <w:color w:val="1A1A1A"/>
                <w:sz w:val="19"/>
              </w:rPr>
              <w:t>1.50</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Longitudinal friction coefficient</w:t>
            </w:r>
          </w:p>
        </w:tc>
        <w:tc>
          <w:tcPr>
            <w:tcW w:type="dxa" w:w="2736"/>
          </w:tcPr>
          <w:p>
            <w:pPr>
              <w:spacing w:before="40" w:after="40"/>
              <w:jc w:val="right"/>
            </w:pPr>
            <w:r/>
            <w:r>
              <w:rPr>
                <w:rFonts w:ascii="Consolas" w:hAnsi="Consolas"/>
                <w:b w:val="0"/>
                <w:color w:val="1A1A1A"/>
                <w:sz w:val="19"/>
              </w:rPr>
              <w:t>1.40</w:t>
            </w:r>
          </w:p>
        </w:tc>
        <w:tc>
          <w:tcPr>
            <w:tcW w:type="dxa" w:w="2592"/>
          </w:tcPr>
          <w:p>
            <w:pPr>
              <w:spacing w:before="40" w:after="40"/>
              <w:jc w:val="right"/>
            </w:pPr>
            <w:r/>
            <w:r>
              <w:rPr>
                <w:rFonts w:ascii="Consolas" w:hAnsi="Consolas"/>
                <w:b w:val="0"/>
                <w:color w:val="1A1A1A"/>
                <w:sz w:val="19"/>
              </w:rPr>
              <w:t>design_intent</w:t>
            </w:r>
          </w:p>
        </w:tc>
      </w:tr>
      <w:tr>
        <w:tc>
          <w:tcPr>
            <w:tcW w:type="dxa" w:w="4608"/>
            <w:shd w:val="clear" w:color="auto" w:fill="F2F3F5"/>
          </w:tcPr>
          <w:p>
            <w:pPr>
              <w:spacing w:before="40" w:after="40"/>
              <w:jc w:val="left"/>
            </w:pPr>
            <w:r/>
            <w:r>
              <w:rPr>
                <w:rFonts w:ascii="Calibri" w:hAnsi="Calibri"/>
                <w:b w:val="0"/>
                <w:color w:val="1A1A1A"/>
                <w:sz w:val="19"/>
              </w:rPr>
              <w:t>Lateral acceleration</w:t>
            </w:r>
          </w:p>
        </w:tc>
        <w:tc>
          <w:tcPr>
            <w:tcW w:type="dxa" w:w="2736"/>
            <w:shd w:val="clear" w:color="auto" w:fill="F2F3F5"/>
          </w:tcPr>
          <w:p>
            <w:pPr>
              <w:spacing w:before="40" w:after="40"/>
              <w:jc w:val="right"/>
            </w:pPr>
            <w:r/>
            <w:r>
              <w:rPr>
                <w:rFonts w:ascii="Consolas" w:hAnsi="Consolas"/>
                <w:b w:val="0"/>
                <w:color w:val="1A1A1A"/>
                <w:sz w:val="19"/>
              </w:rPr>
              <w:t>1.50 g</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Lateral load transfer distribution</w:t>
            </w:r>
          </w:p>
        </w:tc>
        <w:tc>
          <w:tcPr>
            <w:tcW w:type="dxa" w:w="2736"/>
          </w:tcPr>
          <w:p>
            <w:pPr>
              <w:spacing w:before="40" w:after="40"/>
              <w:jc w:val="right"/>
            </w:pPr>
            <w:r/>
            <w:r>
              <w:rPr>
                <w:rFonts w:ascii="Consolas" w:hAnsi="Consolas"/>
                <w:b w:val="0"/>
                <w:color w:val="1A1A1A"/>
                <w:sz w:val="19"/>
              </w:rPr>
              <w:t>0.55</w:t>
            </w:r>
          </w:p>
        </w:tc>
        <w:tc>
          <w:tcPr>
            <w:tcW w:type="dxa" w:w="2592"/>
          </w:tcPr>
          <w:p>
            <w:pPr>
              <w:spacing w:before="40" w:after="40"/>
              <w:jc w:val="right"/>
            </w:pPr>
            <w:r/>
            <w:r>
              <w:rPr>
                <w:rFonts w:ascii="Consolas" w:hAnsi="Consolas"/>
                <w:b w:val="0"/>
                <w:color w:val="1A1A1A"/>
                <w:sz w:val="19"/>
              </w:rPr>
              <w:t>design_intent</w:t>
            </w:r>
          </w:p>
        </w:tc>
      </w:tr>
    </w:tbl>
    <w:p>
      <w:pPr>
        <w:spacing w:after="0"/>
      </w:pPr>
    </w:p>
    <w:p>
      <w:pPr>
        <w:spacing w:before="60" w:after="120"/>
      </w:pPr>
      <w:r>
        <w:rPr>
          <w:rFonts w:ascii="Calibri" w:hAnsi="Calibri"/>
          <w:i w:val="0"/>
          <w:color w:val="9E241C"/>
          <w:sz w:val="18"/>
        </w:rPr>
        <w:t>TWO LIMITS, to be repeated wherever the force table appears:</w:t>
      </w:r>
    </w:p>
    <w:p>
      <w:pPr>
        <w:spacing w:before="60" w:after="120"/>
      </w:pPr>
      <w:r>
        <w:rPr>
          <w:rFonts w:ascii="Calibri" w:hAnsi="Calibri"/>
          <w:i w:val="0"/>
          <w:color w:val="595959"/>
          <w:sz w:val="18"/>
        </w:rPr>
        <w:t>1. The friction coefficients are a TYRE assumption. PUCPR Racing has no TTC data, so every force inherits an unmeasured input.</w:t>
      </w:r>
    </w:p>
    <w:p>
      <w:pPr>
        <w:spacing w:before="60" w:after="120"/>
      </w:pPr>
      <w:r>
        <w:rPr>
          <w:rFonts w:ascii="Calibri" w:hAnsi="Calibri"/>
          <w:i w:val="0"/>
          <w:color w:val="595959"/>
          <w:sz w:val="18"/>
        </w:rPr>
        <w:t>2. There is no pushrod in this model. An upright on two A-arms and a tie rod has five constraints against six degrees of freedom; the sixth member is the pushrod. The solve closes the system by treating the UCA as a two-force member with no X component and enforcing only the moment about the roll axis, and it places the front ball joints at zero caster, so braking generates no kingpin moment and the tie rod carries nothing.</w:t>
      </w:r>
    </w:p>
    <w:p>
      <w:pPr>
        <w:spacing w:before="60" w:after="120"/>
      </w:pPr>
      <w:r>
        <w:rPr>
          <w:rFonts w:ascii="Calibri" w:hAnsi="Calibri"/>
          <w:i w:val="0"/>
          <w:color w:val="595959"/>
          <w:sz w:val="18"/>
        </w:rPr>
        <w:t>These are screening numbers. They are NOT a load set to size tubes from.</w:t>
      </w:r>
    </w:p>
    <w:p>
      <w:pPr>
        <w:spacing w:before="320" w:after="100"/>
        <w:pBdr>
          <w:bottom w:val="single" w:sz="12" w:color="1F3864"/>
        </w:pBdr>
      </w:pPr>
      <w:r>
        <w:rPr>
          <w:rFonts w:ascii="Calibri" w:hAnsi="Calibri"/>
          <w:b/>
          <w:color w:val="1F3864"/>
          <w:sz w:val="28"/>
        </w:rPr>
        <w:t>8. Open items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Item</w:t>
            </w:r>
          </w:p>
        </w:tc>
        <w:tc>
          <w:tcPr>
            <w:tcW w:type="dxa" w:w="2736"/>
            <w:shd w:val="clear" w:color="auto" w:fill="1F3864"/>
          </w:tcPr>
          <w:p>
            <w:pPr>
              <w:spacing w:before="40" w:after="40"/>
              <w:jc w:val="right"/>
            </w:pPr>
            <w:r/>
            <w:r>
              <w:rPr>
                <w:rFonts w:ascii="Calibri" w:hAnsi="Calibri"/>
                <w:b/>
                <w:color w:val="FFFFFF"/>
                <w:sz w:val="18"/>
              </w:rPr>
              <w:t>Effect</w:t>
            </w:r>
          </w:p>
        </w:tc>
        <w:tc>
          <w:tcPr>
            <w:tcW w:type="dxa" w:w="2592"/>
            <w:shd w:val="clear" w:color="auto" w:fill="1F3864"/>
          </w:tcPr>
          <w:p>
            <w:pPr>
              <w:spacing w:before="40" w:after="40"/>
              <w:jc w:val="right"/>
            </w:pPr>
            <w:r/>
            <w:r>
              <w:rPr>
                <w:rFonts w:ascii="Calibri" w:hAnsi="Calibri"/>
                <w:b/>
                <w:color w:val="FFFFFF"/>
                <w:sz w:val="18"/>
              </w:rPr>
              <w:t>Consequence</w:t>
            </w:r>
          </w:p>
        </w:tc>
      </w:tr>
      <w:tr>
        <w:tc>
          <w:tcPr>
            <w:tcW w:type="dxa" w:w="4608"/>
          </w:tcPr>
          <w:p>
            <w:pPr>
              <w:spacing w:before="40" w:after="40"/>
              <w:jc w:val="left"/>
            </w:pPr>
            <w:r/>
            <w:r>
              <w:rPr>
                <w:rFonts w:ascii="Calibri" w:hAnsi="Calibri"/>
                <w:b w:val="0"/>
                <w:color w:val="1A1A1A"/>
                <w:sz w:val="19"/>
              </w:rPr>
              <w:t>Front scrub if static camber were built in</w:t>
            </w:r>
          </w:p>
        </w:tc>
        <w:tc>
          <w:tcPr>
            <w:tcW w:type="dxa" w:w="2736"/>
          </w:tcPr>
          <w:p>
            <w:pPr>
              <w:spacing w:before="40" w:after="40"/>
              <w:jc w:val="right"/>
            </w:pPr>
            <w:r/>
            <w:r>
              <w:rPr>
                <w:rFonts w:ascii="Consolas" w:hAnsi="Consolas"/>
                <w:b w:val="0"/>
                <w:color w:val="1A1A1A"/>
                <w:sz w:val="19"/>
              </w:rPr>
              <w:t>15.08 → 21.49 mm</w:t>
            </w:r>
          </w:p>
        </w:tc>
        <w:tc>
          <w:tcPr>
            <w:tcW w:type="dxa" w:w="2592"/>
          </w:tcPr>
          <w:p>
            <w:pPr>
              <w:spacing w:before="40" w:after="40"/>
              <w:jc w:val="right"/>
            </w:pPr>
            <w:r/>
            <w:r>
              <w:rPr>
                <w:rFonts w:ascii="Consolas" w:hAnsi="Consolas"/>
                <w:b w:val="0"/>
                <w:color w:val="1A1A1A"/>
                <w:sz w:val="19"/>
              </w:rPr>
              <w:t>still in window</w:t>
            </w:r>
          </w:p>
        </w:tc>
      </w:tr>
      <w:tr>
        <w:tc>
          <w:tcPr>
            <w:tcW w:type="dxa" w:w="4608"/>
            <w:shd w:val="clear" w:color="auto" w:fill="F2F3F5"/>
          </w:tcPr>
          <w:p>
            <w:pPr>
              <w:spacing w:before="40" w:after="40"/>
              <w:jc w:val="left"/>
            </w:pPr>
            <w:r/>
            <w:r>
              <w:rPr>
                <w:rFonts w:ascii="Calibri" w:hAnsi="Calibri"/>
                <w:b w:val="0"/>
                <w:color w:val="1A1A1A"/>
                <w:sz w:val="19"/>
              </w:rPr>
              <w:t>Rear scrub if static camber were built in</w:t>
            </w:r>
          </w:p>
        </w:tc>
        <w:tc>
          <w:tcPr>
            <w:tcW w:type="dxa" w:w="2736"/>
            <w:shd w:val="clear" w:color="auto" w:fill="F2F3F5"/>
          </w:tcPr>
          <w:p>
            <w:pPr>
              <w:spacing w:before="40" w:after="40"/>
              <w:jc w:val="right"/>
            </w:pPr>
            <w:r/>
            <w:r>
              <w:rPr>
                <w:rFonts w:ascii="Consolas" w:hAnsi="Consolas"/>
                <w:b w:val="0"/>
                <w:color w:val="1A1A1A"/>
                <w:sz w:val="19"/>
              </w:rPr>
              <w:t>21.97 → 28.39 mm</w:t>
            </w:r>
          </w:p>
        </w:tc>
        <w:tc>
          <w:tcPr>
            <w:tcW w:type="dxa" w:w="2592"/>
            <w:shd w:val="clear" w:color="auto" w:fill="F2F3F5"/>
          </w:tcPr>
          <w:p>
            <w:pPr>
              <w:spacing w:before="40" w:after="40"/>
              <w:jc w:val="right"/>
            </w:pPr>
            <w:r/>
            <w:r>
              <w:rPr>
                <w:rFonts w:ascii="Consolas" w:hAnsi="Consolas"/>
                <w:b w:val="0"/>
                <w:color w:val="1A1A1A"/>
                <w:sz w:val="19"/>
              </w:rPr>
              <w:t>leaves the 5 to 25 window</w:t>
            </w:r>
          </w:p>
        </w:tc>
      </w:tr>
    </w:tbl>
    <w:p>
      <w:pPr>
        <w:spacing w:after="0"/>
      </w:pPr>
    </w:p>
    <w:p>
      <w:pPr>
        <w:spacing w:before="60" w:after="120"/>
      </w:pPr>
      <w:r>
        <w:rPr>
          <w:rFonts w:ascii="Calibri" w:hAnsi="Calibri"/>
          <w:i w:val="0"/>
          <w:color w:val="595959"/>
          <w:sz w:val="18"/>
        </w:rPr>
        <w:t>The static camber / toe convention has to be decided once: either the export carries it and scrub radius moves, or it does not and the rate tables stop claiming it.</w:t>
      </w:r>
    </w:p>
    <w:p>
      <w:pPr>
        <w:spacing w:before="60" w:after="120"/>
      </w:pPr>
      <w:r>
        <w:rPr>
          <w:rFonts w:ascii="Calibri" w:hAnsi="Calibri"/>
          <w:i w:val="0"/>
          <w:color w:val="595959"/>
          <w:sz w:val="18"/>
        </w:rPr>
        <w:t>The front mass fraction is an unusual value for a rear-drive car and it drives both the roll-stiffness requirement and every leg force. Confirm it before the chassis is sized against it.</w:t>
      </w:r>
    </w:p>
    <w:p>
      <w:pPr>
        <w:spacing w:before="60" w:after="120"/>
      </w:pPr>
      <w:r>
        <w:rPr>
          <w:rFonts w:ascii="Calibri" w:hAnsi="Calibri"/>
          <w:i w:val="0"/>
          <w:color w:val="595959"/>
          <w:sz w:val="18"/>
        </w:rPr>
        <w:t>The rear tie rod has no synthesis script and no test.</w:t>
      </w:r>
    </w:p>
    <w:p>
      <w:pPr>
        <w:spacing w:before="60" w:after="120"/>
      </w:pPr>
      <w:r>
        <w:rPr>
          <w:rFonts w:ascii="Calibri" w:hAnsi="Calibri"/>
          <w:i w:val="0"/>
          <w:color w:val="595959"/>
          <w:sz w:val="18"/>
        </w:rPr>
        <w:t>Deliberately not computed here, and out of scope for this tool: wheel rates, motion ratio, ride frequency, damping; stress, deflection, fatigue, buckling; anything requiring tyre data until TTC data is acquired.</w:t>
      </w:r>
    </w:p>
    <w:p>
      <w:pPr>
        <w:spacing w:before="320" w:after="100"/>
        <w:pBdr>
          <w:bottom w:val="single" w:sz="12" w:color="1F3864"/>
        </w:pBdr>
      </w:pPr>
      <w:r>
        <w:rPr>
          <w:rFonts w:ascii="Calibri" w:hAnsi="Calibri"/>
          <w:b/>
          <w:color w:val="1F3864"/>
          <w:sz w:val="28"/>
        </w:rPr>
        <w:t>9. Charts</w:t>
      </w:r>
    </w:p>
    <w:p>
      <w:pPr>
        <w:spacing w:before="60" w:after="120"/>
      </w:pPr>
      <w:r>
        <w:rPr>
          <w:rFonts w:ascii="Calibri" w:hAnsi="Calibri"/>
          <w:i/>
          <w:color w:val="595959"/>
          <w:sz w:val="18"/>
        </w:rPr>
        <w:t>Regenerated from sla_geometry.py in its corrected mode. The plots in the superseded document came from a mix of toolchains and disagreed with its own tables.</w:t>
      </w:r>
    </w:p>
    <w:p>
      <w:pPr>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geometria.png"/>
                    <pic:cNvPicPr/>
                  </pic:nvPicPr>
                  <pic:blipFill>
                    <a:blip r:embed="rId9"/>
                    <a:stretch>
                      <a:fillRect/>
                    </a:stretch>
                  </pic:blipFill>
                  <pic:spPr>
                    <a:xfrm>
                      <a:off x="0" y="0"/>
                      <a:ext cx="6309360" cy="3549015"/>
                    </a:xfrm>
                    <a:prstGeom prst="rect"/>
                  </pic:spPr>
                </pic:pic>
              </a:graphicData>
            </a:graphic>
          </wp:inline>
        </w:drawing>
      </w:r>
    </w:p>
    <w:p>
      <w:pPr>
        <w:spacing w:before="60" w:after="120"/>
      </w:pPr>
      <w:r>
        <w:rPr>
          <w:rFonts w:ascii="Calibri" w:hAnsi="Calibri"/>
          <w:i/>
          <w:color w:val="595959"/>
          <w:sz w:val="18"/>
        </w:rPr>
        <w:t>Front-view construction, camber and roll centre vs travel, half-track change, and roll behaviour — front and rear.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