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23.png" ContentType="image/png"/>
  <Override PartName="/word/media/rId25.png" ContentType="image/png"/>
  <Override PartName="/word/media/rId28.png" ContentType="image/png"/>
  <Override PartName="/word/media/rId30.png" ContentType="image/png"/>
  <Override PartName="/word/media/rId32.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General</w:t>
      </w:r>
      <w:r>
        <w:t xml:space="preserve"> </w:t>
      </w:r>
      <w:r>
        <w:t xml:space="preserve">and</w:t>
      </w:r>
      <w:r>
        <w:t xml:space="preserve"> </w:t>
      </w:r>
      <w:r>
        <w:t xml:space="preserve">Colorectal</w:t>
      </w:r>
      <w:r>
        <w:t xml:space="preserve"> </w:t>
      </w:r>
      <w:r>
        <w:t xml:space="preserve">Clinics</w:t>
      </w:r>
      <w:r>
        <w:t xml:space="preserve"> </w:t>
      </w:r>
      <w:r>
        <w:t xml:space="preserve">Utilisation</w:t>
      </w:r>
      <w:r>
        <w:t xml:space="preserve"> </w:t>
      </w:r>
      <w:r>
        <w:t xml:space="preserve">Report</w:t>
      </w:r>
    </w:p>
    <w:p>
      <w:pPr>
        <w:pStyle w:val="Author"/>
      </w:pPr>
      <w:r>
        <w:t xml:space="preserve">M.Mohamed;M.Ali;M.Rao</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2"/>
      </w:pPr>
      <w:bookmarkStart w:id="20" w:name="a-comparison-across-clinics-and-between-pilgrim-and-peripheral-sites"/>
      <w:r>
        <w:t xml:space="preserve">A comparison across clinics and between pilgrim and peripheral sites</w:t>
      </w:r>
      <w:bookmarkEnd w:id="20"/>
    </w:p>
    <w:p>
      <w:r>
        <w:pict>
          <v:rect style="width:0;height:1.5pt" o:hralign="center" o:hrstd="t" o:hr="t"/>
        </w:pict>
      </w:r>
    </w:p>
    <w:p>
      <w:pPr>
        <w:pStyle w:val="FirstParagraph"/>
      </w:pPr>
      <w:r>
        <w:t xml:space="preserve">The aim of this project is to audit our use of general surgery and colorectal surgery clinics. We acquired our clinic attendance data from hospital information services. We further analysed this data to assess our utilization and DNAs. These are the clinic codes use for the purpose of this analysis</w:t>
      </w:r>
      <w:r>
        <w:t xml:space="preserve"> </w:t>
      </w:r>
      <w:r>
        <w:rPr>
          <w:b/>
        </w:rPr>
        <w:t xml:space="preserve">JH-MIRO2, JH-ZAIO4, PH-ATE35, PH-ATEPF, PH-GOR52, PH-MIR41, PH-MIRPF, PH-MMC35, PH-MOB21, PH-MOB40, PH-RTH11, PH-RTH45, PH-ZAI50, SD-MMCSD, SD-ATESD</w:t>
      </w:r>
    </w:p>
    <w:p>
      <w:r>
        <w:pict>
          <v:rect style="width:0;height:1.5pt" o:hralign="center" o:hrstd="t" o:hr="t"/>
        </w:pict>
      </w:r>
    </w:p>
    <w:p>
      <w:r>
        <w:br w:type="page"/>
      </w:r>
    </w:p>
    <w:p>
      <w:pPr>
        <w:pStyle w:val="Heading2"/>
      </w:pPr>
      <w:bookmarkStart w:id="21" w:name="the-data"/>
      <w:r>
        <w:t xml:space="preserve">1.The Data</w:t>
      </w:r>
      <w:bookmarkEnd w:id="21"/>
    </w:p>
    <w:p>
      <w:pPr>
        <w:pStyle w:val="FirstParagraph"/>
      </w:pPr>
      <w:r>
        <w:t xml:space="preserve">With a preliminary view we can see that our</w:t>
      </w:r>
      <w:r>
        <w:t xml:space="preserve"> </w:t>
      </w:r>
      <w:r>
        <w:t xml:space="preserve">Pilgrim Median Booking Rate</w:t>
      </w:r>
      <w:r>
        <w:t xml:space="preserve">:91.7% is marginally higher than our</w:t>
      </w:r>
      <w:r>
        <w:t xml:space="preserve"> </w:t>
      </w:r>
      <w:r>
        <w:t xml:space="preserve">Peripheral Median Booking Rate</w:t>
      </w:r>
      <w:r>
        <w:t xml:space="preserve">:89.5%. Difference in median was found to be statistically significant at p-value of</w:t>
      </w:r>
      <w:r>
        <w:t xml:space="preserve"> </w:t>
      </w:r>
      <w:r>
        <w:rPr>
          <w:i/>
        </w:rPr>
        <w:t xml:space="preserve">0.023</w:t>
      </w:r>
      <w:r>
        <w:t xml:space="preserve">(Graph 1.1A). Similarly our</w:t>
      </w:r>
      <w:r>
        <w:t xml:space="preserve"> </w:t>
      </w:r>
      <w:r>
        <w:t xml:space="preserve">Pilgrim Median Utilizaton Rate</w:t>
      </w:r>
      <w:r>
        <w:t xml:space="preserve">:83.3% is marginally higher than our</w:t>
      </w:r>
      <w:r>
        <w:t xml:space="preserve"> </w:t>
      </w:r>
      <w:r>
        <w:t xml:space="preserve">Peripheral Median Utilization Rate</w:t>
      </w:r>
      <w:r>
        <w:t xml:space="preserve">:79.2%. Difference in median was found to be statistically significant at p-value of</w:t>
      </w:r>
      <w:r>
        <w:t xml:space="preserve"> </w:t>
      </w:r>
      <w:r>
        <w:rPr>
          <w:i/>
        </w:rPr>
        <w:t xml:space="preserve">0.011</w:t>
      </w:r>
      <w:r>
        <w:t xml:space="preserve">(Graph 1.1B)</w:t>
      </w:r>
    </w:p>
    <w:p>
      <w:pPr>
        <w:pStyle w:val="Heading3"/>
      </w:pPr>
      <w:bookmarkStart w:id="22" w:name="graph-1.1"/>
      <w:r>
        <w:t xml:space="preserve">Graph 1.1</w:t>
      </w:r>
      <w:bookmarkEnd w:id="22"/>
    </w:p>
    <w:p>
      <w:pPr>
        <w:pStyle w:val="FirstParagraph"/>
      </w:pPr>
      <w:r>
        <w:drawing>
          <wp:inline>
            <wp:extent cx="5334000" cy="2667000"/>
            <wp:effectExtent b="0" l="0" r="0" t="0"/>
            <wp:docPr descr="" title="" id="1" name="Picture"/>
            <a:graphic>
              <a:graphicData uri="http://schemas.openxmlformats.org/drawingml/2006/picture">
                <pic:pic>
                  <pic:nvPicPr>
                    <pic:cNvPr descr="LF2_files/figure-docx/unnamed-chunk-3-1.png" id="0" name="Picture"/>
                    <pic:cNvPicPr>
                      <a:picLocks noChangeArrowheads="1" noChangeAspect="1"/>
                    </pic:cNvPicPr>
                  </pic:nvPicPr>
                  <pic:blipFill>
                    <a:blip r:embed="rId23"/>
                    <a:stretch>
                      <a:fillRect/>
                    </a:stretch>
                  </pic:blipFill>
                  <pic:spPr bwMode="auto">
                    <a:xfrm>
                      <a:off x="0" y="0"/>
                      <a:ext cx="5334000" cy="2667000"/>
                    </a:xfrm>
                    <a:prstGeom prst="rect">
                      <a:avLst/>
                    </a:prstGeom>
                    <a:noFill/>
                    <a:ln w="9525">
                      <a:noFill/>
                      <a:headEnd/>
                      <a:tailEnd/>
                    </a:ln>
                  </pic:spPr>
                </pic:pic>
              </a:graphicData>
            </a:graphic>
          </wp:inline>
        </w:drawing>
      </w:r>
    </w:p>
    <w:p>
      <w:pPr>
        <w:pStyle w:val="Heading3"/>
      </w:pPr>
      <w:bookmarkStart w:id="24" w:name="graph-1.2-histogram-demonstrating-the-distribution-of-clinic-utilizatation-rates"/>
      <w:r>
        <w:t xml:space="preserve">Graph-1.2 Histogram demonstrating the distribution of Clinic Utilizatation Rates</w:t>
      </w:r>
      <w:bookmarkEnd w:id="24"/>
    </w:p>
    <w:p>
      <w:pPr>
        <w:pStyle w:val="FirstParagraph"/>
      </w:pPr>
      <w:r>
        <w:drawing>
          <wp:inline>
            <wp:extent cx="5334000" cy="2667000"/>
            <wp:effectExtent b="0" l="0" r="0" t="0"/>
            <wp:docPr descr="" title="" id="1" name="Picture"/>
            <a:graphic>
              <a:graphicData uri="http://schemas.openxmlformats.org/drawingml/2006/picture">
                <pic:pic>
                  <pic:nvPicPr>
                    <pic:cNvPr descr="LF2_files/figure-docx/unnamed-chunk-5-1.png" id="0" name="Picture"/>
                    <pic:cNvPicPr>
                      <a:picLocks noChangeArrowheads="1" noChangeAspect="1"/>
                    </pic:cNvPicPr>
                  </pic:nvPicPr>
                  <pic:blipFill>
                    <a:blip r:embed="rId25"/>
                    <a:stretch>
                      <a:fillRect/>
                    </a:stretch>
                  </pic:blipFill>
                  <pic:spPr bwMode="auto">
                    <a:xfrm>
                      <a:off x="0" y="0"/>
                      <a:ext cx="5334000" cy="2667000"/>
                    </a:xfrm>
                    <a:prstGeom prst="rect">
                      <a:avLst/>
                    </a:prstGeom>
                    <a:noFill/>
                    <a:ln w="9525">
                      <a:noFill/>
                      <a:headEnd/>
                      <a:tailEnd/>
                    </a:ln>
                  </pic:spPr>
                </pic:pic>
              </a:graphicData>
            </a:graphic>
          </wp:inline>
        </w:drawing>
      </w:r>
    </w:p>
    <w:p>
      <w:pPr>
        <w:pStyle w:val="Heading2"/>
      </w:pPr>
      <w:bookmarkStart w:id="26" w:name="further-breakdown"/>
      <w:r>
        <w:t xml:space="preserve">2.Further Breakdown</w:t>
      </w:r>
      <w:bookmarkEnd w:id="26"/>
    </w:p>
    <w:p>
      <w:pPr>
        <w:pStyle w:val="FirstParagraph"/>
      </w:pPr>
      <w:r>
        <w:t xml:space="preserve">The following graphs demonstrate per clinic data.</w:t>
      </w:r>
      <w:r>
        <w:t xml:space="preserve"> </w:t>
      </w:r>
      <w:r>
        <w:rPr>
          <w:b/>
        </w:rPr>
        <w:t xml:space="preserve">Black Shapes</w:t>
      </w:r>
      <w:r>
        <w:t xml:space="preserve"> </w:t>
      </w:r>
      <w:r>
        <w:t xml:space="preserve">demonstrate booking rate while</w:t>
      </w:r>
      <w:r>
        <w:t xml:space="preserve"> </w:t>
      </w:r>
      <w:r>
        <w:rPr>
          <w:b/>
        </w:rPr>
        <w:t xml:space="preserve">Red Shapes</w:t>
      </w:r>
      <w:r>
        <w:t xml:space="preserve"> </w:t>
      </w:r>
      <w:r>
        <w:t xml:space="preserve">demonstrate utilization rates. These are monthly rates ie the actual figure is an average of clinics used per month.</w:t>
      </w:r>
      <w:r>
        <w:t xml:space="preserve"> </w:t>
      </w:r>
      <w:r>
        <w:rPr>
          <w:b/>
        </w:rPr>
        <w:t xml:space="preserve">Booking rate</w:t>
      </w:r>
      <w:r>
        <w:t xml:space="preserve"> </w:t>
      </w:r>
      <w:r>
        <w:t xml:space="preserve">is</w:t>
      </w:r>
    </w:p>
    <w:p>
      <w:pPr>
        <w:pStyle w:val="BodyText"/>
      </w:pPr>
      <m:oMathPara>
        <m:oMathParaPr>
          <m:jc m:val="center"/>
        </m:oMathParaPr>
        <m:oMath>
          <m:f>
            <m:fPr>
              <m:type m:val="bar"/>
            </m:fPr>
            <m:num>
              <m:r>
                <m:t>i</m:t>
              </m:r>
              <m:r>
                <m:t>n</m:t>
              </m:r>
              <m:r>
                <m:t>i</m:t>
              </m:r>
              <m:r>
                <m:t>t</m:t>
              </m:r>
              <m:r>
                <m:t>i</m:t>
              </m:r>
              <m:r>
                <m:t>a</m:t>
              </m:r>
              <m:r>
                <m:t>l</m:t>
              </m:r>
              <m:r>
                <m:t> </m:t>
              </m:r>
              <m:r>
                <m:t>b</m:t>
              </m:r>
              <m:r>
                <m:t>o</m:t>
              </m:r>
              <m:r>
                <m:t>o</m:t>
              </m:r>
              <m:r>
                <m:t>k</m:t>
              </m:r>
              <m:r>
                <m:t>e</m:t>
              </m:r>
              <m:r>
                <m:t>d</m:t>
              </m:r>
              <m:r>
                <m:t>s</m:t>
              </m:r>
              <m:r>
                <m:t>l</m:t>
              </m:r>
              <m:r>
                <m:t>o</m:t>
              </m:r>
              <m:r>
                <m:t>t</m:t>
              </m:r>
              <m:r>
                <m:t>s</m:t>
              </m:r>
            </m:num>
            <m:den>
              <m:r>
                <m:t>t</m:t>
              </m:r>
              <m:r>
                <m:t>o</m:t>
              </m:r>
              <m:r>
                <m:t>t</m:t>
              </m:r>
              <m:r>
                <m:t>a</m:t>
              </m:r>
              <m:r>
                <m:t>l</m:t>
              </m:r>
              <m:r>
                <m:t> </m:t>
              </m:r>
              <m:r>
                <m:t>a</m:t>
              </m:r>
              <m:r>
                <m:t>v</m:t>
              </m:r>
              <m:r>
                <m:t>a</m:t>
              </m:r>
              <m:r>
                <m:t>i</m:t>
              </m:r>
              <m:r>
                <m:t>l</m:t>
              </m:r>
              <m:r>
                <m:t>a</m:t>
              </m:r>
              <m:r>
                <m:t>b</m:t>
              </m:r>
              <m:r>
                <m:t>l</m:t>
              </m:r>
              <m:r>
                <m:t>e</m:t>
              </m:r>
              <m:r>
                <m:t> </m:t>
              </m:r>
              <m:r>
                <m:t>s</m:t>
              </m:r>
              <m:r>
                <m:t>l</m:t>
              </m:r>
              <m:r>
                <m:t>o</m:t>
              </m:r>
              <m:r>
                <m:t>t</m:t>
              </m:r>
              <m:r>
                <m:t>s</m:t>
              </m:r>
            </m:den>
          </m:f>
        </m:oMath>
      </m:oMathPara>
    </w:p>
    <w:p>
      <w:pPr>
        <w:pStyle w:val="FirstParagraph"/>
      </w:pPr>
      <w:r>
        <w:t xml:space="preserve">while</w:t>
      </w:r>
      <w:r>
        <w:t xml:space="preserve"> </w:t>
      </w:r>
      <w:r>
        <w:rPr>
          <w:b/>
        </w:rPr>
        <w:t xml:space="preserve">Utilization Rate</w:t>
      </w:r>
      <w:r>
        <w:t xml:space="preserve"> </w:t>
      </w:r>
      <w:r>
        <w:t xml:space="preserve">is</w:t>
      </w:r>
    </w:p>
    <w:p>
      <w:pPr>
        <w:pStyle w:val="BodyText"/>
      </w:pPr>
      <m:oMathPara>
        <m:oMathParaPr>
          <m:jc m:val="center"/>
        </m:oMathParaPr>
        <m:oMath>
          <m:f>
            <m:fPr>
              <m:type m:val="bar"/>
            </m:fPr>
            <m:num>
              <m:r>
                <m:t>a</m:t>
              </m:r>
              <m:r>
                <m:t>t</m:t>
              </m:r>
              <m:r>
                <m:t>t</m:t>
              </m:r>
              <m:r>
                <m:t>e</m:t>
              </m:r>
              <m:r>
                <m:t>n</m:t>
              </m:r>
              <m:r>
                <m:t>d</m:t>
              </m:r>
              <m:r>
                <m:t>e</m:t>
              </m:r>
              <m:r>
                <m:t>d</m:t>
              </m:r>
              <m:r>
                <m:t> </m:t>
              </m:r>
              <m:r>
                <m:t>c</m:t>
              </m:r>
              <m:r>
                <m:t>l</m:t>
              </m:r>
              <m:r>
                <m:t>i</m:t>
              </m:r>
              <m:r>
                <m:t>n</m:t>
              </m:r>
              <m:r>
                <m:t>i</m:t>
              </m:r>
              <m:r>
                <m:t>c</m:t>
              </m:r>
              <m:r>
                <m:t> </m:t>
              </m:r>
              <m:r>
                <m:t>s</m:t>
              </m:r>
              <m:r>
                <m:t>l</m:t>
              </m:r>
              <m:r>
                <m:t>o</m:t>
              </m:r>
              <m:r>
                <m:t>t</m:t>
              </m:r>
              <m:r>
                <m:t>s</m:t>
              </m:r>
            </m:num>
            <m:den>
              <m:r>
                <m:t>b</m:t>
              </m:r>
              <m:r>
                <m:t>o</m:t>
              </m:r>
              <m:r>
                <m:t>o</m:t>
              </m:r>
              <m:r>
                <m:t>k</m:t>
              </m:r>
              <m:r>
                <m:t>e</m:t>
              </m:r>
              <m:r>
                <m:t>d</m:t>
              </m:r>
              <m:r>
                <m:t> </m:t>
              </m:r>
              <m:r>
                <m:t>s</m:t>
              </m:r>
              <m:r>
                <m:t>l</m:t>
              </m:r>
              <m:r>
                <m:t>o</m:t>
              </m:r>
              <m:r>
                <m:t>t</m:t>
              </m:r>
              <m:r>
                <m:t>s</m:t>
              </m:r>
            </m:den>
          </m:f>
        </m:oMath>
      </m:oMathPara>
    </w:p>
    <w:p>
      <w:pPr>
        <w:pStyle w:val="Heading3"/>
      </w:pPr>
      <w:bookmarkStart w:id="27" w:name="graph-2.1-booking-and-utilization-rate-per-month-for-one-man-clinics"/>
      <w:r>
        <w:t xml:space="preserve">Graph-2.1 Booking and Utilization rate per month for One Man clinics</w:t>
      </w:r>
      <w:bookmarkEnd w:id="27"/>
    </w:p>
    <w:p>
      <w:pPr>
        <w:pStyle w:val="FirstParagraph"/>
      </w:pPr>
      <w:r>
        <w:drawing>
          <wp:inline>
            <wp:extent cx="5334000" cy="4148666"/>
            <wp:effectExtent b="0" l="0" r="0" t="0"/>
            <wp:docPr descr="" title="" id="1" name="Picture"/>
            <a:graphic>
              <a:graphicData uri="http://schemas.openxmlformats.org/drawingml/2006/picture">
                <pic:pic>
                  <pic:nvPicPr>
                    <pic:cNvPr descr="LF2_files/figure-docx/unnamed-chunk-6-1.png" id="0" name="Picture"/>
                    <pic:cNvPicPr>
                      <a:picLocks noChangeArrowheads="1" noChangeAspect="1"/>
                    </pic:cNvPicPr>
                  </pic:nvPicPr>
                  <pic:blipFill>
                    <a:blip r:embed="rId28"/>
                    <a:stretch>
                      <a:fillRect/>
                    </a:stretch>
                  </pic:blipFill>
                  <pic:spPr bwMode="auto">
                    <a:xfrm>
                      <a:off x="0" y="0"/>
                      <a:ext cx="5334000" cy="4148666"/>
                    </a:xfrm>
                    <a:prstGeom prst="rect">
                      <a:avLst/>
                    </a:prstGeom>
                    <a:noFill/>
                    <a:ln w="9525">
                      <a:noFill/>
                      <a:headEnd/>
                      <a:tailEnd/>
                    </a:ln>
                  </pic:spPr>
                </pic:pic>
              </a:graphicData>
            </a:graphic>
          </wp:inline>
        </w:drawing>
      </w:r>
    </w:p>
    <w:p>
      <w:pPr>
        <w:pStyle w:val="Heading3"/>
      </w:pPr>
      <w:bookmarkStart w:id="29" w:name="graph-2.2-booking-and-utilization-rates-per-month-for-two-man-clinics"/>
      <w:r>
        <w:t xml:space="preserve">Graph-2.2 Booking and Utilization Rates per month for Two Man clinics</w:t>
      </w:r>
      <w:bookmarkEnd w:id="29"/>
    </w:p>
    <w:p>
      <w:pPr>
        <w:pStyle w:val="FirstParagraph"/>
      </w:pPr>
      <w:r>
        <w:drawing>
          <wp:inline>
            <wp:extent cx="5334000" cy="4148666"/>
            <wp:effectExtent b="0" l="0" r="0" t="0"/>
            <wp:docPr descr="" title="" id="1" name="Picture"/>
            <a:graphic>
              <a:graphicData uri="http://schemas.openxmlformats.org/drawingml/2006/picture">
                <pic:pic>
                  <pic:nvPicPr>
                    <pic:cNvPr descr="LF2_files/figure-docx/unnamed-chunk-7-1.png" id="0" name="Picture"/>
                    <pic:cNvPicPr>
                      <a:picLocks noChangeArrowheads="1" noChangeAspect="1"/>
                    </pic:cNvPicPr>
                  </pic:nvPicPr>
                  <pic:blipFill>
                    <a:blip r:embed="rId30"/>
                    <a:stretch>
                      <a:fillRect/>
                    </a:stretch>
                  </pic:blipFill>
                  <pic:spPr bwMode="auto">
                    <a:xfrm>
                      <a:off x="0" y="0"/>
                      <a:ext cx="5334000" cy="4148666"/>
                    </a:xfrm>
                    <a:prstGeom prst="rect">
                      <a:avLst/>
                    </a:prstGeom>
                    <a:noFill/>
                    <a:ln w="9525">
                      <a:noFill/>
                      <a:headEnd/>
                      <a:tailEnd/>
                    </a:ln>
                  </pic:spPr>
                </pic:pic>
              </a:graphicData>
            </a:graphic>
          </wp:inline>
        </w:drawing>
      </w:r>
    </w:p>
    <w:p>
      <w:pPr>
        <w:pStyle w:val="Heading3"/>
      </w:pPr>
      <w:bookmarkStart w:id="31" w:name="graph-2.3-utilization-and-booking-rate-per-month-across-peripheral-vs-pilgrim-clinics"/>
      <w:r>
        <w:t xml:space="preserve">Graph-2.3 Utilization and Booking Rate per month across Peripheral vs Pilgrim clinics</w:t>
      </w:r>
      <w:bookmarkEnd w:id="31"/>
    </w:p>
    <w:p>
      <w:pPr>
        <w:pStyle w:val="FirstParagraph"/>
      </w:pPr>
      <w:r>
        <w:drawing>
          <wp:inline>
            <wp:extent cx="5334000" cy="3556000"/>
            <wp:effectExtent b="0" l="0" r="0" t="0"/>
            <wp:docPr descr="" title="" id="1" name="Picture"/>
            <a:graphic>
              <a:graphicData uri="http://schemas.openxmlformats.org/drawingml/2006/picture">
                <pic:pic>
                  <pic:nvPicPr>
                    <pic:cNvPr descr="LF2_files/figure-docx/unnamed-chunk-8-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3"/>
      </w:pPr>
      <w:bookmarkStart w:id="33" w:name="graph-2.4-utilization-and-booking-rate-per-month-across-peripheral-vs-pilgrim-clinics"/>
      <w:r>
        <w:t xml:space="preserve">Graph-2.4 Utilization and Booking Rate per month across Peripheral vs Pilgrim clinics</w:t>
      </w:r>
      <w:bookmarkEnd w:id="33"/>
    </w:p>
    <w:p>
      <w:pPr>
        <w:pStyle w:val="FirstParagraph"/>
      </w:pPr>
      <w:r>
        <w:drawing>
          <wp:inline>
            <wp:extent cx="5334000" cy="3556000"/>
            <wp:effectExtent b="0" l="0" r="0" t="0"/>
            <wp:docPr descr="" title="" id="1" name="Picture"/>
            <a:graphic>
              <a:graphicData uri="http://schemas.openxmlformats.org/drawingml/2006/picture">
                <pic:pic>
                  <pic:nvPicPr>
                    <pic:cNvPr descr="LF2_files/figure-docx/unnamed-chunk-9-1.png" id="0" name="Picture"/>
                    <pic:cNvPicPr>
                      <a:picLocks noChangeArrowheads="1" noChangeAspect="1"/>
                    </pic:cNvPicPr>
                  </pic:nvPicPr>
                  <pic:blipFill>
                    <a:blip r:embed="rId34"/>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3"/>
      </w:pPr>
      <w:bookmarkStart w:id="35" w:name="graph-2.5-per-clinic-dna-rate"/>
      <w:r>
        <w:t xml:space="preserve">Graph-2.5 Per Clinic DNA Rate</w:t>
      </w:r>
      <w:bookmarkEnd w:id="35"/>
    </w:p>
    <w:p>
      <w:pPr>
        <w:pStyle w:val="FirstParagraph"/>
      </w:pPr>
      <w:r>
        <w:drawing>
          <wp:inline>
            <wp:extent cx="3666766" cy="2750075"/>
            <wp:effectExtent b="0" l="0" r="0" t="0"/>
            <wp:docPr descr="" title="" id="1" name="Picture"/>
            <a:graphic>
              <a:graphicData uri="http://schemas.openxmlformats.org/drawingml/2006/picture">
                <pic:pic>
                  <pic:nvPicPr>
                    <pic:cNvPr descr="LF2_files/figure-docx/unnamed-chunk-10-1.png" id="0" name="Picture"/>
                    <pic:cNvPicPr>
                      <a:picLocks noChangeArrowheads="1" noChangeAspect="1"/>
                    </pic:cNvPicPr>
                  </pic:nvPicPr>
                  <pic:blipFill>
                    <a:blip r:embed="rId36"/>
                    <a:stretch>
                      <a:fillRect/>
                    </a:stretch>
                  </pic:blipFill>
                  <pic:spPr bwMode="auto">
                    <a:xfrm>
                      <a:off x="0" y="0"/>
                      <a:ext cx="3666766" cy="2750075"/>
                    </a:xfrm>
                    <a:prstGeom prst="rect">
                      <a:avLst/>
                    </a:prstGeom>
                    <a:noFill/>
                    <a:ln w="9525">
                      <a:noFill/>
                      <a:headEnd/>
                      <a:tailEnd/>
                    </a:ln>
                  </pic:spPr>
                </pic:pic>
              </a:graphicData>
            </a:graphic>
          </wp:inline>
        </w:drawing>
      </w:r>
    </w:p>
    <w:p>
      <w:r>
        <w:pict>
          <v:rect style="width:0;height:1.5pt" o:hralign="center" o:hrstd="t" o:hr="t"/>
        </w:pict>
      </w:r>
    </w:p>
    <w:p>
      <w:pPr>
        <w:pStyle w:val="Heading2"/>
      </w:pPr>
      <w:bookmarkStart w:id="37" w:name="results-discussion"/>
      <w:r>
        <w:t xml:space="preserve">3.Results &amp; Discussion</w:t>
      </w:r>
      <w:bookmarkEnd w:id="37"/>
    </w:p>
    <w:p>
      <w:pPr>
        <w:pStyle w:val="FirstParagraph"/>
      </w:pPr>
      <w:hyperlink w:anchor="graph2.1">
        <w:r>
          <w:rPr>
            <w:rStyle w:val="Hyperlink"/>
          </w:rPr>
          <w:t xml:space="preserve">Graph-2.1</w:t>
        </w:r>
      </w:hyperlink>
      <w:r>
        <w:t xml:space="preserve"> </w:t>
      </w:r>
      <w:r>
        <w:t xml:space="preserve">and</w:t>
      </w:r>
      <w:r>
        <w:t xml:space="preserve"> </w:t>
      </w:r>
      <w:hyperlink w:anchor="graph2.2">
        <w:r>
          <w:rPr>
            <w:rStyle w:val="Hyperlink"/>
          </w:rPr>
          <w:t xml:space="preserve">Graph-2.2</w:t>
        </w:r>
      </w:hyperlink>
      <w:r>
        <w:t xml:space="preserve"> </w:t>
      </w:r>
      <w:r>
        <w:t xml:space="preserve">show a clear underbooking with even clearer non-attendance.</w:t>
      </w:r>
      <w:r>
        <w:t xml:space="preserve"> </w:t>
      </w:r>
      <w:hyperlink w:anchor="graph2.4">
        <w:r>
          <w:rPr>
            <w:rStyle w:val="Hyperlink"/>
          </w:rPr>
          <w:t xml:space="preserve">Graph-2.4</w:t>
        </w:r>
      </w:hyperlink>
      <w:r>
        <w:t xml:space="preserve"> </w:t>
      </w:r>
      <w:r>
        <w:t xml:space="preserve">&amp;</w:t>
      </w:r>
      <w:r>
        <w:t xml:space="preserve"> </w:t>
      </w:r>
      <w:hyperlink w:anchor="graph2.3">
        <w:r>
          <w:rPr>
            <w:rStyle w:val="Hyperlink"/>
          </w:rPr>
          <w:t xml:space="preserve">Graph-2.3</w:t>
        </w:r>
      </w:hyperlink>
      <w:r>
        <w:t xml:space="preserve"> </w:t>
      </w:r>
      <w:r>
        <w:t xml:space="preserve">demonstrates again underutilized peripheral clinics clinics(p-value:0.011) despite having similar Booking Rates. This appears to be more during certain month. Again however due the small sample sizes it is not possible to perform adequate statistical analysis.</w:t>
      </w:r>
    </w:p>
    <w:p>
      <w:pPr>
        <w:pStyle w:val="BodyText"/>
      </w:pPr>
      <w:r>
        <w:t xml:space="preserve">Initially it seems that the differences although statistically significant were small. However when consulting the last 4 charts it seems evident that a notable number of our clinics were underbooked at 80% booking rate(which translates to 2 clinic slots for 1-man-clinics and about 3 clinic slots for 2-man-clinics). Although those numbers warrant attention their statistical significance is not easily demonstrated due to the small sample sizes(As shown on</w:t>
      </w:r>
      <w:r>
        <w:t xml:space="preserve"> </w:t>
      </w:r>
      <w:hyperlink w:anchor="table_1.1">
        <w:r>
          <w:rPr>
            <w:rStyle w:val="Hyperlink"/>
          </w:rPr>
          <w:t xml:space="preserve">Table 1.1</w:t>
        </w:r>
      </w:hyperlink>
      <w:r>
        <w:t xml:space="preserve">). If we were to assume their significance the next question we need to answer is</w:t>
      </w:r>
      <w:r>
        <w:t xml:space="preserve"> </w:t>
      </w:r>
      <w:r>
        <w:rPr>
          <w:i/>
        </w:rPr>
        <w:t xml:space="preserve">why?</w:t>
      </w:r>
      <w:r>
        <w:t xml:space="preserve">.</w:t>
      </w:r>
    </w:p>
    <w:p>
      <w:pPr>
        <w:pStyle w:val="Heading3"/>
      </w:pPr>
      <w:bookmarkStart w:id="38" w:name="current-process-and-suggested-alternative"/>
      <w:r>
        <w:t xml:space="preserve">3.1 Current Process and suggested alternative</w:t>
      </w:r>
      <w:bookmarkEnd w:id="38"/>
    </w:p>
    <w:p>
      <w:pPr>
        <w:pStyle w:val="FirstParagraph"/>
      </w:pPr>
      <w:r>
        <w:t xml:space="preserve">On further discussion with staff responsible for clinic booking we now think most deficits in booking rates is due to patient calling in 1 or 2 days before and cancelling. A patient would be considered as DNA only if he/she was still recorded to come in on the day of the clinic but didn’t.</w:t>
      </w:r>
    </w:p>
    <w:p>
      <w:pPr>
        <w:pStyle w:val="BodyText"/>
      </w:pPr>
      <w:r>
        <w:t xml:space="preserve">Currently patient get booked on to clinics by a primary booking team at pilgrim hospital who allocate clinic slots. Staff in peripheral clinics are not able to book patients on short notice as they wouldnt be aware about cancellations.</w:t>
      </w:r>
    </w:p>
    <w:p>
      <w:pPr>
        <w:pStyle w:val="BodyText"/>
      </w:pPr>
      <w:r>
        <w:t xml:space="preserve">If we can create joint list of overbooked patients who can be contacted on a short notice and redirect cancellations to be made at center where clinic is to be run this could potentially alleviate the the issue with underbooking clinics.</w:t>
      </w:r>
      <w:r>
        <w:t xml:space="preserve"> </w:t>
      </w:r>
      <w:r>
        <w:t xml:space="preserve">This will only be possible if we have staff covering those sites on the dates patients would call.</w:t>
      </w:r>
    </w:p>
    <w:p>
      <w:pPr>
        <w:pStyle w:val="BodyText"/>
      </w:pPr>
      <w:r>
        <w:t xml:space="preserve">We suggest one possible option is to over book clinics with 1 -2 patients from the next similar clinic and advising them that this is only a potential booking and that they will have a garaunteed booking ontop of that. That they should be ready to be called in 1-2 day’s notice.</w:t>
      </w:r>
    </w:p>
    <w:p>
      <w:pPr>
        <w:pStyle w:val="BodyText"/>
      </w:pPr>
      <w:r>
        <w:t xml:space="preserve">This should bring up the booking rate as well as show us a complete true utilizaition rate to work on next audit cycle. the aim will be to create a tool whereby this utilization rate is automatically calculated and used to reasses on a monthly basis.</w:t>
      </w:r>
    </w:p>
    <w:p>
      <w:r>
        <w:pict>
          <v:rect style="width:0;height:1.5pt" o:hralign="center" o:hrstd="t" o:hr="t"/>
        </w:pict>
      </w:r>
    </w:p>
    <w:p>
      <w:pPr>
        <w:pStyle w:val="Heading2"/>
      </w:pPr>
      <w:bookmarkStart w:id="39" w:name="recommendations"/>
      <w:r>
        <w:t xml:space="preserve">4.Recommendations</w:t>
      </w:r>
      <w:bookmarkEnd w:id="39"/>
    </w:p>
    <w:p>
      <w:pPr>
        <w:pStyle w:val="FirstParagraph"/>
      </w:pPr>
      <w:r>
        <w:t xml:space="preserve">We suggest the following recommendations:</w:t>
      </w:r>
    </w:p>
    <w:p>
      <w:pPr>
        <w:pStyle w:val="Compact"/>
        <w:numPr>
          <w:numId w:val="1001"/>
          <w:ilvl w:val="0"/>
        </w:numPr>
      </w:pPr>
      <w:r>
        <w:t xml:space="preserve">Create waiting list with prebooking patients on multiple clinics</w:t>
      </w:r>
    </w:p>
    <w:p>
      <w:pPr>
        <w:pStyle w:val="Compact"/>
        <w:numPr>
          <w:numId w:val="1001"/>
          <w:ilvl w:val="0"/>
        </w:numPr>
      </w:pPr>
      <w:r>
        <w:t xml:space="preserve">Allocate Clinic Space by proximity</w:t>
      </w:r>
      <w:r>
        <w:br w:type="textWrapping"/>
      </w:r>
    </w:p>
    <w:p>
      <w:pPr>
        <w:pStyle w:val="Compact"/>
        <w:numPr>
          <w:numId w:val="1001"/>
          <w:ilvl w:val="0"/>
        </w:numPr>
      </w:pPr>
      <w:r>
        <w:t xml:space="preserve">Monthly Review of Booking Rate</w:t>
      </w:r>
      <w:r>
        <w:br w:type="textWrapping"/>
      </w:r>
    </w:p>
    <w:p>
      <w:pPr>
        <w:pStyle w:val="Compact"/>
        <w:numPr>
          <w:numId w:val="1001"/>
          <w:ilvl w:val="0"/>
        </w:numPr>
      </w:pPr>
      <w:r>
        <w:t xml:space="preserve">Improve Communication Between Staff accross sites</w:t>
      </w:r>
      <w:r>
        <w:br w:type="textWrapping"/>
      </w:r>
    </w:p>
    <w:p>
      <w:pPr>
        <w:pStyle w:val="Compact"/>
        <w:numPr>
          <w:numId w:val="1001"/>
          <w:ilvl w:val="0"/>
        </w:numPr>
      </w:pPr>
      <w:r>
        <w:t xml:space="preserve">Disseminate This Report and following monthly Booking Rates to all concerned Staff</w:t>
      </w:r>
      <w:r>
        <w:br w:type="textWrapping"/>
      </w:r>
    </w:p>
    <w:p>
      <w:pPr>
        <w:pStyle w:val="Compact"/>
        <w:numPr>
          <w:numId w:val="1001"/>
          <w:ilvl w:val="0"/>
        </w:numPr>
      </w:pPr>
      <w:r>
        <w:rPr>
          <w:b/>
        </w:rPr>
        <w:t xml:space="preserve">Using Telephone Clinics to replace peripheral clinics / supplement available clinics</w:t>
      </w:r>
    </w:p>
    <w:p>
      <w:pPr>
        <w:pStyle w:val="Compact"/>
        <w:numPr>
          <w:numId w:val="1001"/>
          <w:ilvl w:val="0"/>
        </w:numPr>
      </w:pPr>
      <w:r>
        <w:rPr>
          <w:b/>
        </w:rPr>
        <w:t xml:space="preserve">Using Telephone appointments for patient who cancel within 1-2 days</w:t>
      </w:r>
    </w:p>
    <w:p>
      <w:pPr>
        <w:pStyle w:val="FirstParagraph"/>
      </w:pPr>
      <w:r>
        <w:t xml:space="preserve">The last two recommendations are one of the few ideas that have worked so far in this covid era and there might be a utility for them in current climate and further down the line as well.</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General and Colorectal Clinics Utilisation Report</dc:title>
  <dc:creator>M.Mohamed;M.Ali;M.Rao</dc:creator>
  <cp:keywords/>
  <dcterms:created xsi:type="dcterms:W3CDTF">2020-07-14T11:20:24Z</dcterms:created>
  <dcterms:modified xsi:type="dcterms:W3CDTF">2020-07-14T11:20:24Z</dcterms:modified>
</cp:coreProperties>
</file>