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类增量与域增量语义分割：Kalb 等精读报告</w:t>
      </w:r>
    </w:p>
    <w:p>
      <w:pPr>
        <w:pStyle w:val="Subtitle"/>
      </w:pPr>
      <w:r>
        <w:t xml:space="preserve">LIT-008  |  第一批文献  |  修订：2026-10-20</w:t>
      </w:r>
    </w:p>
    <w:p>
      <w:pPr>
        <w:pStyle w:val="Meta"/>
      </w:pPr>
      <w:r>
        <w:t xml:space="preserve">Kalb, T., Roschani, M., Ruf, M., &amp; Beyerer, J. Continual Learning for Class- and Domain-Incremental Semantic Segmentation. 2021 IEEE Intelligent Vehicles Symposium (IV), 1345–1351. DOI: 10.1109/IV48863.2021.9575493。</w:t>
      </w:r>
    </w:p>
    <w:p>
      <w:pPr>
        <w:pStyle w:val="Meta"/>
      </w:pPr>
      <w:r>
        <w:t xml:space="preserve">阅读对象：第一批文献/Kalb 等 - 2022 - Continual Learning for Class- and Domain-Incremental Semantic Segmentation.pdf。本地 PDF 7 页，首页标注 arXiv:2209.08023v1（2022-09-16）；SHA-256：9fe7749a6607f978dd9a846900968b12343548c7845518197e2bd2c0ad028f82。另以 arXiv HTML/PDF 和 KITopen 书目页核对。以下 p.N 均指本地 PDF 从 1 起计；表、图及章节号保留原文编号。阅读层级：精读；未复现。</w:t>
      </w:r>
    </w:p>
    <w:p>
      <w:pPr>
        <w:pStyle w:val="Heading1"/>
      </w:pPr>
      <w:r>
        <w:t xml:space="preserve">一句话判断</w:t>
      </w:r>
    </w:p>
    <w:p>
      <w:pPr>
        <w:pStyle w:val="Normal"/>
      </w:pPr>
      <w:r>
        <w:t xml:space="preserve">本文提出类增量与域增量分割的对照协议，并在同一 ERFNet 骨干下发现：新图仍含旧类时，知识蒸馏有利于类增量；在 BDD100K→Cityscapes 的有标注双域序列中，小样本真实回放的终点表现最强。它适合本课题建立有标注 DIL 基线和识别设定陷阱，但不能直接证明纯天气、无边界、在线更新中的方法优劣。（摘要；§III–VI；p.1、3–7）</w:t>
      </w:r>
    </w:p>
    <w:p>
      <w:pPr>
        <w:pStyle w:val="Heading1"/>
      </w:pPr>
      <w:r>
        <w:t xml:space="preserve">1 研究问题与任务边界</w:t>
      </w:r>
    </w:p>
    <w:p>
      <w:pPr>
        <w:pStyle w:val="Normal"/>
      </w:pPr>
      <w:r>
        <w:t xml:space="preserve">作者将增量变化区分为输入分布 P(X) 变化、语义标签集合不变的域增量，以及新语义类逐步加入的类增量。域增量实验以 BDD100K 为第一任务、Cityscapes 为第二任务，训练当前域时保留旧域评价目标；使用当前域像素标注，故属于有监督持续学习，而不是无监督域自适应。推理设定未描述按域选择模型分支，实验用统一分割模型评估两域。（§II-B、§III-B、§IV-B；p.2–3、5）</w:t>
      </w:r>
    </w:p>
    <w:p>
      <w:pPr>
        <w:pStyle w:val="Normal"/>
      </w:pPr>
      <w:r>
        <w:t xml:space="preserve">类增量实验把 Cityscapes 19 类分成 S1、S2、S3 三组：各阶段只标注当前组类别，旧类别可在新图像中出现但不再给出原标签；S2 中 truck、bus、motorcycle 被采样到不出现在其余训练组图像里，专门检验“旧类不再出现”时蒸馏的失效。Fig.2 的实心/空心柱是有标签/无标签出现频率，不应将阶段子集 mIoU 误当完整 19 类性能。（§III-C、Fig.2；p.3–4）</w:t>
      </w:r>
    </w:p>
    <w:p>
      <w:pPr>
        <w:pStyle w:val="Normal"/>
      </w:pPr>
      <w:r>
        <w:t xml:space="preserve">域增量的理论表述写 P(Y¹)=P(Y²)，实测 Fig.3 只支持两数据集类别分布“相近”：Cityscapes 的 rider、bicycle、motorcycle 比例更高。BDD100K 还同时覆盖天气、昼夜、道路类型、地区和相机条件，第二域 Cityscapes 偏白天城市；所以实验不是单一天气变量控制。训练按已知任务顺序分阶段，使用当前任务留出集早停、最多 250 epoch，没有无切换提示、单遍或固定每批更新预算的测试。（§III-B、§IV-B、Figs.1、3；p.1、3–5）</w:t>
      </w:r>
    </w:p>
    <w:p>
      <w:pPr>
        <w:pStyle w:val="Caption"/>
      </w:pPr>
      <w:r>
        <w:t xml:space="preserve">表 1｜研究设定与任务边界</w:t>
      </w:r>
    </w:p>
    <w:tbl>
      <w:tblPr>
        <w:tblW w:w="9360" w:type="dxa"/>
        <w:tblInd w:w="120" w:type="dxa"/>
        <w:tblLayout w:type="fixed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00"/>
        <w:gridCol w:w="4550"/>
        <w:gridCol w:w="3110"/>
      </w:tblGrid>
      <w:tr>
        <w:trPr>
          <w:tblHeader w:val="1"/>
          <w:cantSplit/>
        </w:trPr>
        <w:tc>
          <w:tcPr>
            <w:tcW w:w="1700" w:type="dxa"/>
            <w:vAlign w:val="center"/>
            <w:shd w:fill="F2F4F7"/>
          </w:tcPr>
          <w:p>
            <w:pPr>
              <w:pStyle w:val="TableText"/>
            </w:pPr>
            <w:r>
              <w:t xml:space="preserve">维度</w:t>
            </w:r>
          </w:p>
        </w:tc>
        <w:tc>
          <w:tcPr>
            <w:tcW w:w="4550" w:type="dxa"/>
            <w:vAlign w:val="center"/>
            <w:shd w:fill="F2F4F7"/>
          </w:tcPr>
          <w:p>
            <w:pPr>
              <w:pStyle w:val="TableText"/>
            </w:pPr>
            <w:r>
              <w:t xml:space="preserve">论文实际设定</w:t>
            </w:r>
          </w:p>
        </w:tc>
        <w:tc>
          <w:tcPr>
            <w:tcW w:w="3110" w:type="dxa"/>
            <w:vAlign w:val="center"/>
            <w:shd w:fill="F2F4F7"/>
          </w:tcPr>
          <w:p>
            <w:pPr>
              <w:pStyle w:val="TableText"/>
            </w:pPr>
            <w:r>
              <w:t xml:space="preserve">依据与边界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任务与输出</w:t>
            </w:r>
          </w:p>
        </w:tc>
        <w:tc>
          <w:tcPr>
            <w:tcW w:w="4550" w:type="dxa"/>
            <w:vAlign w:val="center"/>
          </w:tcPr>
          <w:p>
            <w:pPr>
              <w:pStyle w:val="TableText"/>
            </w:pPr>
            <w:r>
              <w:t xml:space="preserve">道路场景语义分割；单模型逐像素预测语义类。</w:t>
            </w:r>
          </w:p>
        </w:tc>
        <w:tc>
          <w:tcPr>
            <w:tcW w:w="3110" w:type="dxa"/>
            <w:vAlign w:val="center"/>
          </w:tcPr>
          <w:p>
            <w:pPr>
              <w:pStyle w:val="TableText"/>
            </w:pPr>
            <w:r>
              <w:t xml:space="preserve">§II–III；p.2–4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在线学习</w:t>
            </w:r>
          </w:p>
        </w:tc>
        <w:tc>
          <w:tcPr>
            <w:tcW w:w="4550" w:type="dxa"/>
            <w:vAlign w:val="center"/>
          </w:tcPr>
          <w:p>
            <w:pPr>
              <w:pStyle w:val="TableText"/>
            </w:pPr>
            <w:r>
              <w:t xml:space="preserve">按任务训练、当前任务可多轮迭代（最多 250 epoch），依留出集早停；无单遍数据流或每批固定更新预算。</w:t>
            </w:r>
          </w:p>
        </w:tc>
        <w:tc>
          <w:tcPr>
            <w:tcW w:w="3110" w:type="dxa"/>
            <w:vAlign w:val="center"/>
          </w:tcPr>
          <w:p>
            <w:pPr>
              <w:pStyle w:val="TableText"/>
            </w:pPr>
            <w:r>
              <w:t xml:space="preserve">§IV-B；p.5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持续学习</w:t>
            </w:r>
          </w:p>
        </w:tc>
        <w:tc>
          <w:tcPr>
            <w:tcW w:w="4550" w:type="dxa"/>
            <w:vAlign w:val="center"/>
          </w:tcPr>
          <w:p>
            <w:pPr>
              <w:pStyle w:val="TableText"/>
            </w:pPr>
            <w:r>
              <w:t xml:space="preserve">DIL：BDD100K→Cityscapes；CIL：Cityscapes S1→S2→S3。比较无缓存及 32/64 张旧图缓存。</w:t>
            </w:r>
          </w:p>
        </w:tc>
        <w:tc>
          <w:tcPr>
            <w:tcW w:w="3110" w:type="dxa"/>
            <w:vAlign w:val="center"/>
          </w:tcPr>
          <w:p>
            <w:pPr>
              <w:pStyle w:val="TableText"/>
            </w:pPr>
            <w:r>
              <w:t xml:space="preserve">§III、§IV-A；p.3–5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增量类型</w:t>
            </w:r>
          </w:p>
        </w:tc>
        <w:tc>
          <w:tcPr>
            <w:tcW w:w="4550" w:type="dxa"/>
            <w:vAlign w:val="center"/>
          </w:tcPr>
          <w:p>
            <w:pPr>
              <w:pStyle w:val="TableText"/>
            </w:pPr>
            <w:r>
              <w:t xml:space="preserve">DIL 固定语义标签空间但换数据集/域；CIL 分三阶段加入类别。</w:t>
            </w:r>
          </w:p>
        </w:tc>
        <w:tc>
          <w:tcPr>
            <w:tcW w:w="3110" w:type="dxa"/>
            <w:vAlign w:val="center"/>
          </w:tcPr>
          <w:p>
            <w:pPr>
              <w:pStyle w:val="TableText"/>
            </w:pPr>
            <w:r>
              <w:t xml:space="preserve">§II-B、§III；p.2–4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监督信息</w:t>
            </w:r>
          </w:p>
        </w:tc>
        <w:tc>
          <w:tcPr>
            <w:tcW w:w="4550" w:type="dxa"/>
            <w:vAlign w:val="center"/>
          </w:tcPr>
          <w:p>
            <w:pPr>
              <w:pStyle w:val="TableText"/>
            </w:pPr>
            <w:r>
              <w:t xml:space="preserve">每阶段当前任务有像素标注；CIL 仅当前类别有标签，旧类可出现而不标注；Replay 储存旧图及旧像素标注。</w:t>
            </w:r>
          </w:p>
        </w:tc>
        <w:tc>
          <w:tcPr>
            <w:tcW w:w="3110" w:type="dxa"/>
            <w:vAlign w:val="center"/>
          </w:tcPr>
          <w:p>
            <w:pPr>
              <w:pStyle w:val="TableText"/>
            </w:pPr>
            <w:r>
              <w:t xml:space="preserve">§III-C、§IV-A；Fig.2；p.4–5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域/任务边界</w:t>
            </w:r>
          </w:p>
        </w:tc>
        <w:tc>
          <w:tcPr>
            <w:tcW w:w="4550" w:type="dxa"/>
            <w:vAlign w:val="center"/>
          </w:tcPr>
          <w:p>
            <w:pPr>
              <w:pStyle w:val="TableText"/>
            </w:pPr>
            <w:r>
              <w:t xml:space="preserve">训练时阶段顺序及任务切换已知，并有当前任务留出集；测试时未报告按任务/域 ID 选分支，统一模型评价。边界自动检测未报告。</w:t>
            </w:r>
          </w:p>
        </w:tc>
        <w:tc>
          <w:tcPr>
            <w:tcW w:w="3110" w:type="dxa"/>
            <w:vAlign w:val="center"/>
          </w:tcPr>
          <w:p>
            <w:pPr>
              <w:pStyle w:val="TableText"/>
            </w:pPr>
            <w:r>
              <w:t xml:space="preserve">§III–IV；p.3–5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旧数据与存储</w:t>
            </w:r>
          </w:p>
        </w:tc>
        <w:tc>
          <w:tcPr>
            <w:tcW w:w="4550" w:type="dxa"/>
            <w:vAlign w:val="center"/>
          </w:tcPr>
          <w:p>
            <w:pPr>
              <w:pStyle w:val="TableText"/>
            </w:pPr>
            <w:r>
              <w:t xml:space="preserve">常规 CL 方法训练新阶段不访问完整旧任务集；Replay 可存 32/64 张完整旧图和标签，教师方法需旧模型。联合训练参考可访问全部任务数据。</w:t>
            </w:r>
          </w:p>
        </w:tc>
        <w:tc>
          <w:tcPr>
            <w:tcW w:w="3110" w:type="dxa"/>
            <w:vAlign w:val="center"/>
          </w:tcPr>
          <w:p>
            <w:pPr>
              <w:pStyle w:val="TableText"/>
            </w:pPr>
            <w:r>
              <w:t xml:space="preserve">§IV-A；p.4–5</w:t>
            </w:r>
          </w:p>
        </w:tc>
      </w:tr>
      <w:tr>
        <w:trPr>
          <w:cantSplit/>
        </w:trPr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评价范围</w:t>
            </w:r>
          </w:p>
        </w:tc>
        <w:tc>
          <w:tcPr>
            <w:tcW w:w="4550" w:type="dxa"/>
            <w:vAlign w:val="center"/>
          </w:tcPr>
          <w:p>
            <w:pPr>
              <w:pStyle w:val="TableText"/>
            </w:pPr>
            <w:r>
              <w:t xml:space="preserve">DIL：学完 Cityscapes 后分别评 BDD/Cityscapes；CIL：S2、S3 后评已见类别子集，S3 后评 Cityscapes 全 19 类。</w:t>
            </w:r>
          </w:p>
        </w:tc>
        <w:tc>
          <w:tcPr>
            <w:tcW w:w="3110" w:type="dxa"/>
            <w:vAlign w:val="center"/>
          </w:tcPr>
          <w:p>
            <w:pPr>
              <w:pStyle w:val="TableText"/>
            </w:pPr>
            <w:r>
              <w:t xml:space="preserve">Tables II–III；p.6</w:t>
            </w:r>
          </w:p>
        </w:tc>
      </w:tr>
    </w:tbl>
    <w:p>
      <w:pPr>
        <w:pStyle w:val="Heading1"/>
      </w:pPr>
      <w:r>
        <w:t xml:space="preserve">2 方法对照与作用机制</w:t>
      </w:r>
    </w:p>
    <w:p>
      <w:pPr>
        <w:pStyle w:val="Normal"/>
      </w:pPr>
      <w:r>
        <w:t xml:space="preserve">作者比较 FT（全网络微调）、FE（冻结编码器，仅训解码头）、等权 L2、EWC、MAS、LwF、分割版 CIL、真实样本 Replay，以及蒸馏+回放。LwF 用上一阶段教师模型的旧类软预测约束学生，CIL 只对新图中的无标签像素蒸馏并提高小面积类权重；EWC/MAS 按历史任务参数重要性限制变化。Replay 将旧域图像及像素标签混入新域批次，旧/新样本各占一半。（§IV-A，式(2)–(4)；p.4–5）</w:t>
      </w:r>
    </w:p>
    <w:p>
      <w:pPr>
        <w:pStyle w:val="Normal"/>
      </w:pPr>
      <w:r>
        <w:t xml:space="preserve">Replay 缓存随机选取的 32 或 64 张完整 1024×2048 图像，在已见任务间均分；CIL+R 因还要保存教师模型，仅比较 32 张缓存。蒸馏无需存旧图像，但仍需旧模型，并依赖旧类在新图中可见。作者排除了需测试时任务标识的参数隔离法。这里的“回放”是有标签真实旧样本，不等同于 SimCS 的模拟样本。（§II-A、§IV-A；p.2、4–5）</w:t>
      </w:r>
    </w:p>
    <w:p>
      <w:pPr>
        <w:pStyle w:val="Normal"/>
      </w:pPr>
      <w:r>
        <w:t xml:space="preserve">初步骨干比较：DeepLabV3 约 39M 参数，ERFNet 约 1.2M；在旧域 BDD 上，同骨干的联合训练参考与顺序微调终点分别为 DeepLabV3 59.6/53.0、ERFNet 53.9/31.1 mIoU。这是不同训练协议的终点差距，不是同一模型的阶段遗忘量。作者因此选更易遗忘且训练更快的 ERFNet 做后续方法实验。此选择使本论文的绝对分数及方法排名不能直接与使用 DeepLabV3 的 SimCS 横比。（Table I；p.3–4）</w:t>
      </w:r>
    </w:p>
    <w:p>
      <w:pPr>
        <w:pStyle w:val="Caption"/>
      </w:pPr>
      <w:r>
        <w:t xml:space="preserve">表 2｜实验分组；每一组限定方法、骨干和评价协议</w:t>
      </w:r>
    </w:p>
    <w:p>
      <w:pPr>
        <w:pStyle w:val="Normal"/>
      </w:pPr>
      <w:r>
        <w:t xml:space="preserve">协议简称：D＝BDD100K→Cityscapes，有标注两阶段，终点在两域验证；C＝Cityscapes S1→S2→S3，当前子集有标注，按阶段评已见子集及最终 19 类。ERFNet 组使用 ImageNet 预训练编码器；DeepLabV3 的预训练在原文未报告。两种协议均按当前任务留出集早停，最多 250 epoch；D batch=16，C batch=6。R32/R64 表示保存 32/64 张带像素标签的旧图。联合训练组可访问全任务数据，属于非增量参考；本文主要贡献是对照协议，而非一个新算法。CIL 同时是任务缩写，也是作者分割蒸馏方法名，表内“CIL 法”仅指后者。（§III–IV，Tables I–III；p.3–6）</w:t>
      </w:r>
    </w:p>
    <w:tbl>
      <w:tblPr>
        <w:tblW w:w="9360" w:type="dxa"/>
        <w:tblInd w:w="120" w:type="dxa"/>
        <w:tblLayout w:type="fixed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560"/>
        <w:gridCol w:w="800"/>
        <w:gridCol w:w="1250"/>
        <w:gridCol w:w="1700"/>
        <w:gridCol w:w="1700"/>
        <w:gridCol w:w="2150"/>
        <w:gridCol w:w="1200"/>
      </w:tblGrid>
      <w:tr>
        <w:trPr>
          <w:tblHeader w:val="1"/>
          <w:cantSplit/>
        </w:trPr>
        <w:tc>
          <w:tcPr>
            <w:tcW w:w="560" w:type="dxa"/>
            <w:vAlign w:val="center"/>
            <w:shd w:fill="F2F4F7"/>
          </w:tcPr>
          <w:p>
            <w:pPr>
              <w:pStyle w:val="TableText"/>
            </w:pPr>
            <w:r>
              <w:t xml:space="preserve">组号</w:t>
            </w:r>
          </w:p>
        </w:tc>
        <w:tc>
          <w:tcPr>
            <w:tcW w:w="800" w:type="dxa"/>
            <w:vAlign w:val="center"/>
            <w:shd w:fill="F2F4F7"/>
          </w:tcPr>
          <w:p>
            <w:pPr>
              <w:pStyle w:val="TableText"/>
            </w:pPr>
            <w:r>
              <w:t xml:space="preserve">角色</w:t>
            </w:r>
          </w:p>
        </w:tc>
        <w:tc>
          <w:tcPr>
            <w:tcW w:w="1250" w:type="dxa"/>
            <w:vAlign w:val="center"/>
            <w:shd w:fill="F2F4F7"/>
          </w:tcPr>
          <w:p>
            <w:pPr>
              <w:pStyle w:val="TableText"/>
            </w:pPr>
            <w:r>
              <w:t xml:space="preserve">方法</w:t>
            </w:r>
          </w:p>
        </w:tc>
        <w:tc>
          <w:tcPr>
            <w:tcW w:w="1700" w:type="dxa"/>
            <w:vAlign w:val="center"/>
            <w:shd w:fill="F2F4F7"/>
          </w:tcPr>
          <w:p>
            <w:pPr>
              <w:pStyle w:val="TableText"/>
            </w:pPr>
            <w:r>
              <w:t xml:space="preserve">网络/骨干/预训练</w:t>
            </w:r>
          </w:p>
        </w:tc>
        <w:tc>
          <w:tcPr>
            <w:tcW w:w="1700" w:type="dxa"/>
            <w:vAlign w:val="center"/>
            <w:shd w:fill="F2F4F7"/>
          </w:tcPr>
          <w:p>
            <w:pPr>
              <w:pStyle w:val="TableText"/>
            </w:pPr>
            <w:r>
              <w:t xml:space="preserve">数据集与域序列</w:t>
            </w:r>
          </w:p>
        </w:tc>
        <w:tc>
          <w:tcPr>
            <w:tcW w:w="2150" w:type="dxa"/>
            <w:vAlign w:val="center"/>
            <w:shd w:fill="F2F4F7"/>
          </w:tcPr>
          <w:p>
            <w:pPr>
              <w:pStyle w:val="TableText"/>
            </w:pPr>
            <w:r>
              <w:t xml:space="preserve">训练与评价协议</w:t>
            </w:r>
          </w:p>
        </w:tc>
        <w:tc>
          <w:tcPr>
            <w:tcW w:w="1200" w:type="dxa"/>
            <w:vAlign w:val="center"/>
            <w:shd w:fill="F2F4F7"/>
          </w:tcPr>
          <w:p>
            <w:pPr>
              <w:pStyle w:val="TableText"/>
            </w:pPr>
            <w:r>
              <w:t xml:space="preserve">论文依据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G01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网络参考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联合训练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DeepLabV3，39M；预训练未报告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两域联合训练；终点评估 BDD、CS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I；p.3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G02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联合参考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联合训练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ERFNet，1.2M；ImageNet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两域联合训练；终点评估 BDD、CS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Tables I、III；p.3、6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G03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网络对照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FT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DeepLabV3，39M；预训练未报告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先 BDD 后 CS；终点评估 BDD、CS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I；p.3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G04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FT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ERFNet，1.2M；ImageNet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先 BDD 后 CS；终点评估 BDD、CS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Tables I、III；p.3、6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G05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FE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冻结编码器；D 终点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G06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L2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等权 L2 正则；D 终点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G07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MAS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参数重要性正则；D 终点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G08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EWC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参数重要性正则；D 终点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G09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LwF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旧模型蒸馏；D 终点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G10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Replay R32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32 张旧图及标签；新旧各半批；D 终点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G11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Replay R64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64 张旧图及标签；新旧各半批；D 终点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G12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组合对照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LwF＋Replay R32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D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教师模型＋32 张旧图；D 终点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G13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联合参考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联合训练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全 19 类联合训练；最终 19 类评价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G14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FT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S1→S2→S3；按阶段评价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G15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FE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冻结编码器；按阶段评价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G16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L2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等权 L2 正则；按阶段评价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G17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MAS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参数重要性正则；按阶段评价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G18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EWC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参数重要性正则；按阶段评价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G19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CIL 法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无标签像素蒸馏＋小类权重；按阶段评价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G20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LwF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旧模型蒸馏；按阶段评价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G21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组合对照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CIL 法＋Replay R32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教师模型＋32 张旧图；按阶段评价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G22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Replay R32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32 张旧图及标签；按阶段评价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II；p.6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pStyle w:val="TableText"/>
            </w:pPr>
            <w:r>
              <w:t xml:space="preserve">G23</w:t>
            </w:r>
          </w:p>
        </w:tc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方法对照</w:t>
            </w:r>
          </w:p>
        </w:tc>
        <w:tc>
          <w:tcPr>
            <w:tcW w:w="1250" w:type="dxa"/>
            <w:vAlign w:val="center"/>
          </w:tcPr>
          <w:p>
            <w:pPr>
              <w:pStyle w:val="TableText"/>
            </w:pPr>
            <w:r>
              <w:t xml:space="preserve">Replay R64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ERFNet；ImageNet 编码器</w:t>
            </w:r>
          </w:p>
        </w:tc>
        <w:tc>
          <w:tcPr>
            <w:tcW w:w="1700" w:type="dxa"/>
            <w:vAlign w:val="center"/>
          </w:tcPr>
          <w:p>
            <w:pPr>
              <w:pStyle w:val="TableText"/>
            </w:pPr>
            <w:r>
              <w:t xml:space="preserve">C</w:t>
            </w:r>
          </w:p>
        </w:tc>
        <w:tc>
          <w:tcPr>
            <w:tcW w:w="2150" w:type="dxa"/>
            <w:vAlign w:val="center"/>
          </w:tcPr>
          <w:p>
            <w:pPr>
              <w:pStyle w:val="TableText"/>
            </w:pPr>
            <w:r>
              <w:t xml:space="preserve">64 张旧图及标签；按阶段评价</w:t>
            </w:r>
          </w:p>
        </w:tc>
        <w:tc>
          <w:tcPr>
            <w:tcW w:w="1200" w:type="dxa"/>
            <w:vAlign w:val="center"/>
          </w:tcPr>
          <w:p>
            <w:pPr>
              <w:pStyle w:val="TableText"/>
            </w:pPr>
            <w:r>
              <w:t xml:space="preserve">Table II；p.6</w:t>
            </w:r>
          </w:p>
        </w:tc>
      </w:tr>
    </w:tbl>
    <w:p>
      <w:pPr>
        <w:pStyle w:val="Heading1"/>
      </w:pPr>
      <w:r>
        <w:t xml:space="preserve">3 实验协议与可复现条件</w:t>
      </w:r>
    </w:p>
    <w:p>
      <w:pPr>
        <w:pStyle w:val="Normal"/>
      </w:pPr>
      <w:r>
        <w:t xml:space="preserve">主实验统一使用 ImageNet 预训练 ERFNet 编码器。类增量 batch=6，域增量 batch=16；Adam、文中记载 momentum=0.9、weight decay=3×10⁻⁴，初始学习率 4×10⁻⁴，多项式衰减 power=0.9；按当前任务留出集早停，最多 250 epoch。训练先按 2:1 比例裁剪、1–2 倍缩放，再取 512×1024 随机块；测试按原分辨率。类增量新阶段增加新类解码头。（§IV-B；p.5）</w:t>
      </w:r>
    </w:p>
    <w:p>
      <w:pPr>
        <w:pStyle w:val="Normal"/>
      </w:pPr>
      <w:r>
        <w:t xml:space="preserve">一项关键比较条件并不统一：论文称正则化方法和 FT 在首任务后把学习率降到 1×10⁻⁵，并冻结 BatchNorm；其他方法没有同一句说明适用这项调整。比较时须保存各方法真实学习率、BN 状态、教师/缓存额外内存和训练轮数，不能仅把 Table II/III 差异归因于持续学习机制。原文未提供多随机种子方差、GPU 时耗或统一计算量核算。（§IV-B；p.5；对报告内容的核查）</w:t>
      </w:r>
    </w:p>
    <w:p>
      <w:pPr>
        <w:pStyle w:val="Caption"/>
      </w:pPr>
      <w:r>
        <w:t xml:space="preserve">表 3｜骨干筛选结果（D 协议；终点 mIoU，%，越大越好）</w:t>
      </w:r>
    </w:p>
    <w:tbl>
      <w:tblPr>
        <w:tblW w:w="9360" w:type="dxa"/>
        <w:tblInd w:w="120" w:type="dxa"/>
        <w:tblLayout w:type="fixed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60"/>
        <w:gridCol w:w="2700"/>
        <w:gridCol w:w="1900"/>
        <w:gridCol w:w="1900"/>
        <w:gridCol w:w="1900"/>
      </w:tblGrid>
      <w:tr>
        <w:trPr>
          <w:tblHeader w:val="1"/>
          <w:cantSplit/>
        </w:trPr>
        <w:tc>
          <w:tcPr>
            <w:tcW w:w="960" w:type="dxa"/>
            <w:vAlign w:val="center"/>
            <w:shd w:fill="F2F4F7"/>
          </w:tcPr>
          <w:p>
            <w:pPr>
              <w:pStyle w:val="TableText"/>
            </w:pPr>
            <w:r>
              <w:t xml:space="preserve">组号</w:t>
            </w:r>
          </w:p>
        </w:tc>
        <w:tc>
          <w:tcPr>
            <w:tcW w:w="2700" w:type="dxa"/>
            <w:vAlign w:val="center"/>
            <w:shd w:fill="F2F4F7"/>
          </w:tcPr>
          <w:p>
            <w:pPr>
              <w:pStyle w:val="TableText"/>
            </w:pPr>
            <w:r>
              <w:t xml:space="preserve">方法与骨干</w:t>
            </w:r>
          </w:p>
        </w:tc>
        <w:tc>
          <w:tcPr>
            <w:tcW w:w="1900" w:type="dxa"/>
            <w:vAlign w:val="center"/>
            <w:shd w:fill="F2F4F7"/>
          </w:tcPr>
          <w:p>
            <w:pPr>
              <w:pStyle w:val="TableText"/>
            </w:pPr>
            <w:r>
              <w:t xml:space="preserve">旧域 BDD</w:t>
            </w:r>
          </w:p>
        </w:tc>
        <w:tc>
          <w:tcPr>
            <w:tcW w:w="1900" w:type="dxa"/>
            <w:vAlign w:val="center"/>
            <w:shd w:fill="F2F4F7"/>
          </w:tcPr>
          <w:p>
            <w:pPr>
              <w:pStyle w:val="TableText"/>
            </w:pPr>
            <w:r>
              <w:t xml:space="preserve">当前域 CS</w:t>
            </w:r>
          </w:p>
        </w:tc>
        <w:tc>
          <w:tcPr>
            <w:tcW w:w="1900" w:type="dxa"/>
            <w:vAlign w:val="center"/>
            <w:shd w:fill="F2F4F7"/>
          </w:tcPr>
          <w:p>
            <w:pPr>
              <w:pStyle w:val="TableText"/>
            </w:pPr>
            <w:r>
              <w:t xml:space="preserve">证据</w:t>
            </w:r>
          </w:p>
        </w:tc>
      </w:tr>
      <w:tr>
        <w:trPr>
          <w:cantSplit/>
        </w:trPr>
        <w:tc>
          <w:tcPr>
            <w:tcW w:w="960" w:type="dxa"/>
            <w:vAlign w:val="center"/>
          </w:tcPr>
          <w:p>
            <w:pPr>
              <w:pStyle w:val="TableText"/>
            </w:pPr>
            <w:r>
              <w:t xml:space="preserve">G01</w:t>
            </w:r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t xml:space="preserve">联合训练／DeepLabV3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59.6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73.0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Table I；p.3</w:t>
            </w:r>
          </w:p>
        </w:tc>
      </w:tr>
      <w:tr>
        <w:trPr>
          <w:cantSplit/>
        </w:trPr>
        <w:tc>
          <w:tcPr>
            <w:tcW w:w="960" w:type="dxa"/>
            <w:vAlign w:val="center"/>
          </w:tcPr>
          <w:p>
            <w:pPr>
              <w:pStyle w:val="TableText"/>
            </w:pPr>
            <w:r>
              <w:t xml:space="preserve">G02</w:t>
            </w:r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t xml:space="preserve">联合训练／ERFNet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53.9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64.3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Table I；p.3</w:t>
            </w:r>
          </w:p>
        </w:tc>
      </w:tr>
      <w:tr>
        <w:trPr>
          <w:cantSplit/>
        </w:trPr>
        <w:tc>
          <w:tcPr>
            <w:tcW w:w="960" w:type="dxa"/>
            <w:vAlign w:val="center"/>
          </w:tcPr>
          <w:p>
            <w:pPr>
              <w:pStyle w:val="TableText"/>
            </w:pPr>
            <w:r>
              <w:t xml:space="preserve">G03</w:t>
            </w:r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t xml:space="preserve">FT／DeepLabV3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53.0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71.1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Table I；p.3</w:t>
            </w:r>
          </w:p>
        </w:tc>
      </w:tr>
      <w:tr>
        <w:trPr>
          <w:cantSplit/>
        </w:trPr>
        <w:tc>
          <w:tcPr>
            <w:tcW w:w="960" w:type="dxa"/>
            <w:vAlign w:val="center"/>
          </w:tcPr>
          <w:p>
            <w:pPr>
              <w:pStyle w:val="TableText"/>
            </w:pPr>
            <w:r>
              <w:t xml:space="preserve">G04</w:t>
            </w:r>
          </w:p>
        </w:tc>
        <w:tc>
          <w:tcPr>
            <w:tcW w:w="2700" w:type="dxa"/>
            <w:vAlign w:val="center"/>
          </w:tcPr>
          <w:p>
            <w:pPr>
              <w:pStyle w:val="TableText"/>
            </w:pPr>
            <w:r>
              <w:t xml:space="preserve">FT／ERFNet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31.1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68.7</w:t>
            </w:r>
          </w:p>
        </w:tc>
        <w:tc>
          <w:tcPr>
            <w:tcW w:w="1900" w:type="dxa"/>
            <w:vAlign w:val="center"/>
          </w:tcPr>
          <w:p>
            <w:pPr>
              <w:pStyle w:val="TableText"/>
            </w:pPr>
            <w:r>
              <w:t xml:space="preserve">Table I；p.3</w:t>
            </w:r>
          </w:p>
        </w:tc>
      </w:tr>
    </w:tbl>
    <w:p>
      <w:pPr>
        <w:pStyle w:val="Caption"/>
      </w:pPr>
      <w:r>
        <w:t xml:space="preserve">Table I 比较两个骨干的联合训练和顺序微调；其“联合训练”不遵守旧数据不可访问约束。G02/G04 也出现在 Table III，数值一致。</w:t>
      </w:r>
    </w:p>
    <w:p>
      <w:pPr>
        <w:pStyle w:val="Heading1"/>
      </w:pPr>
      <w:r>
        <w:t xml:space="preserve">4 类增量结果：蒸馏有效但依赖旧类再出现</w:t>
      </w:r>
    </w:p>
    <w:p>
      <w:pPr>
        <w:pStyle w:val="Caption"/>
      </w:pPr>
      <w:r>
        <w:t xml:space="preserve">表 4｜类增量 C 协议完整结果。S2 后两列和 S3 后四列是不同评价时点；每列为对应类别集合的 mIoU（%，越大越好）。最后一列是在第三阶段后对 Cityscapes 全 19 类评价。</w:t>
      </w:r>
    </w:p>
    <w:tbl>
      <w:tblPr>
        <w:tblW w:w="9360" w:type="dxa"/>
        <w:tblInd w:w="120" w:type="dxa"/>
        <w:tblLayout w:type="fixed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800"/>
        <w:gridCol w:w="1420"/>
        <w:gridCol w:w="1420"/>
        <w:gridCol w:w="1420"/>
        <w:gridCol w:w="1420"/>
        <w:gridCol w:w="1420"/>
        <w:gridCol w:w="1460"/>
      </w:tblGrid>
      <w:tr>
        <w:trPr>
          <w:tblHeader w:val="1"/>
          <w:cantSplit/>
        </w:trPr>
        <w:tc>
          <w:tcPr>
            <w:tcW w:w="800" w:type="dxa"/>
            <w:vAlign w:val="center"/>
            <w:shd w:fill="F2F4F7"/>
          </w:tcPr>
          <w:p>
            <w:pPr>
              <w:pStyle w:val="TableText"/>
            </w:pPr>
            <w:r>
              <w:t xml:space="preserve">组号</w:t>
            </w:r>
          </w:p>
        </w:tc>
        <w:tc>
          <w:tcPr>
            <w:tcW w:w="1420" w:type="dxa"/>
            <w:vAlign w:val="center"/>
            <w:shd w:fill="F2F4F7"/>
          </w:tcPr>
          <w:p>
            <w:pPr>
              <w:pStyle w:val="TableText"/>
            </w:pPr>
            <w:r>
              <w:t xml:space="preserve">S2 后 S1</w:t>
            </w:r>
          </w:p>
        </w:tc>
        <w:tc>
          <w:tcPr>
            <w:tcW w:w="1420" w:type="dxa"/>
            <w:vAlign w:val="center"/>
            <w:shd w:fill="F2F4F7"/>
          </w:tcPr>
          <w:p>
            <w:pPr>
              <w:pStyle w:val="TableText"/>
            </w:pPr>
            <w:r>
              <w:t xml:space="preserve">S2 后 S2</w:t>
            </w:r>
          </w:p>
        </w:tc>
        <w:tc>
          <w:tcPr>
            <w:tcW w:w="1420" w:type="dxa"/>
            <w:vAlign w:val="center"/>
            <w:shd w:fill="F2F4F7"/>
          </w:tcPr>
          <w:p>
            <w:pPr>
              <w:pStyle w:val="TableText"/>
            </w:pPr>
            <w:r>
              <w:t xml:space="preserve">S3 后 S1</w:t>
            </w:r>
          </w:p>
        </w:tc>
        <w:tc>
          <w:tcPr>
            <w:tcW w:w="1420" w:type="dxa"/>
            <w:vAlign w:val="center"/>
            <w:shd w:fill="F2F4F7"/>
          </w:tcPr>
          <w:p>
            <w:pPr>
              <w:pStyle w:val="TableText"/>
            </w:pPr>
            <w:r>
              <w:t xml:space="preserve">S3 后 S2</w:t>
            </w:r>
          </w:p>
        </w:tc>
        <w:tc>
          <w:tcPr>
            <w:tcW w:w="1420" w:type="dxa"/>
            <w:vAlign w:val="center"/>
            <w:shd w:fill="F2F4F7"/>
          </w:tcPr>
          <w:p>
            <w:pPr>
              <w:pStyle w:val="TableText"/>
            </w:pPr>
            <w:r>
              <w:t xml:space="preserve">S3 后 S3</w:t>
            </w:r>
          </w:p>
        </w:tc>
        <w:tc>
          <w:tcPr>
            <w:tcW w:w="1460" w:type="dxa"/>
            <w:vAlign w:val="center"/>
            <w:shd w:fill="F2F4F7"/>
          </w:tcPr>
          <w:p>
            <w:pPr>
              <w:pStyle w:val="TableText"/>
            </w:pPr>
            <w:r>
              <w:t xml:space="preserve">S3 后 19 类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G13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—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83.8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76.2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81.0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68.7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G14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32.6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58.1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32.8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12.0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79.9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16.1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G15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79.2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49.0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79.2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49.0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64.8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39.6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G16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79.2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49.5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78.7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48.4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65.0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39.8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G17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49.4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60.0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53.2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40.4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76.6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30.5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G18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26.3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58.9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46.8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33.6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79.3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25.2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G19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78.3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69.8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78.1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42.3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82.0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56.6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G20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77.2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68.3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76.4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38.1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82.6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53.9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G21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78.3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64.6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77.4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43.3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82.0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56.0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G22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67.7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59.2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67.3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38.0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80.8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39.8</w:t>
            </w:r>
          </w:p>
        </w:tc>
      </w:tr>
      <w:tr>
        <w:trPr>
          <w:cantSplit/>
        </w:trPr>
        <w:tc>
          <w:tcPr>
            <w:tcW w:w="800" w:type="dxa"/>
            <w:vAlign w:val="center"/>
          </w:tcPr>
          <w:p>
            <w:pPr>
              <w:pStyle w:val="TableText"/>
            </w:pPr>
            <w:r>
              <w:t xml:space="preserve">G23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69.3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58.0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68.4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42.6</w:t>
            </w:r>
          </w:p>
        </w:tc>
        <w:tc>
          <w:tcPr>
            <w:tcW w:w="1420" w:type="dxa"/>
            <w:vAlign w:val="center"/>
          </w:tcPr>
          <w:p>
            <w:pPr>
              <w:pStyle w:val="TableText"/>
            </w:pPr>
            <w:r>
              <w:t xml:space="preserve">79.8</w:t>
            </w:r>
          </w:p>
        </w:tc>
        <w:tc>
          <w:tcPr>
            <w:tcW w:w="1460" w:type="dxa"/>
            <w:vAlign w:val="center"/>
          </w:tcPr>
          <w:p>
            <w:pPr>
              <w:pStyle w:val="TableText"/>
            </w:pPr>
            <w:r>
              <w:t xml:space="preserve">39.8</w:t>
            </w:r>
          </w:p>
        </w:tc>
      </w:tr>
    </w:tbl>
    <w:p>
      <w:pPr>
        <w:pStyle w:val="Caption"/>
      </w:pPr>
      <w:r>
        <w:t xml:space="preserve">来源：Table II，本地 PDF p.6。组号对应表 2；“—”为原表未给出，非零值。G13 联合训练是非增量参考，不具有相同历史访问约束。</w:t>
      </w:r>
    </w:p>
    <w:p>
      <w:pPr>
        <w:pStyle w:val="Normal"/>
      </w:pPr>
      <w:r>
        <w:t xml:space="preserve">CIL 的全类 56.6 比 Replay 32 的 39.8 高 16.8 个百分点；FT 仅 16.1。蒸馏提升完整类别区分，但 S2 在 CIL 下仍从 69.8 降到 42.3（−27.5 点），表明若旧类不再出现在新图，教师也缺少对应像素。CIL+Replay 32 的最终 S2 为 43.3，比 CIL 高 1.0 点，但全类 56.0 略低于 CIL 56.6；因此不能笼统写成“蒸馏加回放全面更优”。（Table II、§V-A；p.6）</w:t>
      </w:r>
    </w:p>
    <w:p>
      <w:pPr>
        <w:pStyle w:val="Heading1"/>
      </w:pPr>
      <w:r>
        <w:t xml:space="preserve">5 域增量结果：小缓存回放强，但只验证双域终点</w:t>
      </w:r>
    </w:p>
    <w:p>
      <w:pPr>
        <w:pStyle w:val="Caption"/>
      </w:pPr>
      <w:r>
        <w:t xml:space="preserve">表 5｜域增量 D 协议完整结果。均为学完 Cityscapes 后的验证集 mIoU（%，越大越好）；“平均”为两个域 mIoU 的算术平均。保留原文 LwF 印刷值并标注复算疑点。</w:t>
      </w:r>
    </w:p>
    <w:tbl>
      <w:tblPr>
        <w:tblW w:w="9360" w:type="dxa"/>
        <w:tblInd w:w="120" w:type="dxa"/>
        <w:tblLayout w:type="fixed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900"/>
        <w:gridCol w:w="2460"/>
        <w:gridCol w:w="2000"/>
        <w:gridCol w:w="2000"/>
        <w:gridCol w:w="2000"/>
      </w:tblGrid>
      <w:tr>
        <w:trPr>
          <w:tblHeader w:val="1"/>
          <w:cantSplit/>
        </w:trPr>
        <w:tc>
          <w:tcPr>
            <w:tcW w:w="900" w:type="dxa"/>
            <w:vAlign w:val="center"/>
            <w:shd w:fill="F2F4F7"/>
          </w:tcPr>
          <w:p>
            <w:pPr>
              <w:pStyle w:val="TableText"/>
            </w:pPr>
            <w:r>
              <w:t xml:space="preserve">组号</w:t>
            </w:r>
          </w:p>
        </w:tc>
        <w:tc>
          <w:tcPr>
            <w:tcW w:w="2460" w:type="dxa"/>
            <w:vAlign w:val="center"/>
            <w:shd w:fill="F2F4F7"/>
          </w:tcPr>
          <w:p>
            <w:pPr>
              <w:pStyle w:val="TableText"/>
            </w:pPr>
            <w:r>
              <w:t xml:space="preserve">方法</w:t>
            </w:r>
          </w:p>
        </w:tc>
        <w:tc>
          <w:tcPr>
            <w:tcW w:w="2000" w:type="dxa"/>
            <w:vAlign w:val="center"/>
            <w:shd w:fill="F2F4F7"/>
          </w:tcPr>
          <w:p>
            <w:pPr>
              <w:pStyle w:val="TableText"/>
            </w:pPr>
            <w:r>
              <w:t xml:space="preserve">旧域 BDD</w:t>
            </w:r>
          </w:p>
        </w:tc>
        <w:tc>
          <w:tcPr>
            <w:tcW w:w="2000" w:type="dxa"/>
            <w:vAlign w:val="center"/>
            <w:shd w:fill="F2F4F7"/>
          </w:tcPr>
          <w:p>
            <w:pPr>
              <w:pStyle w:val="TableText"/>
            </w:pPr>
            <w:r>
              <w:t xml:space="preserve">当前域 CS</w:t>
            </w:r>
          </w:p>
        </w:tc>
        <w:tc>
          <w:tcPr>
            <w:tcW w:w="2000" w:type="dxa"/>
            <w:vAlign w:val="center"/>
            <w:shd w:fill="F2F4F7"/>
          </w:tcPr>
          <w:p>
            <w:pPr>
              <w:pStyle w:val="TableText"/>
            </w:pPr>
            <w:r>
              <w:t xml:space="preserve">原表平均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G02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联合训练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53.9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64.3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59.1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G04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FT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31.1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68.7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49.9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G05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FE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36.9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54.3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45.6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G06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L2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37.4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55.6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46.6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G07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MAS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34.3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54.8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44.5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G08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EWC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34.4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67.0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50.7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G09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LwF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39.3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60.9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44.0*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G10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Replay R32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42.8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69.2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56.0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G11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Replay R64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44.6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67.6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56.1</w:t>
            </w:r>
          </w:p>
        </w:tc>
      </w:tr>
      <w:tr>
        <w:trPr>
          <w:cantSplit/>
        </w:trPr>
        <w:tc>
          <w:tcPr>
            <w:tcW w:w="900" w:type="dxa"/>
            <w:vAlign w:val="center"/>
          </w:tcPr>
          <w:p>
            <w:pPr>
              <w:pStyle w:val="TableText"/>
            </w:pPr>
            <w:r>
              <w:t xml:space="preserve">G12</w:t>
            </w:r>
          </w:p>
        </w:tc>
        <w:tc>
          <w:tcPr>
            <w:tcW w:w="2460" w:type="dxa"/>
            <w:vAlign w:val="center"/>
          </w:tcPr>
          <w:p>
            <w:pPr>
              <w:pStyle w:val="TableText"/>
            </w:pPr>
            <w:r>
              <w:t xml:space="preserve">LwF＋Replay R32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43.1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62.1</w:t>
            </w:r>
          </w:p>
        </w:tc>
        <w:tc>
          <w:tcPr>
            <w:tcW w:w="2000" w:type="dxa"/>
            <w:vAlign w:val="center"/>
          </w:tcPr>
          <w:p>
            <w:pPr>
              <w:pStyle w:val="TableText"/>
            </w:pPr>
            <w:r>
              <w:t xml:space="preserve">52.6</w:t>
            </w:r>
          </w:p>
        </w:tc>
      </w:tr>
    </w:tbl>
    <w:p>
      <w:pPr>
        <w:pStyle w:val="Caption"/>
      </w:pPr>
      <w:r>
        <w:t xml:space="preserve">来源：Table III，本地 PDF p.6。*G09 的两域值 (39.3+60.9)/2=50.1，与印刷 44.0 不符；在原作者勘误或代码证据出现前，不以印刷平均值为该行排序依据。G01/G03 的 DeepLabV3 仅在 Table I 评价，论文未报告其 Table III 平均。</w:t>
      </w:r>
    </w:p>
    <w:p>
      <w:pPr>
        <w:pStyle w:val="Normal"/>
      </w:pPr>
      <w:r>
        <w:t xml:space="preserve">Replay 64 的终点旧域 44.6 比 FT 的 31.1 高 13.5 点，双域平均 56.1，比联合训练参考 59.1 低 3.0 点；Replay 32 的平均 56.0 几乎相同，且当前域 69.2 高于 FT 的 68.7。32 张约占文中 BDD 旧域 7000 张训练图的 0.46%，但每个新域 batch 有一半来自缓存，因此旧图被重复使用，图像数比例并非训练样本曝光或存储成本比例。（Table III、§V-B；p.6）</w:t>
      </w:r>
    </w:p>
    <w:p>
      <w:pPr>
        <w:pStyle w:val="Normal"/>
      </w:pPr>
      <w:r>
        <w:t xml:space="preserve">Table III 只报第二阶段终点，未给训练前同一模型在 BDD 的对应 mIoU、阶段曲线或多顺序重复。因此它能比较最终旧域保留水平，不能独立计算规范的前后遗忘量，也不能证明三域以上的长期稳定性。作者称回放在该协议内最好，应限定为这一骨干、两域顺序、监督和训练预算下的结论。（§V-B；p.6；研究者限定）</w:t>
      </w:r>
    </w:p>
    <w:p>
      <w:pPr>
        <w:pStyle w:val="Caption"/>
      </w:pPr>
      <w:r>
        <w:t xml:space="preserve">表 6｜结果指标口径</w:t>
      </w:r>
    </w:p>
    <w:tbl>
      <w:tblPr>
        <w:tblW w:w="9360" w:type="dxa"/>
        <w:tblInd w:w="120" w:type="dxa"/>
        <w:tblLayout w:type="fixed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450"/>
        <w:gridCol w:w="4400"/>
        <w:gridCol w:w="2510"/>
      </w:tblGrid>
      <w:tr>
        <w:trPr>
          <w:tblHeader w:val="1"/>
          <w:cantSplit/>
        </w:trPr>
        <w:tc>
          <w:tcPr>
            <w:tcW w:w="2450" w:type="dxa"/>
            <w:vAlign w:val="center"/>
            <w:shd w:fill="F2F4F7"/>
          </w:tcPr>
          <w:p>
            <w:pPr>
              <w:pStyle w:val="TableText"/>
            </w:pPr>
            <w:r>
              <w:t xml:space="preserve">原文指标</w:t>
            </w:r>
          </w:p>
        </w:tc>
        <w:tc>
          <w:tcPr>
            <w:tcW w:w="4400" w:type="dxa"/>
            <w:vAlign w:val="center"/>
            <w:shd w:fill="F2F4F7"/>
          </w:tcPr>
          <w:p>
            <w:pPr>
              <w:pStyle w:val="TableText"/>
            </w:pPr>
            <w:r>
              <w:t xml:space="preserve">计算与聚合范围</w:t>
            </w:r>
          </w:p>
        </w:tc>
        <w:tc>
          <w:tcPr>
            <w:tcW w:w="2510" w:type="dxa"/>
            <w:vAlign w:val="center"/>
            <w:shd w:fill="F2F4F7"/>
          </w:tcPr>
          <w:p>
            <w:pPr>
              <w:pStyle w:val="TableText"/>
            </w:pPr>
            <w:r>
              <w:t xml:space="preserve">单位、方向及依据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pStyle w:val="TableText"/>
            </w:pPr>
            <w:r>
              <w:t xml:space="preserve">mIoU_S1 / S2 / S3</w:t>
            </w:r>
          </w:p>
        </w:tc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逐类 IoU＝交集/并集，再在指定类别子集内取均值；Table II 在 S2 后评 S1/S2，在 S3 后评 S1/S2/S3。</w:t>
            </w:r>
          </w:p>
        </w:tc>
        <w:tc>
          <w:tcPr>
            <w:tcW w:w="2510" w:type="dxa"/>
            <w:vAlign w:val="center"/>
          </w:tcPr>
          <w:p>
            <w:pPr>
              <w:pStyle w:val="TableText"/>
            </w:pPr>
            <w:r>
              <w:t xml:space="preserve">%，越大越好；Table II；p.6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pStyle w:val="TableText"/>
            </w:pPr>
            <w:r>
              <w:t xml:space="preserve">mIoU_Cityscapes（C）</w:t>
            </w:r>
          </w:p>
        </w:tc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S3 后 Cityscapes 验证集全 19 类按类 IoU 取均值；不能由三个子集 mIoU 直接等权平均代替。</w:t>
            </w:r>
          </w:p>
        </w:tc>
        <w:tc>
          <w:tcPr>
            <w:tcW w:w="2510" w:type="dxa"/>
            <w:vAlign w:val="center"/>
          </w:tcPr>
          <w:p>
            <w:pPr>
              <w:pStyle w:val="TableText"/>
            </w:pPr>
            <w:r>
              <w:t xml:space="preserve">%，越大越好；Table II；p.6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pStyle w:val="TableText"/>
            </w:pPr>
            <w:r>
              <w:t xml:space="preserve">mIoU_BDD / mIoU_Cityscapes（D）</w:t>
            </w:r>
          </w:p>
        </w:tc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学完第二域后，在 BDD100K 或 Cityscapes 各自验证集计算按类 IoU 均值；同名 Cityscapes 指标属于不同实验协议。</w:t>
            </w:r>
          </w:p>
        </w:tc>
        <w:tc>
          <w:tcPr>
            <w:tcW w:w="2510" w:type="dxa"/>
            <w:vAlign w:val="center"/>
          </w:tcPr>
          <w:p>
            <w:pPr>
              <w:pStyle w:val="TableText"/>
            </w:pPr>
            <w:r>
              <w:t xml:space="preserve">%，越大越好；Tables I、III；p.3、6</w:t>
            </w:r>
          </w:p>
        </w:tc>
      </w:tr>
      <w:tr>
        <w:trPr>
          <w:cantSplit/>
        </w:trPr>
        <w:tc>
          <w:tcPr>
            <w:tcW w:w="2450" w:type="dxa"/>
            <w:vAlign w:val="center"/>
          </w:tcPr>
          <w:p>
            <w:pPr>
              <w:pStyle w:val="TableText"/>
            </w:pPr>
            <w:r>
              <w:t xml:space="preserve">mIoU_Average（D）</w:t>
            </w:r>
          </w:p>
        </w:tc>
        <w:tc>
          <w:tcPr>
            <w:tcW w:w="4400" w:type="dxa"/>
            <w:vAlign w:val="center"/>
          </w:tcPr>
          <w:p>
            <w:pPr>
              <w:pStyle w:val="TableText"/>
            </w:pPr>
            <w:r>
              <w:t xml:space="preserve">Table III 两域终点 mIoU 的算术平均，不是跨训练阶段均值；G09 印刷数值与算式矛盾。</w:t>
            </w:r>
          </w:p>
        </w:tc>
        <w:tc>
          <w:tcPr>
            <w:tcW w:w="2510" w:type="dxa"/>
            <w:vAlign w:val="center"/>
          </w:tcPr>
          <w:p>
            <w:pPr>
              <w:pStyle w:val="TableText"/>
            </w:pPr>
            <w:r>
              <w:t xml:space="preserve">%，越大越好；Table III；p.6</w:t>
            </w:r>
          </w:p>
        </w:tc>
      </w:tr>
    </w:tbl>
    <w:p>
      <w:pPr>
        <w:pStyle w:val="Heading1"/>
      </w:pPr>
      <w:r>
        <w:t xml:space="preserve">6 局限、疑点与证据分级</w:t>
      </w:r>
    </w:p>
    <w:p>
      <w:pPr>
        <w:pStyle w:val="Normal"/>
      </w:pPr>
      <w:r>
        <w:t xml:space="preserve">原文没有在统一的“局限”小节中系统承认以下全部问题。下表将直接由表值支持的缺陷、报告人提出的疑问及实验协议的适用范围分开；除第一行外，不把未报告或协议选择当作论文已经发生的错误。</w:t>
      </w:r>
    </w:p>
    <w:p>
      <w:pPr>
        <w:pStyle w:val="Caption"/>
      </w:pPr>
      <w:r>
        <w:t xml:space="preserve">表 7｜逐项疑点、结论影响与可验证补充</w:t>
      </w:r>
    </w:p>
    <w:tbl>
      <w:tblPr>
        <w:tblW w:w="9360" w:type="dxa"/>
        <w:tblInd w:w="120" w:type="dxa"/>
        <w:tblLayout w:type="fixed"/>
        <w:tblBorders>
          <w:top w:val="single" w:sz="4" w:color="D8DEE8"/>
          <w:left w:val="single" w:sz="4" w:color="D8DEE8"/>
          <w:bottom w:val="single" w:sz="4" w:color="D8DEE8"/>
          <w:right w:val="single" w:sz="4" w:color="D8DEE8"/>
          <w:insideH w:val="single" w:sz="4" w:color="D8DEE8"/>
          <w:insideV w:val="single" w:sz="4" w:color="D8DEE8"/>
        </w:tblBorders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050"/>
        <w:gridCol w:w="2780"/>
        <w:gridCol w:w="2730"/>
        <w:gridCol w:w="2800"/>
      </w:tblGrid>
      <w:tr>
        <w:trPr>
          <w:tblHeader w:val="1"/>
          <w:cantSplit/>
        </w:trPr>
        <w:tc>
          <w:tcPr>
            <w:tcW w:w="1050" w:type="dxa"/>
            <w:vAlign w:val="center"/>
            <w:shd w:fill="F2F4F7"/>
          </w:tcPr>
          <w:p>
            <w:pPr>
              <w:pStyle w:val="TableText"/>
            </w:pPr>
            <w:r>
              <w:t xml:space="preserve">性质</w:t>
            </w:r>
          </w:p>
        </w:tc>
        <w:tc>
          <w:tcPr>
            <w:tcW w:w="2780" w:type="dxa"/>
            <w:vAlign w:val="center"/>
            <w:shd w:fill="F2F4F7"/>
          </w:tcPr>
          <w:p>
            <w:pPr>
              <w:pStyle w:val="TableText"/>
            </w:pPr>
            <w:r>
              <w:t xml:space="preserve">问题与论文依据</w:t>
            </w:r>
          </w:p>
        </w:tc>
        <w:tc>
          <w:tcPr>
            <w:tcW w:w="2730" w:type="dxa"/>
            <w:vAlign w:val="center"/>
            <w:shd w:fill="F2F4F7"/>
          </w:tcPr>
          <w:p>
            <w:pPr>
              <w:pStyle w:val="TableText"/>
            </w:pPr>
            <w:r>
              <w:t xml:space="preserve">为何影响结论</w:t>
            </w:r>
          </w:p>
        </w:tc>
        <w:tc>
          <w:tcPr>
            <w:tcW w:w="2800" w:type="dxa"/>
            <w:vAlign w:val="center"/>
            <w:shd w:fill="F2F4F7"/>
          </w:tcPr>
          <w:p>
            <w:pPr>
              <w:pStyle w:val="TableText"/>
            </w:pPr>
            <w:r>
              <w:t xml:space="preserve">核查或改进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pStyle w:val="TableText"/>
            </w:pPr>
            <w:r>
              <w:t xml:space="preserve">表值缺陷</w:t>
            </w:r>
          </w:p>
        </w:tc>
        <w:tc>
          <w:tcPr>
            <w:tcW w:w="2780" w:type="dxa"/>
            <w:vAlign w:val="center"/>
          </w:tcPr>
          <w:p>
            <w:pPr>
              <w:pStyle w:val="TableText"/>
            </w:pPr>
            <w:r>
              <w:t xml:space="preserve">Table III：LwF 为 BDD 39.3、CS 60.9，Average 却印为 44.0；按文中均值定义应为 50.1。（p.6）</w:t>
            </w:r>
          </w:p>
        </w:tc>
        <w:tc>
          <w:tcPr>
            <w:tcW w:w="2730" w:type="dxa"/>
            <w:vAlign w:val="center"/>
          </w:tcPr>
          <w:p>
            <w:pPr>
              <w:pStyle w:val="TableText"/>
            </w:pPr>
            <w:r>
              <w:t xml:space="preserve">若直接按 Average 排序，LwF 的相对位置可能被误判；其他方法的原表值不受此算式影响。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核查作者勘误及公开结果；引用时保留 44.0* 并附 50.1 复算，不自行替换原文。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pStyle w:val="TableText"/>
            </w:pPr>
            <w:r>
              <w:t xml:space="preserve">报告人疑问</w:t>
            </w:r>
          </w:p>
        </w:tc>
        <w:tc>
          <w:tcPr>
            <w:tcW w:w="2780" w:type="dxa"/>
            <w:vAlign w:val="center"/>
          </w:tcPr>
          <w:p>
            <w:pPr>
              <w:pStyle w:val="TableText"/>
            </w:pPr>
            <w:r>
              <w:t xml:space="preserve">FT/正则化方法在首阶段后降学习率并冻结 BN；原文未给所有方法完全一致的超参/训练成本表。（§IV-B；p.5）</w:t>
            </w:r>
          </w:p>
        </w:tc>
        <w:tc>
          <w:tcPr>
            <w:tcW w:w="2730" w:type="dxa"/>
            <w:vAlign w:val="center"/>
          </w:tcPr>
          <w:p>
            <w:pPr>
              <w:pStyle w:val="TableText"/>
            </w:pPr>
            <w:r>
              <w:t xml:space="preserve">方法排名可能部分受优化设置与模型/缓存额外资源影响，无法只归因为机制。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同骨干、统一调参预算重跑，逐组记录学习率、BN、轮数、旧模型及缓存字节。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pStyle w:val="TableText"/>
            </w:pPr>
            <w:r>
              <w:t xml:space="preserve">报告人疑问</w:t>
            </w:r>
          </w:p>
        </w:tc>
        <w:tc>
          <w:tcPr>
            <w:tcW w:w="2780" w:type="dxa"/>
            <w:vAlign w:val="center"/>
          </w:tcPr>
          <w:p>
            <w:pPr>
              <w:pStyle w:val="TableText"/>
            </w:pPr>
            <w:r>
              <w:t xml:space="preserve">Table III 仅有两域终点，未给同一模型在学习 CS 前的 BDD 值或方差。（§V-B；p.6）</w:t>
            </w:r>
          </w:p>
        </w:tc>
        <w:tc>
          <w:tcPr>
            <w:tcW w:w="2730" w:type="dxa"/>
            <w:vAlign w:val="center"/>
          </w:tcPr>
          <w:p>
            <w:pPr>
              <w:pStyle w:val="TableText"/>
            </w:pPr>
            <w:r>
              <w:t xml:space="preserve">终点旧域分数可比较，但不能计算各方法严格的训练前后遗忘量，也看不出稳定性。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补报逐阶段×测试域矩阵、多种子均值与方差，计算同一模型的遗忘量。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pStyle w:val="TableText"/>
            </w:pPr>
            <w:r>
              <w:t xml:space="preserve">适用范围</w:t>
            </w:r>
          </w:p>
        </w:tc>
        <w:tc>
          <w:tcPr>
            <w:tcW w:w="2780" w:type="dxa"/>
            <w:vAlign w:val="center"/>
          </w:tcPr>
          <w:p>
            <w:pPr>
              <w:pStyle w:val="TableText"/>
            </w:pPr>
            <w:r>
              <w:t xml:space="preserve">BDD→Cityscapes 同时变化天气、城市、道路和摄像条件；仅一个双域顺序。（§III-B、Fig.1、Fig.3；p.3–4）</w:t>
            </w:r>
          </w:p>
        </w:tc>
        <w:tc>
          <w:tcPr>
            <w:tcW w:w="2730" w:type="dxa"/>
            <w:vAlign w:val="center"/>
          </w:tcPr>
          <w:p>
            <w:pPr>
              <w:pStyle w:val="TableText"/>
            </w:pPr>
            <w:r>
              <w:t xml:space="preserve">不能把回放的优势直接归因于天气变化，也不能外推到多天气长序列。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固定类别/摄像条件，在 ACDC 天气顺序上多种子复核，并交换域顺序。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pStyle w:val="TableText"/>
            </w:pPr>
            <w:r>
              <w:t xml:space="preserve">适用范围</w:t>
            </w:r>
          </w:p>
        </w:tc>
        <w:tc>
          <w:tcPr>
            <w:tcW w:w="2780" w:type="dxa"/>
            <w:vAlign w:val="center"/>
          </w:tcPr>
          <w:p>
            <w:pPr>
              <w:pStyle w:val="TableText"/>
            </w:pPr>
            <w:r>
              <w:t xml:space="preserve">类实验 S2 中部分旧类在其他组图像中缺席；DIL 采用有标注已知阶段训练。（§III-C、Fig.2；p.4）</w:t>
            </w:r>
          </w:p>
        </w:tc>
        <w:tc>
          <w:tcPr>
            <w:tcW w:w="2730" w:type="dxa"/>
            <w:vAlign w:val="center"/>
          </w:tcPr>
          <w:p>
            <w:pPr>
              <w:pStyle w:val="TableText"/>
            </w:pPr>
            <w:r>
              <w:t xml:space="preserve">蒸馏失效机制有针对性，但无法替代固定类天气 DIL、未知边界或无标注目标域证据。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对旧类出现频率分层评估；另设无任务提示的天气数据流。</w:t>
            </w:r>
          </w:p>
        </w:tc>
      </w:tr>
      <w:tr>
        <w:trPr>
          <w:cantSplit/>
        </w:trPr>
        <w:tc>
          <w:tcPr>
            <w:tcW w:w="1050" w:type="dxa"/>
            <w:vAlign w:val="center"/>
          </w:tcPr>
          <w:p>
            <w:pPr>
              <w:pStyle w:val="TableText"/>
            </w:pPr>
            <w:r>
              <w:t xml:space="preserve">报告人疑问</w:t>
            </w:r>
          </w:p>
        </w:tc>
        <w:tc>
          <w:tcPr>
            <w:tcW w:w="2780" w:type="dxa"/>
            <w:vAlign w:val="center"/>
          </w:tcPr>
          <w:p>
            <w:pPr>
              <w:pStyle w:val="TableText"/>
            </w:pPr>
            <w:r>
              <w:t xml:space="preserve">Table I 将 DeepLabV3 联合参考 59.6 与 FT 终点 53.0 的差口头称“约 6%”；表值差 6.6 个 mIoU 点。（p.3）</w:t>
            </w:r>
          </w:p>
        </w:tc>
        <w:tc>
          <w:tcPr>
            <w:tcW w:w="2730" w:type="dxa"/>
            <w:vAlign w:val="center"/>
          </w:tcPr>
          <w:p>
            <w:pPr>
              <w:pStyle w:val="TableText"/>
            </w:pPr>
            <w:r>
              <w:t xml:space="preserve">“%”易与相对百分比混淆；联合训练与 FT 也不是同一模型的前后测。</w:t>
            </w:r>
          </w:p>
        </w:tc>
        <w:tc>
          <w:tcPr>
            <w:tcW w:w="2800" w:type="dxa"/>
            <w:vAlign w:val="center"/>
          </w:tcPr>
          <w:p>
            <w:pPr>
              <w:pStyle w:val="TableText"/>
            </w:pPr>
            <w:r>
              <w:t xml:space="preserve">报告中写作“两个协议的旧域终点相差 6.6 个百分点”。</w:t>
            </w:r>
          </w:p>
        </w:tc>
      </w:tr>
    </w:tbl>
    <w:p>
      <w:pPr>
        <w:pStyle w:val="Heading1"/>
      </w:pPr>
      <w:r>
        <w:t xml:space="preserve">7 与本课题及 SimCS 的关系</w:t>
      </w:r>
    </w:p>
    <w:p>
      <w:pPr>
        <w:pStyle w:val="Normal"/>
      </w:pPr>
      <w:r>
        <w:t xml:space="preserve">原文事实：本文建立了有监督双域 DIL 的 FT、正则化、蒸馏和小缓存回放对照；SimCS 则在 Cityscapes→IDD→BDD→ACDC 的有标注有限批次流中加入模拟数据。两者都支持把真实旧样本回放列为必须认真比较的基线，但模型、域顺序、域数、训练日程、缓存量和评价协议不同，不能跨表比较 56.1 与 SimCS 的任何四域平均值。</w:t>
      </w:r>
    </w:p>
    <w:p>
      <w:pPr>
        <w:pStyle w:val="Normal"/>
      </w:pPr>
      <w:r>
        <w:t xml:space="preserve">研究推断：本课题若聚焦天气/光照，应先固定类别映射与城市/相机因素，建立旧天气、当前天气、未见天气的逐阶段评价；同时设置 FT、FE、小缓存 Replay，并在有明确旧类缺席问题时再引入蒸馏。记录每阶段域 ID 是否对训练器可见、是否允许旧标注回放以及训练时间。这里是实验设计建议，尚未选定正式基线。</w:t>
      </w:r>
    </w:p>
    <w:p>
      <w:pPr>
        <w:pStyle w:val="Normal"/>
      </w:pPr>
      <w:r>
        <w:t xml:space="preserve">待验证假设：在相同骨干、标注、更新次数和缓存字节预算下，32/64 张旧图回放能否在纯天气顺序上重现优势？当光照/天气条件改变同类外观而不是新增类别时，蒸馏是否抑制当前域适应？更长序列、更小边缘模型与无边界流是否改变方法排名？本文数据无法直接回答。</w:t>
      </w:r>
    </w:p>
    <w:p>
      <w:pPr>
        <w:pStyle w:val="Heading1"/>
      </w:pPr>
      <w:r>
        <w:t xml:space="preserve">8 后续核查与来源</w:t>
      </w:r>
    </w:p>
    <w:p>
      <w:pPr>
        <w:pStyle w:val="Normal"/>
      </w:pPr>
      <w:r>
        <w:t xml:space="preserve">后续精读建议：Kalb 与 Beyerer（2023）恶劣天气域增量遗忘，检查天气专属协议、变化因素和阶段遗忘；Kalb 等（2022）回放数据选择，检查同骨干下缓存选样与预算。复现前另需核验本论文的公开代码/数据划分、任务留出集、标签映射、优化器实现及各方法学习率和 BN 设定；目前未把这些线索登记为已核验代码。</w:t>
      </w:r>
    </w:p>
    <w:p>
      <w:pPr>
        <w:pStyle w:val="Meta"/>
      </w:pPr>
      <w:r>
        <w:t xml:space="preserve">原文：C:\undergraduate_thesis\第一批文献\Kalb 等 - 2022 - Continual Learning for Class- and Domain-Incremental Semantic Segmentation.pdf（arXiv:2209.08023v1，7 页）；在线 HTML：https://arxiv.org/html/2209.08023；在线 PDF：https://arxiv.org/pdf/2209.08023；正式书目：https://publikationen.bibliothek.kit.edu/1000140384（IV 2021，DOI 10.1109/IV48863.2021.9575493）。本地 PDF 表值与在线版本交叉核对；本报告中的推断和假设均与原文事实分段表述。</w:t>
      </w:r>
    </w:p>
    <w:sectPr>
      <w:footerReference w:type="default" r:id="rId1"/>
      <w:pgSz w:w="12240" w:h="15840"/>
      <w:pgMar w:top="1440" w:right="1440" w:bottom="1440" w:left="1440" w:header="708" w:footer="708"/>
      <w:cols w:space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6D7785"/>
        <w:sz w:val="18"/>
      </w:rPr>
      <w:t>LIT-008 · Kalb et al.  |  </w:t>
    </w:r>
    <w:fldSimple w:instr="PAGE"/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/>
        <w:sz w:val="22"/>
        <w:lang w:val="zh-CN" w:eastAsia="zh-CN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pPr>
      <w:spacing w:after="120" w:line="264" w:lineRule="auto"/>
    </w:pPr>
    <w:rPr>
      <w:rFonts w:ascii="Calibri" w:eastAsia="Microsoft YaHei"/>
      <w:sz w:val="22"/>
      <w:color w:val="243042"/>
    </w:rPr>
  </w:style>
  <w:style w:type="paragraph" w:styleId="Title">
    <w:name w:val="Title"/>
    <w:basedOn w:val="Normal"/>
    <w:pPr>
      <w:spacing w:before="0" w:after="80"/>
      <w:keepNext/>
    </w:pPr>
    <w:rPr>
      <w:b/>
      <w:sz w:val="40"/>
      <w:color w:val="000000"/>
    </w:rPr>
  </w:style>
  <w:style w:type="paragraph" w:styleId="Subtitle">
    <w:name w:val="Subtitle"/>
    <w:basedOn w:val="Normal"/>
    <w:pPr>
      <w:spacing w:after="180"/>
    </w:pPr>
    <w:rPr>
      <w:sz w:val="21"/>
      <w:color w:val="5A687A"/>
    </w:rPr>
  </w:style>
  <w:style w:type="paragraph" w:styleId="Heading1">
    <w:name w:val="heading 1"/>
    <w:basedOn w:val="Normal"/>
    <w:pPr>
      <w:keepNext/>
      <w:spacing w:before="320" w:after="160"/>
      <w:outlineLvl w:val="0"/>
    </w:pPr>
    <w:rPr>
      <w:b/>
      <w:sz w:val="32"/>
      <w:color w:val="2E74B5"/>
    </w:rPr>
  </w:style>
  <w:style w:type="paragraph" w:styleId="Heading2">
    <w:name w:val="heading 2"/>
    <w:basedOn w:val="Normal"/>
    <w:pPr>
      <w:keepNext/>
      <w:spacing w:before="240" w:after="120"/>
      <w:outlineLvl w:val="1"/>
    </w:pPr>
    <w:rPr>
      <w:b/>
      <w:sz w:val="26"/>
      <w:color w:val="2E74B5"/>
    </w:rPr>
  </w:style>
  <w:style w:type="paragraph" w:styleId="Heading3">
    <w:name w:val="heading 3"/>
    <w:basedOn w:val="Normal"/>
    <w:pPr>
      <w:keepNext/>
      <w:spacing w:before="160" w:after="80"/>
      <w:outlineLvl w:val="2"/>
    </w:pPr>
    <w:rPr>
      <w:b/>
      <w:sz w:val="24"/>
      <w:color w:val="1F4D78"/>
    </w:rPr>
  </w:style>
  <w:style w:type="paragraph" w:styleId="Meta">
    <w:name w:val="Meta"/>
    <w:basedOn w:val="Normal"/>
    <w:pPr>
      <w:spacing w:after="100" w:line="250"/>
    </w:pPr>
    <w:rPr>
      <w:sz w:val="19"/>
      <w:color w:val="5A687A"/>
    </w:rPr>
  </w:style>
  <w:style w:type="paragraph" w:styleId="Caption">
    <w:name w:val="Caption"/>
    <w:basedOn w:val="Normal"/>
    <w:pPr>
      <w:spacing w:before="80" w:after="80"/>
    </w:pPr>
    <w:rPr>
      <w:sz w:val="18"/>
      <w:i/>
      <w:color w:val="5A687A"/>
    </w:rPr>
  </w:style>
  <w:style w:type="paragraph" w:styleId="TableText">
    <w:name w:val="Table Text"/>
    <w:basedOn w:val="Normal"/>
    <w:pPr>
      <w:spacing w:after="0" w:line="230" w:lineRule="auto"/>
    </w:pPr>
    <w:rPr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oter" Target="footer1.xml"/><Relationship Id="rId2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Kalb 等：类增量与域增量语义分割精读报告（修订）</dc:title>
  <dc:subject>LIT-008</dc:subject>
  <dc:creator>Research notes</dc:creator>
  <dcterms:created xsi:type="dcterms:W3CDTF">2026-10-20T00:00:00Z</dcterms:created>
</cp:coreProperties>
</file>