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智能数据选择如何改进回放式持续语义分割</w:t>
      </w:r>
    </w:p>
    <w:p>
      <w:pPr>
        <w:pStyle w:val="Subtitle"/>
      </w:pPr>
      <w:r>
        <w:t>LIT-009  |  Kalb、Mauthe 与 Beyerer（2022）  |  精读：2026-10-18；按报告规范修订：2026-10-20</w:t>
      </w:r>
    </w:p>
    <w:p>
      <w:pPr>
        <w:pStyle w:val="Meta"/>
      </w:pPr>
      <w:r>
        <w:t>原题：Improving Replay-Based Continual Semantic Segmentation with Smart Data Selection</w:t>
      </w:r>
    </w:p>
    <w:p>
      <w:pPr>
        <w:pStyle w:val="Meta"/>
      </w:pPr>
      <w:r>
        <w:t>正式发表：IEEE ITSC 2022，pp. 1114–1121，DOI 10.1109/ITSC55140.2022.9922284；本地阅读对象为 8 页预印本，arXiv:2209.09839v1。</w:t>
      </w:r>
    </w:p>
    <w:p>
      <w:pPr>
        <w:pStyle w:val="Meta"/>
      </w:pPr>
      <w:r>
        <w:t>本地原文：</w:t>
      </w:r>
      <w:hyperlink r:id="rId11">
        <w:r>
          <w:rPr>
            <w:color w:val="2E74B5"/>
            <w:u w:val="single"/>
          </w:rPr>
          <w:t>Kalb 等 - 2022 - Improving Replay-Based Continual Semantic Segmentation with Smart Data Selection.pdf</w:t>
        </w:r>
      </w:hyperlink>
      <w:r>
        <w:t>；SHA-256：29405958ca5c486933f21fdb3631b3ec5391b8b6b75115271ccccfff349c6285。以下 p.N 均指本地 PDF 自 1 起的页码。</w:t>
      </w:r>
    </w:p>
    <w:p>
      <w:pPr>
        <w:pStyle w:val="Heading1"/>
      </w:pPr>
      <w:r>
        <w:t>一句话判断</w:t>
      </w:r>
    </w:p>
    <w:p>
      <w:r>
        <w:t>本文比较有限缓存下的多种回放样本选择策略：类增量设置中，缓冲区的类别覆盖最关键；有监督双域增量设置中，表征代表性和平均预测熵优于随机选择，但优势只有约 1 个 mIoU 百分点。对本课题，它主要提供小缓存回放的选样思路和对照协议，而非天气变化下无边界在线学习的直接证据。</w:t>
      </w:r>
    </w:p>
    <w:p>
      <w:pPr>
        <w:pStyle w:val="Heading1"/>
      </w:pPr>
      <w:r>
        <w:t>1 研究问题与适用边界</w:t>
      </w:r>
    </w:p>
    <w:p>
      <w:r>
        <w:t>作者关心固定容量缓存 M 中应保留哪些旧图像及像素标注，以减少新任务训练后的灾难性遗忘。每一阶段训练结束时，选择器可访问该阶段全部图像、标签和当前模型；旧样本存入缓存；下一阶段从缓存均匀取样回放。论文控制的是“入库选择”，不是比较不同的回放取样频率或训练损失。该过程需要已知任务边界和完整阶段数据，不能直接等同无边界、单遍数据流。〔§III–IV，p.2–4，Fig.3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10"/>
        <w:gridCol w:w="5370"/>
        <w:gridCol w:w="2280"/>
      </w:tblGrid>
      <w:tr>
        <w:trPr>
          <w:tblHeader w:val="1"/>
        </w:trPr>
        <w:tc>
          <w:tcPr>
            <w:tcW w:type="dxa" w:w="171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type="dxa" w:w="537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论文设定</w:t>
            </w:r>
          </w:p>
        </w:tc>
        <w:tc>
          <w:tcPr>
            <w:tcW w:type="dxa" w:w="228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依据或备注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任务与输出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道路场景语义分割；对每个像素输出预定义类别的预测概率/类别。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§III，p.2–3。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在线程度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以完整任务数据训练，任务结束后统一选样；是否单遍、每批到达和可训练遍数未报告。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§IV、Fig.3，p.3；§V，p.4。不能据“持续学习”一词认定在线。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持续序列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类增量为 Disjoint Cityscapes 的 S1→S2→S3；域增量为 BDD100k→Cityscapes。新阶段可使用旧样本回放。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§V-A/B，p.4。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增量类型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增加语义类别；DIL 固定类别集合而改变图像分布。两套实验协议不同。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§III、§V，p.2–4。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监督信息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每阶段图像有像素标签；CIL 的旧类在新阶段不再提供旧类标签；DIL 使用有标注的两域训练集。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§III、§V-A/B，p.2、4。无标注目标域实验未报告。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任务边界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训练时知道任务结束，选样规则可用当前任务全部图像、标签与模型；测试时是否提供任务 ID 未明确单列。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§IV、Fig.3，p.3；不能推断无边界。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数据与缓存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回放保存完整旧图像及像素标签；主表回放组 M=64 张，检索时在缓存中均匀抽样；随机选样基线按已见任务等额分配缓存。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§IV-A、§VI，p.3、5；Offline/FT/CIL 无回放组 M 不适用。</w:t>
            </w:r>
          </w:p>
        </w:tc>
      </w:tr>
      <w:tr>
        <w:tc>
          <w:tcPr>
            <w:tcW w:type="dxa" w:w="17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评价范围</w:t>
            </w:r>
          </w:p>
        </w:tc>
        <w:tc>
          <w:tcPr>
            <w:tcW w:type="dxa" w:w="537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CIL：S3 后在 Cityscapes 验证集全类及 S1/S2/S3 类别子集评价；DIL：学完两域后测 BDD 与 Cityscapes。</w:t>
            </w:r>
          </w:p>
        </w:tc>
        <w:tc>
          <w:tcPr>
            <w:tcW w:type="dxa" w:w="22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Tables I–III，p.6–7；DIL 具体评测划分未报告。</w:t>
            </w:r>
          </w:p>
        </w:tc>
      </w:tr>
    </w:tbl>
    <w:p>
      <w:pPr>
        <w:pStyle w:val="AfterTable"/>
      </w:pPr>
    </w:p>
    <w:p>
      <w:pPr>
        <w:pStyle w:val="Heading1"/>
      </w:pPr>
      <w:r>
        <w:t>2 方法机制：选择进入缓存的样本</w:t>
      </w:r>
    </w:p>
    <w:p>
      <w:r>
        <w:t>随机基线把 M 在已见任务之间等额划分；不同随机种子会产生不同类别覆盖。作者固定后续检索为对整个缓存均匀抽样，从而把比较重点放在选择规则上。下表只列本文最有解释价值的策略，其他策略还包括 BRISQUE、图像/标签总变差、GSS 及最高/最低损失或熵。〔§IV，p.3–4〕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90"/>
        <w:gridCol w:w="4210"/>
        <w:gridCol w:w="3160"/>
      </w:tblGrid>
      <w:tr>
        <w:trPr>
          <w:tblHeader w:val="1"/>
        </w:trPr>
        <w:tc>
          <w:tcPr>
            <w:tcW w:type="dxa" w:w="199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策略</w:t>
            </w:r>
          </w:p>
        </w:tc>
        <w:tc>
          <w:tcPr>
            <w:tcW w:type="dxa" w:w="421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入库依据与关键步骤</w:t>
            </w:r>
          </w:p>
        </w:tc>
        <w:tc>
          <w:tcPr>
            <w:tcW w:type="dxa" w:w="316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可能收益 / 代价</w:t>
            </w:r>
          </w:p>
        </w:tc>
      </w:tr>
      <w:tr>
        <w:tc>
          <w:tcPr>
            <w:tcW w:type="dxa" w:w="199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类均衡样本 / 缓存</w:t>
            </w:r>
          </w:p>
        </w:tc>
        <w:tc>
          <w:tcPr>
            <w:tcW w:type="dxa" w:w="4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前者优先单张图内类别接近均衡；后者贪心选择，使整个缓存的类别分布接近均衡。</w:t>
            </w:r>
          </w:p>
        </w:tc>
        <w:tc>
          <w:tcPr>
            <w:tcW w:type="dxa" w:w="31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照顾仅在旧阶段出现的稀有类；图像内像素频率与图像出现频率不能混同。</w:t>
            </w:r>
          </w:p>
        </w:tc>
      </w:tr>
      <w:tr>
        <w:tc>
          <w:tcPr>
            <w:tcW w:type="dxa" w:w="199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多样化类均衡</w:t>
            </w:r>
          </w:p>
        </w:tc>
        <w:tc>
          <w:tcPr>
            <w:tcW w:type="dxa" w:w="4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在类均衡基础上，利用 LPIPS 去除视觉相似图像；实验行阈值为 0.6。</w:t>
            </w:r>
          </w:p>
        </w:tc>
        <w:tc>
          <w:tcPr>
            <w:tcW w:type="dxa" w:w="31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主表最好，但依赖额外视觉相似度计算和阈值。</w:t>
            </w:r>
          </w:p>
        </w:tc>
      </w:tr>
      <w:tr>
        <w:tc>
          <w:tcPr>
            <w:tcW w:type="dxa" w:w="199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平均熵 / 平均损失</w:t>
            </w:r>
          </w:p>
        </w:tc>
        <w:tc>
          <w:tcPr>
            <w:tcW w:type="dxa" w:w="4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熵规则取接近平均预测不确定度的样本；损失规则正文描述取接近中位交叉熵的样本，表格行名却为 Mean Loss。</w:t>
            </w:r>
          </w:p>
        </w:tc>
        <w:tc>
          <w:tcPr>
            <w:tcW w:type="dxa" w:w="31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两项统计量的实现均需核对；不能把 Mean Loss 自动解释成均值损失。</w:t>
            </w:r>
          </w:p>
        </w:tc>
      </w:tr>
      <w:tr>
        <w:tc>
          <w:tcPr>
            <w:tcW w:type="dxa" w:w="199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RSS 表征选样</w:t>
            </w:r>
          </w:p>
        </w:tc>
        <w:tc>
          <w:tcPr>
            <w:tcW w:type="dxa" w:w="4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提取编码器表征，经 UMAP 降维，用 k-means 分成 M 簇，选最靠近各簇中心的图像。</w:t>
            </w:r>
          </w:p>
        </w:tc>
        <w:tc>
          <w:tcPr>
            <w:tcW w:type="dxa" w:w="31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覆盖特征分布；需全阶段特征提取、降维与聚类。</w:t>
            </w:r>
          </w:p>
        </w:tc>
      </w:tr>
      <w:tr>
        <w:tc>
          <w:tcPr>
            <w:tcW w:type="dxa" w:w="199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最高损失</w:t>
            </w:r>
          </w:p>
        </w:tc>
        <w:tc>
          <w:tcPr>
            <w:tcW w:type="dxa" w:w="4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保留训练损失最高的图像。</w:t>
            </w:r>
          </w:p>
        </w:tc>
        <w:tc>
          <w:tcPr>
            <w:tcW w:type="dxa" w:w="31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在 BDD 中可能集中挑中错误标注，出现明显的点估计下降。</w:t>
            </w:r>
          </w:p>
        </w:tc>
      </w:tr>
    </w:tbl>
    <w:p>
      <w:pPr>
        <w:pStyle w:val="AfterTable"/>
      </w:pPr>
    </w:p>
    <w:p>
      <w:pPr>
        <w:pStyle w:val="SourceText"/>
      </w:pPr>
      <w:r>
        <w:t>证据：§IV-A–C，PDF p.3–4；损失和熵的“均值/中位数”术语冲突见第 5 节。</w:t>
      </w:r>
    </w:p>
    <w:p>
      <w:pPr>
        <w:pStyle w:val="Heading1"/>
      </w:pPr>
      <w:r>
        <w:t>3 实验协议与比较口径</w:t>
      </w:r>
    </w:p>
    <w:p>
      <w:r>
        <w:t>两个实验均使用 ImageNet 预训练的 ERFNet、Adam 和从 4×10⁻⁴ 开始、幂指数 0.9 的多项式学习率日程。回放组主实验缓存 M=64；Fig.5/6 还讨论 32 与 128。CIL 中回放与 CIL 蒸馏联合，DIL 中回放与基本交叉熵联合；两组表不能直接合并排序。联合训练（Offline）能访问全部阶段数据，只作为参考上界；FT 无回放。原文未报告具体 epoch、batch size、数据增强或随机种子协议。〔§V–VI，p.4–7〕</w:t>
      </w:r>
    </w:p>
    <w:p>
      <w:r>
        <w:t>下表只编号本报告摘录并比较的 16 个配置；组号跨协议不复用。表中的“未报告”表示原文没有交代该细节，不表示方法不能采用该设置。所有组的网络/预训练相同，但仍逐组列出，避免把方法名称误当作网络骨干。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40"/>
        <w:gridCol w:w="1050"/>
        <w:gridCol w:w="1320"/>
        <w:gridCol w:w="1410"/>
        <w:gridCol w:w="1360"/>
        <w:gridCol w:w="2700"/>
        <w:gridCol w:w="980"/>
      </w:tblGrid>
      <w:tr>
        <w:trPr>
          <w:tblHeader w:val="1"/>
        </w:trPr>
        <w:tc>
          <w:tcPr>
            <w:tcW w:type="dxa" w:w="54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组号</w:t>
            </w:r>
          </w:p>
        </w:tc>
        <w:tc>
          <w:tcPr>
            <w:tcW w:type="dxa" w:w="105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type="dxa" w:w="132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type="dxa" w:w="141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网络/预训练</w:t>
            </w:r>
          </w:p>
        </w:tc>
        <w:tc>
          <w:tcPr>
            <w:tcW w:type="dxa" w:w="136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数据与序列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训练和评价协议</w:t>
            </w:r>
          </w:p>
        </w:tc>
        <w:tc>
          <w:tcPr>
            <w:tcW w:type="dxa" w:w="98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G01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参考上界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Offline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联合访问三阶段；无缓存约束；S3 后测 CS 验证集。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 p.6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G02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对照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FT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顺序微调，无回放；S3 后测 CS 验证集。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 p.6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G03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对照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蒸馏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知识蒸馏，无真实旧图回放；S3 后测 CS。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§V-A/表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G04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对照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随机选样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+ 回放，M=64；表 I 取 10 次均值。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§V-A/表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G05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类均衡缓存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+ 回放，M=64；S3 后测 CS。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§IV-B/表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G06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类均衡样本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+ 回放，M=64；S3 后测 CS。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§IV-B/表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G07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多样化类均衡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+ 回放，M=64；LPIPS 阈值 0.6。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§IV-B/表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G08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本文提出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RSS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DJ-CS S1→S2→S3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CIL + 回放，M=64；S3 后测 CS。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§IV-C/表 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G09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参考上界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Offline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联合访问两域；无缓存约束；两域训练后评价。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III p.7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G10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对照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FT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顺序微调，无回放；两域训练后评价。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III p.7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G11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对照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随机选样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回放，M=64；表 III 取 10 次均值。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§V-B/表 III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G12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本文提出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RSS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§IV-C/表 III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G13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平均熵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§IV-C/表 III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G14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Mean Loss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回放，M=64；损失统计定义有疑点。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§IV-C/表 III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G15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类均衡缓存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§IV-B/表 III</w:t>
            </w:r>
          </w:p>
        </w:tc>
      </w:tr>
      <w:tr>
        <w:tc>
          <w:tcPr>
            <w:tcW w:type="dxa" w:w="54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G16</w:t>
            </w:r>
          </w:p>
        </w:tc>
        <w:tc>
          <w:tcPr>
            <w:tcW w:type="dxa" w:w="1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选样比较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最高损失</w:t>
            </w:r>
          </w:p>
        </w:tc>
        <w:tc>
          <w:tcPr>
            <w:tcW w:type="dxa" w:w="14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ERFNet / ImageNet</w:t>
            </w:r>
          </w:p>
        </w:tc>
        <w:tc>
          <w:tcPr>
            <w:tcW w:type="dxa" w:w="136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BDD→Cityscapes</w:t>
            </w:r>
          </w:p>
        </w:tc>
        <w:tc>
          <w:tcPr>
            <w:tcW w:type="dxa" w:w="27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交叉熵 + 回放，M=64；两域训练后评价。</w:t>
            </w:r>
          </w:p>
        </w:tc>
        <w:tc>
          <w:tcPr>
            <w:tcW w:type="dxa" w:w="98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§IV-C/表 III</w:t>
            </w:r>
          </w:p>
        </w:tc>
      </w:tr>
    </w:tbl>
    <w:p>
      <w:pPr>
        <w:pStyle w:val="AfterTable"/>
      </w:pPr>
    </w:p>
    <w:p>
      <w:pPr>
        <w:pStyle w:val="SourceText"/>
      </w:pPr>
      <w:r>
        <w:t>CS = Cityscapes；DJ-CS = Disjoint Cityscapes。通用网络/优化器见本节首段；数据划分和训练遍数的缺失见第 5 节。</w:t>
      </w:r>
    </w:p>
    <w:p>
      <w:r>
        <w:t>结果摘录原文 Table I 的 S3 后终点列和 Table III 的两域终点列，不覆盖表 I 的 S2 后中间结果或原文所有选样策略。所有 mIoU 的单位为 %、数值越大越好。CIL 的 S1/S2/S3 子集列与全类列聚合范围不同；DIL 的平均列是两域 mIoU 的简单平均，不是像素或样本加权平均。〔Tables I、III，p.6–7〕</w:t>
      </w:r>
    </w:p>
    <w:p>
      <w:pPr>
        <w:pStyle w:val="Heading1"/>
      </w:pPr>
      <w:r>
        <w:t>4 关键结果与证据解释</w:t>
      </w:r>
    </w:p>
    <w:p>
      <w:pPr>
        <w:pStyle w:val="Heading2"/>
      </w:pPr>
      <w:r>
        <w:t>4.1 类增量：类别覆盖与旧类保持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600"/>
        <w:gridCol w:w="1430"/>
        <w:gridCol w:w="930"/>
        <w:gridCol w:w="1070"/>
        <w:gridCol w:w="1070"/>
        <w:gridCol w:w="1070"/>
        <w:gridCol w:w="1390"/>
        <w:gridCol w:w="1800"/>
      </w:tblGrid>
      <w:tr>
        <w:trPr>
          <w:tblHeader w:val="1"/>
        </w:trPr>
        <w:tc>
          <w:tcPr>
            <w:tcW w:type="dxa" w:w="60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组号</w:t>
            </w:r>
          </w:p>
        </w:tc>
        <w:tc>
          <w:tcPr>
            <w:tcW w:type="dxa" w:w="143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测试范围</w:t>
            </w:r>
          </w:p>
        </w:tc>
        <w:tc>
          <w:tcPr>
            <w:tcW w:type="dxa" w:w="93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评价时点</w:t>
            </w:r>
          </w:p>
        </w:tc>
        <w:tc>
          <w:tcPr>
            <w:tcW w:type="dxa" w:w="107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S1 mIoU↑</w:t>
            </w:r>
          </w:p>
        </w:tc>
        <w:tc>
          <w:tcPr>
            <w:tcW w:type="dxa" w:w="107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S2 mIoU↑</w:t>
            </w:r>
          </w:p>
        </w:tc>
        <w:tc>
          <w:tcPr>
            <w:tcW w:type="dxa" w:w="107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S3 mIoU↑</w:t>
            </w:r>
          </w:p>
        </w:tc>
        <w:tc>
          <w:tcPr>
            <w:tcW w:type="dxa" w:w="139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全类 mIoU↑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G01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82.6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65.3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79.2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69.0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G02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6.1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12.2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77.1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3.57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G03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71.3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44.4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82.4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55.8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G04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76.0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49.7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81.7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57.4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G05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75.3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56.8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81.6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58.8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G06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76.5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56.4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82.6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59.8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G07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77.0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58.7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82.8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60.5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  <w:tr>
        <w:tc>
          <w:tcPr>
            <w:tcW w:type="dxa" w:w="6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G08</w:t>
            </w:r>
          </w:p>
        </w:tc>
        <w:tc>
          <w:tcPr>
            <w:tcW w:type="dxa" w:w="143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CS 验证集</w:t>
            </w:r>
          </w:p>
        </w:tc>
        <w:tc>
          <w:tcPr>
            <w:tcW w:type="dxa" w:w="93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S3 后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73.0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52.7</w:t>
            </w:r>
          </w:p>
        </w:tc>
        <w:tc>
          <w:tcPr>
            <w:tcW w:type="dxa" w:w="107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81.7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57.4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I；p.6</w:t>
            </w:r>
          </w:p>
        </w:tc>
      </w:tr>
    </w:tbl>
    <w:p>
      <w:pPr>
        <w:pStyle w:val="AfterTable"/>
      </w:pPr>
    </w:p>
    <w:p>
      <w:pPr>
        <w:pStyle w:val="SourceText"/>
      </w:pPr>
      <w:r>
        <w:t>来源：Table I，本地 PDF p.6；G04 为 10 次随机选样均值；G01–G03 无缓存，其他组 M=64。↑ 表示越大越好，单位均为 %。</w:t>
      </w:r>
    </w:p>
    <w:p>
      <w:r>
        <w:t>多样化类均衡相对随机均值的全类成绩提高 3.1 点（60.5−57.4），相对 CIL 无回放提高 4.7 点；在只于 S2 出现的类上，S2 子集末态由 CIL 的 44.4 升至 58.7（+14.3 点）。Table II 可见 truck/bus/motorcycle 等类别恢复明显，但 train 的 IoU 反而低于 CIL，故全类均值不能代替逐类安全分析。随机选择的 10 次“最佳/最差”全类分数为 58.6/55.2，也显示选样稳定性问题。〔Tables I–II，p.6〕</w:t>
      </w:r>
    </w:p>
    <w:p>
      <w:pPr>
        <w:pStyle w:val="Heading2"/>
      </w:pPr>
      <w:r>
        <w:t>4.2 域增量：表征代表性优势较小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650"/>
        <w:gridCol w:w="1520"/>
        <w:gridCol w:w="1180"/>
        <w:gridCol w:w="1390"/>
        <w:gridCol w:w="1320"/>
        <w:gridCol w:w="1500"/>
        <w:gridCol w:w="1800"/>
      </w:tblGrid>
      <w:tr>
        <w:trPr>
          <w:tblHeader w:val="1"/>
        </w:trPr>
        <w:tc>
          <w:tcPr>
            <w:tcW w:type="dxa" w:w="65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组号</w:t>
            </w:r>
          </w:p>
        </w:tc>
        <w:tc>
          <w:tcPr>
            <w:tcW w:type="dxa" w:w="152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测试范围</w:t>
            </w:r>
          </w:p>
        </w:tc>
        <w:tc>
          <w:tcPr>
            <w:tcW w:type="dxa" w:w="118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评价时点</w:t>
            </w:r>
          </w:p>
        </w:tc>
        <w:tc>
          <w:tcPr>
            <w:tcW w:type="dxa" w:w="139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BDD mIoU↑</w:t>
            </w:r>
          </w:p>
        </w:tc>
        <w:tc>
          <w:tcPr>
            <w:tcW w:type="dxa" w:w="132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CS mIoU↑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b/>
              </w:rPr>
              <w:t>两域均值↑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G09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57.2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65.0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61.1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G10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29.6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67.0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48.3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G11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44.0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68.4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56.2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G12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45.5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69.0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57.2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G13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45.0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69.4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57.2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G14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46.2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67.0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56.6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G15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39.8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68.2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54.0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  <w:tr>
        <w:tc>
          <w:tcPr>
            <w:tcW w:type="dxa" w:w="65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G16</w:t>
            </w:r>
          </w:p>
        </w:tc>
        <w:tc>
          <w:tcPr>
            <w:tcW w:type="dxa" w:w="152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BDD / CS</w:t>
            </w:r>
          </w:p>
        </w:tc>
        <w:tc>
          <w:tcPr>
            <w:tcW w:type="dxa" w:w="118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学完两域</w:t>
            </w:r>
          </w:p>
        </w:tc>
        <w:tc>
          <w:tcPr>
            <w:tcW w:type="dxa" w:w="139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25.4</w:t>
            </w:r>
          </w:p>
        </w:tc>
        <w:tc>
          <w:tcPr>
            <w:tcW w:type="dxa" w:w="132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66.4</w:t>
            </w:r>
          </w:p>
        </w:tc>
        <w:tc>
          <w:tcPr>
            <w:tcW w:type="dxa" w:w="1500"/>
            <w:vAlign w:val="center"/>
          </w:tcPr>
          <w:p>
            <w:pPr>
              <w:pStyle w:val="TableText"/>
              <w:jc w:val="center"/>
            </w:pPr>
            <w:r>
              <w:rPr>
                <w:b w:val="0"/>
              </w:rPr>
              <w:t>45.9</w:t>
            </w:r>
          </w:p>
        </w:tc>
        <w:tc>
          <w:tcPr>
            <w:tcW w:type="dxa" w:w="180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Table III；p.7</w:t>
            </w:r>
          </w:p>
        </w:tc>
      </w:tr>
    </w:tbl>
    <w:p>
      <w:pPr>
        <w:pStyle w:val="AfterTable"/>
      </w:pPr>
    </w:p>
    <w:p>
      <w:pPr>
        <w:pStyle w:val="SourceText"/>
      </w:pPr>
      <w:r>
        <w:t>来源：Table III，本地 PDF p.7；G11 为 10 次随机选样均值；G09–G10 无缓存，其余 M=64。BDD = BDD100k；CS = Cityscapes；↑ 表示越大越好，单位均为 %。</w:t>
      </w:r>
    </w:p>
    <w:p>
      <w:r>
        <w:t>RSS 与平均熵均为 57.2，比随机均值 56.2 高 1.0 点；RSS 对旧 BDD 提高 1.5 点，对新 Cityscapes 提高 0.6 点。最高损失比随机均值低 10.3 点，作者检查发现该规则几乎只选中 BDD 错误标注样本。Fig.2 的 CKA 曲线与 RSS 更稳定的内部表征相符，但它属于关联性诊断，尚未单独证明“表征稳定→遗忘减少”的因果链。〔§VI-B、Fig.2、Table III，p.1、6–7〕</w:t>
      </w:r>
    </w:p>
    <w:p>
      <w:pPr>
        <w:pStyle w:val="Heading2"/>
      </w:pPr>
      <w:r>
        <w:t>4.3 指标定义与聚合范围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50"/>
        <w:gridCol w:w="4750"/>
        <w:gridCol w:w="1350"/>
        <w:gridCol w:w="1210"/>
      </w:tblGrid>
      <w:tr>
        <w:trPr>
          <w:tblHeader w:val="1"/>
        </w:trPr>
        <w:tc>
          <w:tcPr>
            <w:tcW w:type="dxa" w:w="205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原文指标</w:t>
            </w:r>
          </w:p>
        </w:tc>
        <w:tc>
          <w:tcPr>
            <w:tcW w:type="dxa" w:w="475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含义及计算/聚合范围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单位/方向</w:t>
            </w:r>
          </w:p>
        </w:tc>
        <w:tc>
          <w:tcPr>
            <w:tcW w:type="dxa" w:w="1210"/>
            <w:vAlign w:val="center"/>
            <w:shd w:fill="E8EEF5"/>
          </w:tcPr>
          <w:p>
            <w:pPr>
              <w:pStyle w:val="TableText"/>
              <w:jc w:val="left"/>
            </w:pPr>
            <w:r>
              <w:rPr>
                <w:b/>
              </w:rPr>
              <w:t>论文依据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mIoU_S1 / S2 / S3（表 I）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S3 训练后，在 Cityscapes 验证集上仅按对应 Sk 类别子集求类别 IoU 的平均；并非三个域分数。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% / 越大越好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 注，p.6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mIoU_Cityscapes（表 I）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S3 训练后，在 Cityscapes 验证集完整类别集合上的 mIoU；不能由三个子集 mIoU 简单平均得到。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% / 越大越好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 注，p.6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类别 IoU（表 II）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S3 后完整类别验证集上的单个语义类别 IoU；用于核查 truck、bus 等仅在 S2 出现的类别。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% / 越大越好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II 注，p.6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mIoU_BDD / mIoU_Cityscapes（表 III）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学完 BDD→Cityscapes 后，分别在旧域 BDD 和新域 Cityscapes 上计算的 mIoU；表 III 未注明具体评测划分。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% / 越大越好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III，p.7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mIoU_Average（表 III）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上述两个域 mIoU 的算术平均；每域等权，不能解释为逐像素或逐样本均值。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% / 越大越好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表 III，p.7</w:t>
            </w:r>
          </w:p>
        </w:tc>
      </w:tr>
      <w:t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CKA 相似度（图 2）</w:t>
            </w:r>
          </w:p>
        </w:tc>
        <w:tc>
          <w:tcPr>
            <w:tcW w:type="dxa" w:w="47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训练第二个域前后各层表征相似度；仅作为表征变化的诊断，不是分割精度或遗忘量。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无量纲 / 越大越相似</w:t>
            </w:r>
          </w:p>
        </w:tc>
        <w:tc>
          <w:tcPr>
            <w:tcW w:type="dxa" w:w="1210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Fig.2，p.1</w:t>
            </w:r>
          </w:p>
        </w:tc>
      </w:tr>
    </w:tbl>
    <w:p>
      <w:pPr>
        <w:pStyle w:val="AfterTable"/>
      </w:pPr>
    </w:p>
    <w:p>
      <w:pPr>
        <w:pStyle w:val="SourceText"/>
      </w:pPr>
      <w:r>
        <w:t>论文报告了 mIoU/IoU 名称及表注所示聚合范围，但未单列 IoU 公式、忽略像素处理或 DIL 评测划分细节；本表不补造这些实现定义。</w:t>
      </w:r>
    </w:p>
    <w:p>
      <w:pPr>
        <w:pStyle w:val="Heading1"/>
      </w:pPr>
      <w:r>
        <w:t>5 局限、文本疑点与可复现性</w:t>
      </w:r>
    </w:p>
    <w:p>
      <w:r>
        <w:rPr>
          <w:b/>
          <w:color w:val="1F4D78"/>
        </w:rPr>
        <w:t>论文设定限制：</w:t>
      </w:r>
      <w:r>
        <w:t>DIL 仅有 BDD→Cityscapes 双阶段，且任务结束后才能用全阶段的有标注数据选样〔§IV、§V-B，p.3–4〕。这使结果不能直接证明纯天气变化、无边界单遍更新或机器人端实时更新。可补充固定城市/相机的多天气顺序流，并分别报告有边界与无边界、密集标注与无标注条件。</w:t>
      </w:r>
    </w:p>
    <w:p>
      <w:r>
        <w:rPr>
          <w:b/>
          <w:color w:val="1F4D78"/>
        </w:rPr>
        <w:t>报告人提出的成本与统计疑问：</w:t>
      </w:r>
      <w:r>
        <w:t>论文报告缓存张数 M，未报告完整图像标签缓存字节数或 RSS 的特征提取、UMAP 与聚类耗时；随机基线给出 10 次最好/最差，其他选择策略在主表未给误差棒或显著性检验〔§IV-C、Tables I/III，p.4、6–7〕。这些缺失使 DIL +1.0 点优势的稳定性与代价暂不清楚。可在相同字节/计算预算下重复多种子，并计入选样时间。</w:t>
      </w:r>
    </w:p>
    <w:p>
      <w:r>
        <w:rPr>
          <w:b/>
          <w:color w:val="1F4D78"/>
        </w:rPr>
        <w:t>原文术语疑点：</w:t>
      </w:r>
      <w:r>
        <w:t>摘要/结论称“median entropy”，§IV-C 却写选接近平均不确定度的样本、表 III 写“Mean Entropy”；损失规则正文写“median loss”，表 III 却写“Mean Loss”〔p.1、4、7〕。均值与中位数会选出不同样本，直接影响复现。应查代码或向作者核对统计量；本报告保留原表方法名，不擅自判定其实现。摘要的“early layers”与贡献段、Fig.2 解释中的“deeper layers”也不一致〔p.1–2、6〕，需逐层复核 CKA 曲线再定位遗忘来源。</w:t>
      </w:r>
    </w:p>
    <w:p>
      <w:r>
        <w:rPr>
          <w:b/>
          <w:color w:val="1F4D78"/>
        </w:rPr>
        <w:t>评价证据边界：</w:t>
      </w:r>
      <w:r>
        <w:t>Table III 只给完成两域后的终点值，缺少同一模型学完 BDD 当时的成绩，不能据此严格计算旧域遗忘量；Offline 又可联合访问全部数据〔Table III，p.7〕。Fig.5/6 仅给 32/64/128 容量趋势〔p.5〕，不能代替统一预算的数值统计。可记录每阶段即时 mIoU、后续 mIoU 和遗忘量，并单列联合训练参考上界。</w:t>
      </w:r>
    </w:p>
    <w:p>
      <w:pPr>
        <w:pStyle w:val="Heading1"/>
      </w:pPr>
      <w:r>
        <w:t>6 与本课题的关系：事实、推断、待验证假设</w:t>
      </w:r>
    </w:p>
    <w:p>
      <w:r>
        <w:rPr>
          <w:b/>
          <w:color w:val="1F4D78"/>
        </w:rPr>
        <w:t>原文事实：</w:t>
      </w:r>
      <w:r>
        <w:t>有标注 BDD→Cityscapes 双域下，随机回放 G11 的两域均值比 FT G10 高 7.9 点；RSS G12 和平均熵 G13 比 G11 均高 1.0 点。最高损失选样 G16 的旧域成绩较低，作者解释其选中大量错误标注。类增量实验中，类别覆盖对只在旧阶段出现的类尤其关键。以上是原文协议内的点估计，未有显著性检验。〔Tables I–III，p.6–7〕</w:t>
      </w:r>
    </w:p>
    <w:p>
      <w:r>
        <w:rPr>
          <w:b/>
          <w:color w:val="1F4D78"/>
        </w:rPr>
        <w:t>研究推断：</w:t>
      </w:r>
      <w:r>
        <w:t>若本课题最终采用天气/光照域增量路线，应把随机回放作为强基线，并优先比较低成本的类别覆盖、熵统计与表征选样。在同一固定类别映射、骨干、缓存字节数、训练迭代数和标签权限下报告逐阶段旧/新天气 mIoU、未见天气 mIoU 及行人等关键类 IoU。此为实验设计建议，尚非已确定方案。</w:t>
      </w:r>
    </w:p>
    <w:p>
      <w:r>
        <w:rPr>
          <w:b/>
          <w:color w:val="1F4D78"/>
        </w:rPr>
        <w:t>待验证假设：</w:t>
      </w:r>
      <w:r>
        <w:t>纯天气变化下，RSS 或平均熵的 1.0 点优势是否仍存在？当缓存以字节数而非图像张数约束、含夜间和恶劣天气稀有类时，类覆盖策略会否更有效？无显式域边界时，增量维护选样统计能否保留收益且满足计算预算？这些问题均不能由本文现有表格回答。</w:t>
      </w:r>
    </w:p>
    <w:p>
      <w:pPr>
        <w:pStyle w:val="Heading1"/>
      </w:pPr>
      <w:r>
        <w:t>7 复现前核查与来源</w:t>
      </w:r>
    </w:p>
    <w:p>
      <w:r>
        <w:t>最小核查清单：① 取得论文代码/数据划分并确认标签映射、具体 epoch、batch、增强和随机种子；② 核对“Mean Entropy”的实现；③ 复现随机回放多种子与 64 张图像标签缓存，再加 RSS/平均熵；④ 记录总选样时间、缓存字节数和每阶段旧域性能；⑤ 仅在天气域协议确定后比较到本课题。当前报告未进行代码运行或实验复现。</w:t>
      </w:r>
    </w:p>
    <w:p>
      <w:r>
        <w:t>原始文献：Kalb, T., Mauthe, B., &amp; Beyerer, J. (2022). Improving Replay-Based Continual Semantic Segmentation with Smart Data Selection. 2022 IEEE 25th International Conference on Intelligent Transportation Systems (ITSC), 1114–1121. DOI: 10.1109/ITSC55140.2022.9922284。预印本：https://arxiv.org/abs/2209.09839。</w:t>
      </w:r>
    </w:p>
    <w:p>
      <w:r>
        <w:t>关联已读文献：LIT-008《Continual Learning for Class- and Domain-Incremental Semantic Segmentation》提供前期协议/基线背景；LIT-007 SimCS 讨论有标注多域在线预算。两篇与本文的骨干、数据顺序、域数和缓存权限不同，数值不直接横向排名。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87A"/>
        <w:sz w:val="18"/>
      </w:rPr>
      <w:t xml:space="preserve">Kalb et al.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87A"/>
        <w:sz w:val="18"/>
      </w:rPr>
      <w:t>LIT-009  ·  文献精读报告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宋体" w:cs="Calibri"/>
      <w:b w:val="0"/>
      <w:color w:val="24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微软雅黑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微软雅黑" w:cs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40" w:line="276" w:lineRule="auto"/>
    </w:pPr>
    <w:rPr>
      <w:rFonts w:asciiTheme="majorHAnsi" w:eastAsiaTheme="majorEastAsia" w:hAnsiTheme="majorHAnsi" w:cstheme="majorBidi" w:ascii="Calibri" w:hAnsi="Calibri" w:eastAsia="宋体" w:cs="Calibri"/>
      <w:b w:val="0"/>
      <w:i/>
      <w:iCs/>
      <w:color w:val="5A687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widowControl/>
      <w:spacing w:before="0" w:after="60" w:line="276" w:lineRule="auto"/>
    </w:pPr>
    <w:rPr>
      <w:rFonts w:ascii="Calibri" w:hAnsi="Calibri" w:eastAsia="宋体" w:cs="Calibri"/>
      <w:b w:val="0"/>
      <w:color w:val="5A687A"/>
      <w:sz w:val="19"/>
    </w:rPr>
  </w:style>
  <w:style w:type="paragraph" w:customStyle="1" w:styleId="TableText">
    <w:name w:val="Table Text"/>
    <w:pPr>
      <w:widowControl/>
      <w:spacing w:before="0" w:after="40" w:line="276" w:lineRule="auto"/>
    </w:pPr>
    <w:rPr>
      <w:rFonts w:ascii="Calibri" w:hAnsi="Calibri" w:eastAsia="宋体" w:cs="Calibri"/>
      <w:b w:val="0"/>
      <w:color w:val="243247"/>
      <w:sz w:val="18"/>
    </w:rPr>
  </w:style>
  <w:style w:type="paragraph" w:customStyle="1" w:styleId="SourceText">
    <w:name w:val="Source Text"/>
    <w:pPr>
      <w:widowControl/>
      <w:spacing w:before="80" w:after="80" w:line="276" w:lineRule="auto"/>
    </w:pPr>
    <w:rPr>
      <w:rFonts w:ascii="Calibri" w:hAnsi="Calibri" w:eastAsia="宋体" w:cs="Calibri"/>
      <w:b w:val="0"/>
      <w:color w:val="5A687A"/>
      <w:sz w:val="18"/>
    </w:rPr>
  </w:style>
  <w:style w:type="paragraph" w:customStyle="1" w:styleId="AfterTable">
    <w:name w:val="After Table"/>
    <w:pPr>
      <w:widowControl/>
      <w:spacing w:before="0" w:after="20" w:line="240" w:lineRule="auto"/>
    </w:pPr>
    <w:rPr>
      <w:rFonts w:ascii="Calibri" w:hAnsi="Calibri" w:eastAsia="宋体" w:cs="Calibri"/>
      <w:b w:val="0"/>
      <w:color w:val="5A687A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C:/undergraduate_thesis/%E7%AC%AC%E4%B8%80%E6%89%B9%E6%96%87%E7%8C%AE/Kalb%20%E7%AD%89%20-%202022%20-%20Improving%20Replay-Based%20Continual%20Semantic%20Segmentation%20with%20Smart%20Data%20Selec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LIT-009 智能数据选择改进回放式持续语义分割：精读报告</dc:title>
  <dc:subject>Continual semantic segmentation; replay sample selection</dc:subject>
  <dc:creator>本科毕业论文研究记录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