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rPr>
          <w:rFonts w:ascii="Calibri" w:hAnsi="Calibri" w:eastAsia="Microsoft YaHei"/>
        </w:rPr>
        <w:t xml:space="preserve">LIT 010 原始论文精读报告</w:t>
      </w:r>
    </w:p>
    <w:p>
      <w:pPr>
        <w:pStyle w:val="Title"/>
      </w:pPr>
      <w:r>
        <w:rPr>
          <w:rFonts w:ascii="Calibri" w:hAnsi="Calibri" w:eastAsia="Microsoft YaHei"/>
        </w:rPr>
        <w:t xml:space="preserve">恶劣天气域增量语义分割遗忘机制文献报告</w:t>
      </w:r>
    </w:p>
    <w:p>
      <w:pPr>
        <w:pStyle w:val="Subtitle"/>
      </w:pPr>
      <w:r>
        <w:rPr>
          <w:rFonts w:ascii="Calibri" w:hAnsi="Calibri" w:eastAsia="Microsoft YaHei"/>
        </w:rPr>
        <w:t xml:space="preserve">Principles of Forgetting in Domain-Incremental Semantic Segmentation in Adverse Weather Conditions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论文：</w:t>
      </w:r>
      <w:r>
        <w:rPr>
          <w:rFonts w:ascii="Calibri" w:hAnsi="Calibri" w:eastAsia="Microsoft YaHei"/>
        </w:rPr>
        <w:t xml:space="preserve">Tobias Kalb, Jürgen Beyerer. CVPR 2023, pp. 19508–19518. DOI 10.1109/CVPR52729.2023.01869。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材料与日期：</w:t>
      </w:r>
      <w:r>
        <w:rPr>
          <w:rFonts w:ascii="Calibri" w:hAnsi="Calibri" w:eastAsia="Microsoft YaHei"/>
        </w:rPr>
        <w:t xml:space="preserve">本地 CVF Open Access PDF 共 11 页，p.1–8 为正文，p.9–11 为参考文献；2026-10-18 精读，2026-10-20 按项目报告规范修订。本文中的 p.N 均指 PDF 从 1 开始的页码。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结论与用途：</w:t>
      </w:r>
      <w:r>
        <w:rPr>
          <w:rFonts w:ascii="Calibri" w:hAnsi="Calibri" w:eastAsia="Microsoft YaHei"/>
        </w:rPr>
        <w:t xml:space="preserve">论文研究有标注、已知域边界的 Cityscapes→单个 ACDC 天气两阶段适应。作者用层拼接与 BN 统计诊断，指出浅层表征变化是旧域遗忘的重要来源；预训练、图像增强和 Continual Normalization（CN）可减轻遗忘。对本课题，它提供机制诊断和强训练基线，却未验证无任务提示的多天气连续流。</w:t>
      </w:r>
    </w:p>
    <w:p>
      <w:pPr>
        <w:pStyle w:val="Heading1"/>
      </w:pPr>
      <w:r>
        <w:rPr>
          <w:rFonts w:ascii="Calibri" w:hAnsi="Calibri" w:eastAsia="Microsoft YaHei"/>
        </w:rPr>
        <w:t xml:space="preserve">一 研究问题与设定边界</w:t>
      </w:r>
    </w:p>
    <w:p>
      <w:pPr>
        <w:pStyle w:val="Normal"/>
      </w:pPr>
      <w:r>
        <w:rPr>
          <w:rFonts w:ascii="Calibri" w:hAnsi="Calibri" w:eastAsia="Microsoft YaHei"/>
        </w:rPr>
        <w:t xml:space="preserve">问题是：道路分割模型从正常天气适应到一种恶劣天气后，为什么会失去对原有环境的识别能力，怎样提高旧特征的复用？论文保持 19 类语义集合不变，研究输入分布随天气改变的域增量分割。四种天气是四条独立的第二阶段路线，并非一个依次经历四域的实验。依据：§3.1、§4，PDF p.2–3。</w:t>
      </w:r>
    </w:p>
    <w:p>
      <w:pPr>
        <w:pStyle w:val="Caption"/>
        <w:keepNext/>
      </w:pPr>
      <w:r>
        <w:rPr>
          <w:rFonts w:ascii="Calibri" w:hAnsi="Calibri" w:eastAsia="Microsoft YaHei"/>
        </w:rPr>
        <w:t xml:space="preserve">表 1 研究设定边界；“未报告”指本地正文没有给出该项，依据为 PDF 页码。</w:t>
      </w:r>
    </w:p>
    <w:tbl>
      <w:tblPr>
        <w:tblW w:w="9360" w:type="dxa"/>
        <w:tblInd w:w="1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650"/>
        <w:gridCol w:w="5750"/>
        <w:gridCol w:w="1960"/>
      </w:tblGrid>
      <w:tr>
        <w:trPr>
          <w:tblHeader w:val="true"/>
          <w:cantSplit/>
        </w:trPr>
        <w:tc>
          <w:tcPr>
            <w:tcW w:w="16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维度</w:t>
            </w:r>
          </w:p>
        </w:tc>
        <w:tc>
          <w:tcPr>
            <w:tcW w:w="57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论文中的实际设置</w:t>
            </w:r>
          </w:p>
        </w:tc>
        <w:tc>
          <w:tcPr>
            <w:tcW w:w="196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依据或边界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任务与输出</w:t>
            </w:r>
          </w:p>
        </w:tc>
        <w:tc>
          <w:tcPr>
            <w:tcW w:w="57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语义分割；对每个像素输出 19 类之一。</w:t>
            </w:r>
          </w:p>
        </w:tc>
        <w:tc>
          <w:tcPr>
            <w:tcW w:w="19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§3.1，p.2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在线程度</w:t>
            </w:r>
          </w:p>
        </w:tc>
        <w:tc>
          <w:tcPr>
            <w:tcW w:w="57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不是单遍在线更新；CS 训练 200 epoch，每个 ACDC 天气子集 150 epoch。</w:t>
            </w:r>
          </w:p>
        </w:tc>
        <w:tc>
          <w:tcPr>
            <w:tcW w:w="19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§4，p.3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持续学习序列</w:t>
            </w:r>
          </w:p>
        </w:tc>
        <w:tc>
          <w:tcPr>
            <w:tcW w:w="57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T₀=Cityscapes；T₁ 分别为 Night、Rain、Fog、Snow，共四条 CS→单天气路线。</w:t>
            </w:r>
          </w:p>
        </w:tc>
        <w:tc>
          <w:tcPr>
            <w:tcW w:w="19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§4，p.3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增量类型</w:t>
            </w:r>
          </w:p>
        </w:tc>
        <w:tc>
          <w:tcPr>
            <w:tcW w:w="57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类别集合固定，变化的是天气及光照分布；属于 DIL。</w:t>
            </w:r>
          </w:p>
        </w:tc>
        <w:tc>
          <w:tcPr>
            <w:tcW w:w="19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§3.1，p.2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监督信息</w:t>
            </w:r>
          </w:p>
        </w:tc>
        <w:tc>
          <w:tcPr>
            <w:tcW w:w="57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CS 与目标天气训练均使用像素级标注；本文主要实验不是无监督域适应。</w:t>
            </w:r>
          </w:p>
        </w:tc>
        <w:tc>
          <w:tcPr>
            <w:tcW w:w="19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§3.1、§4，p.2–3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域或任务边界</w:t>
            </w:r>
          </w:p>
        </w:tc>
        <w:tc>
          <w:tcPr>
            <w:tcW w:w="57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训练数据按 CS 和天气子集分阶段；测试按域验证集分别评价。推理时是否输入域 ID、是否自动检测切换：未报告。</w:t>
            </w:r>
          </w:p>
        </w:tc>
        <w:tc>
          <w:tcPr>
            <w:tcW w:w="19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§4，p.3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旧数据与缓存</w:t>
            </w:r>
          </w:p>
        </w:tc>
        <w:tc>
          <w:tcPr>
            <w:tcW w:w="57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主要无回放组合不显式重放旧样本；表7回放每批有一半旧样本，缓存容量主文未报告；表5诊断用到旧域图像。</w:t>
            </w:r>
          </w:p>
        </w:tc>
        <w:tc>
          <w:tcPr>
            <w:tcW w:w="19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§4.4、§5.1，p.6–8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评价范围</w:t>
            </w:r>
          </w:p>
        </w:tc>
        <w:tc>
          <w:tcPr>
            <w:tcW w:w="57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每条路线测更新前 CS 与目标天气、更新后 CS 与目标天气；指标为 mIoU、学习准确率、遗忘。未见天气评价：未报告。</w:t>
            </w:r>
          </w:p>
        </w:tc>
        <w:tc>
          <w:tcPr>
            <w:tcW w:w="19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§4、式(1)(2)，p.3–4</w:t>
            </w:r>
          </w:p>
        </w:tc>
      </w:tr>
    </w:tbl>
    <w:p>
      <w:pPr>
        <w:pStyle w:val="Normal"/>
      </w:pPr>
      <w:r>
        <w:rPr>
          <w:rFonts w:ascii="Calibri" w:hAnsi="Calibri" w:eastAsia="Microsoft YaHei"/>
        </w:rPr>
        <w:t xml:space="preserve">因此，论文的“域增量”表示有阶段的天气域适应；不能把它当作无边界、单遍、无标签的机器人在线更新。</w:t>
      </w:r>
    </w:p>
    <w:p>
      <w:pPr>
        <w:pStyle w:val="Heading1"/>
      </w:pPr>
      <w:r>
        <w:rPr>
          <w:rFonts w:ascii="Calibri" w:hAnsi="Calibri" w:eastAsia="Microsoft YaHei"/>
        </w:rPr>
        <w:t xml:space="preserve">二 方法机制与实验分组</w:t>
      </w:r>
    </w:p>
    <w:p>
      <w:pPr>
        <w:pStyle w:val="Normal"/>
      </w:pPr>
      <w:r>
        <w:rPr>
          <w:rFonts w:ascii="Calibri" w:hAnsi="Calibri" w:eastAsia="Microsoft YaHei"/>
        </w:rPr>
        <w:t xml:space="preserve">模型以 DeepLabV3+ 和 ResNet-50 为主要分析对象。通常先在 CS 上训练，再对一个 ACDC 子集微调；CS 有 2975 张训练图和 500 张验证图。SGD 动量 0.9、权重衰减 3×10⁻³，poly 学习率幂 0.9；CS 初始学习率 0.07，ACDC 为 0.005，batch 8，512×1024 裁剪。常规增强为水平翻转和缩放，额外增强只在相应组使用；测试不缩放、裁剪。依据：§4，PDF p.3。</w:t>
      </w:r>
    </w:p>
    <w:p>
      <w:pPr>
        <w:pStyle w:val="Normal"/>
      </w:pPr>
      <w:r>
        <w:rPr>
          <w:rFonts w:ascii="Calibri" w:hAnsi="Calibri" w:eastAsia="Microsoft YaHei"/>
        </w:rPr>
        <w:t xml:space="preserve">层拼接把新模型 f₁ 截至某层的输出接到旧模型 f₀ 的后续层，不训练额外连接器，并在 CS 上测相对 mIoU。浅层拼接后分数骤降，说明新浅层表示与旧模型后部不相容；这是一种诊断代理量，不能单靠曲线证明唯一因果。作者还比较 HSV 统计与频谱：天气改变低层颜色、亮度及部分高频信息；第一层特征变化会使后续 BN 的运行统计偏向新域。依据：§3.3、§4.1–4.2，图1–4，PDF p.1、3–6。</w:t>
      </w:r>
    </w:p>
    <w:p>
      <w:pPr>
        <w:pStyle w:val="Normal"/>
      </w:pPr>
      <w:r>
        <w:rPr>
          <w:rFonts w:ascii="Calibri" w:hAnsi="Calibri" w:eastAsia="Microsoft YaHei"/>
        </w:rPr>
        <w:t xml:space="preserve">干预分别作用于旧域学习和新域更新：DINO 等 ImageNet 预训练提供较通用的初始特征；AutoAlbument 在 CS 上学习增强策略；CN 结合 GroupNorm 与 BatchNorm。表5另将 BN 运行统计用 CS 与目标域图像重估，这是访问旧数据的机制诊断。依据：§4.3–4.5，PDF p.5–7。</w:t>
      </w:r>
    </w:p>
    <w:p>
      <w:pPr>
        <w:pStyle w:val="Caption"/>
        <w:keepNext/>
      </w:pPr>
      <w:r>
        <w:rPr>
          <w:rFonts w:ascii="Calibri" w:hAnsi="Calibri" w:eastAsia="Microsoft YaHei"/>
        </w:rPr>
        <w:t xml:space="preserve">表 2 实验配置组号。相同名称若来自不同原表且数值不同，则单列组号；p.N 指 PDF 页码。</w:t>
      </w:r>
    </w:p>
    <w:tbl>
      <w:tblPr>
        <w:tblW w:w="9360" w:type="dxa"/>
        <w:tblInd w:w="1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650"/>
        <w:gridCol w:w="1780"/>
        <w:gridCol w:w="2250"/>
        <w:gridCol w:w="2030"/>
        <w:gridCol w:w="2650"/>
      </w:tblGrid>
      <w:tr>
        <w:trPr>
          <w:tblHeader w:val="true"/>
          <w:cantSplit/>
        </w:trPr>
        <w:tc>
          <w:tcPr>
            <w:tcW w:w="6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组号</w:t>
            </w:r>
          </w:p>
        </w:tc>
        <w:tc>
          <w:tcPr>
            <w:tcW w:w="178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角色与方法</w:t>
            </w:r>
          </w:p>
        </w:tc>
        <w:tc>
          <w:tcPr>
            <w:tcW w:w="22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网络及预训练</w:t>
            </w:r>
          </w:p>
        </w:tc>
        <w:tc>
          <w:tcPr>
            <w:tcW w:w="203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数据与域序列</w:t>
            </w:r>
          </w:p>
        </w:tc>
        <w:tc>
          <w:tcPr>
            <w:tcW w:w="26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训练评价及依据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G01</w:t>
            </w:r>
          </w:p>
        </w:tc>
        <w:tc>
          <w:tcPr>
            <w:tcW w:w="17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基准：普通微调 FT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DeepLabV3+ / R50；随机初始化</w:t>
            </w:r>
          </w:p>
        </w:tc>
        <w:tc>
          <w:tcPr>
            <w:tcW w:w="20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CS→四种 ACDC 天气，各自独立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§4 协议；表2 p.5、表6 p.7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G02</w:t>
            </w:r>
          </w:p>
        </w:tc>
        <w:tc>
          <w:tcPr>
            <w:tcW w:w="17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本文消融：FT + DINO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同 G01；ImageNet1k DINO 自监督预训练</w:t>
            </w:r>
          </w:p>
        </w:tc>
        <w:tc>
          <w:tcPr>
            <w:tcW w:w="20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同 G01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在 CS 源域加入预训练；表6 p.7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G03</w:t>
            </w:r>
          </w:p>
        </w:tc>
        <w:tc>
          <w:tcPr>
            <w:tcW w:w="17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本文消融：再加 AutoAlbument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同 G02</w:t>
            </w:r>
          </w:p>
        </w:tc>
        <w:tc>
          <w:tcPr>
            <w:tcW w:w="20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同 G01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CS 源域增加学习所得增强；表6 p.7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G04</w:t>
            </w:r>
          </w:p>
        </w:tc>
        <w:tc>
          <w:tcPr>
            <w:tcW w:w="17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本文组合：再以 CN 替换 BN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同 G02；CN</w:t>
            </w:r>
          </w:p>
        </w:tc>
        <w:tc>
          <w:tcPr>
            <w:tcW w:w="20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同 G01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逐项组合；表6 p.7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G05</w:t>
            </w:r>
          </w:p>
        </w:tc>
        <w:tc>
          <w:tcPr>
            <w:tcW w:w="17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对照：EWC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主文表7未逐行重述网络/初始权重</w:t>
            </w:r>
          </w:p>
        </w:tc>
        <w:tc>
          <w:tcPr>
            <w:tcW w:w="20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CS→Night、Rain，独立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§5.1；表7 p.8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G06</w:t>
            </w:r>
          </w:p>
        </w:tc>
        <w:tc>
          <w:tcPr>
            <w:tcW w:w="17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对照：Replay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主文表7未逐行重述网络/初始权重</w:t>
            </w:r>
          </w:p>
        </w:tc>
        <w:tc>
          <w:tcPr>
            <w:tcW w:w="20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CS→Night、Rain，独立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每批一半旧样本；缓存容量未报告；表7 p.8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G07</w:t>
            </w:r>
          </w:p>
        </w:tc>
        <w:tc>
          <w:tcPr>
            <w:tcW w:w="17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本文组合：DINO + AutoAlb + CN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主文表7未逐行重述网络；DINO 预训练</w:t>
            </w:r>
          </w:p>
        </w:tc>
        <w:tc>
          <w:tcPr>
            <w:tcW w:w="20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CS→Night、Rain，独立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表7 p.8；与 G04 同名但 Night 值不同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G08</w:t>
            </w:r>
          </w:p>
        </w:tc>
        <w:tc>
          <w:tcPr>
            <w:tcW w:w="17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网络基线：SegFormer-B2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SegFormer-B2；ImageNet 预训练</w:t>
            </w:r>
          </w:p>
        </w:tc>
        <w:tc>
          <w:tcPr>
            <w:tcW w:w="20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CS→四种 ACDC 天气，各自独立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架构比较；表8 p.8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G09</w:t>
            </w:r>
          </w:p>
        </w:tc>
        <w:tc>
          <w:tcPr>
            <w:tcW w:w="17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网络基线：DeepLabV3+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DeepLabV3+ / R50；ImageNet 预训练</w:t>
            </w:r>
          </w:p>
        </w:tc>
        <w:tc>
          <w:tcPr>
            <w:tcW w:w="20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同 G08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架构比较；表8 p.8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G10</w:t>
            </w:r>
          </w:p>
        </w:tc>
        <w:tc>
          <w:tcPr>
            <w:tcW w:w="17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网络基线：ERFNet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ERFNet；ImageNet 预训练</w:t>
            </w:r>
          </w:p>
        </w:tc>
        <w:tc>
          <w:tcPr>
            <w:tcW w:w="20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同 G08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架构比较；表8 p.8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G11</w:t>
            </w:r>
          </w:p>
        </w:tc>
        <w:tc>
          <w:tcPr>
            <w:tcW w:w="17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机制诊断：FT 后重估 BN 统计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G01 的微调模型；权重不更新</w:t>
            </w:r>
          </w:p>
        </w:tc>
        <w:tc>
          <w:tcPr>
            <w:tcW w:w="20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CS 与目标域图像联合用于统计重估</w:t>
            </w:r>
          </w:p>
        </w:tc>
        <w:tc>
          <w:tcPr>
            <w:tcW w:w="26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仅测 CS，非无旧数据方案；表5 p.7</w:t>
            </w:r>
          </w:p>
        </w:tc>
      </w:tr>
    </w:tbl>
    <w:p>
      <w:pPr>
        <w:pStyle w:val="Normal"/>
      </w:pPr>
      <w:r>
        <w:rPr>
          <w:rFonts w:ascii="Calibri" w:hAnsi="Calibri" w:eastAsia="Microsoft YaHei"/>
        </w:rPr>
        <w:t xml:space="preserve">G01–G04 是表6的连续消融；G05–G07 是表7的算法对照；G08–G10 是表8的架构对照。各块的初始权重、配置与统计量不应跨表直接合并排序。</w:t>
      </w:r>
    </w:p>
    <w:p>
      <w:pPr>
        <w:pStyle w:val="Heading1"/>
      </w:pPr>
      <w:r>
        <w:rPr>
          <w:rFonts w:ascii="Calibri" w:hAnsi="Calibri" w:eastAsia="Microsoft YaHei"/>
        </w:rPr>
        <w:t xml:space="preserve">三 指标与定量结果</w:t>
      </w:r>
    </w:p>
    <w:p>
      <w:pPr>
        <w:pStyle w:val="Caption"/>
        <w:keepNext/>
      </w:pPr>
      <w:r>
        <w:rPr>
          <w:rFonts w:ascii="Calibri" w:hAnsi="Calibri" w:eastAsia="Microsoft YaHei"/>
        </w:rPr>
        <w:t xml:space="preserve">表 3 指标定义。mIoU 下标 p,q 表示训练至任务 p 后在任务 q 上测得的分数。</w:t>
      </w:r>
    </w:p>
    <w:tbl>
      <w:tblPr>
        <w:tblW w:w="9360" w:type="dxa"/>
        <w:tblInd w:w="1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940"/>
        <w:gridCol w:w="4200"/>
        <w:gridCol w:w="1280"/>
        <w:gridCol w:w="1940"/>
      </w:tblGrid>
      <w:tr>
        <w:trPr>
          <w:tblHeader w:val="true"/>
          <w:cantSplit/>
        </w:trPr>
        <w:tc>
          <w:tcPr>
            <w:tcW w:w="194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指标</w:t>
            </w:r>
          </w:p>
        </w:tc>
        <w:tc>
          <w:tcPr>
            <w:tcW w:w="420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计算与聚合范围</w:t>
            </w:r>
          </w:p>
        </w:tc>
        <w:tc>
          <w:tcPr>
            <w:tcW w:w="128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单位及方向</w:t>
            </w:r>
          </w:p>
        </w:tc>
        <w:tc>
          <w:tcPr>
            <w:tcW w:w="194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依据</w:t>
            </w:r>
          </w:p>
        </w:tc>
      </w:tr>
      <w:tr>
        <w:trPr>
          <w:cantSplit/>
        </w:trPr>
        <w:tc>
          <w:tcPr>
            <w:tcW w:w="19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mIoU₀,₀；mIoU₁,₀；mIoU₁,₁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分别是 T₀ 后在 CS、T₁ 后在 CS、T₁ 后在目标天气的 19 类平均 IoU。</w:t>
            </w:r>
          </w:p>
        </w:tc>
        <w:tc>
          <w:tcPr>
            <w:tcW w:w="12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百分数；↑</w:t>
            </w:r>
          </w:p>
        </w:tc>
        <w:tc>
          <w:tcPr>
            <w:tcW w:w="19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§4，p.3–4</w:t>
            </w:r>
          </w:p>
        </w:tc>
      </w:tr>
      <w:tr>
        <w:trPr>
          <w:cantSplit/>
        </w:trPr>
        <w:tc>
          <w:tcPr>
            <w:tcW w:w="19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零样本 mIoU₀,₁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只学 CS 的模型在尚未训练的目标天气验证集上的 mIoU。</w:t>
            </w:r>
          </w:p>
        </w:tc>
        <w:tc>
          <w:tcPr>
            <w:tcW w:w="12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百分数；↑</w:t>
            </w:r>
          </w:p>
        </w:tc>
        <w:tc>
          <w:tcPr>
            <w:tcW w:w="19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§4，p.3–4；表2 p.5</w:t>
            </w:r>
          </w:p>
        </w:tc>
      </w:tr>
      <w:tr>
        <w:trPr>
          <w:cantSplit/>
        </w:trPr>
        <w:tc>
          <w:tcPr>
            <w:tcW w:w="19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学习准确率 A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A=(mIoU₀,₀+mIoU₁,₁)/2；是两个阶段各自已学任务表现的平均，并非最终新旧域均值。</w:t>
            </w:r>
          </w:p>
        </w:tc>
        <w:tc>
          <w:tcPr>
            <w:tcW w:w="12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百分数；↑</w:t>
            </w:r>
          </w:p>
        </w:tc>
        <w:tc>
          <w:tcPr>
            <w:tcW w:w="19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式(1)，p.4</w:t>
            </w:r>
          </w:p>
        </w:tc>
      </w:tr>
      <w:tr>
        <w:trPr>
          <w:cantSplit/>
        </w:trPr>
        <w:tc>
          <w:tcPr>
            <w:tcW w:w="19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遗忘 F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F=mIoU₀,₀−mIoU₁,₀；只衡量旧 CS 性能下降，不包含新域性能。</w:t>
            </w:r>
          </w:p>
        </w:tc>
        <w:tc>
          <w:tcPr>
            <w:tcW w:w="12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百分点；↓</w:t>
            </w:r>
          </w:p>
        </w:tc>
        <w:tc>
          <w:tcPr>
            <w:tcW w:w="19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式(2)，p.4</w:t>
            </w:r>
          </w:p>
        </w:tc>
      </w:tr>
      <w:tr>
        <w:trPr>
          <w:cantSplit/>
        </w:trPr>
        <w:tc>
          <w:tcPr>
            <w:tcW w:w="19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BN 重估增量 ΔmIoU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表5中重估后的 CS mIoU 减重估前 CS mIoU；只用于 G11 诊断。</w:t>
            </w:r>
          </w:p>
        </w:tc>
        <w:tc>
          <w:tcPr>
            <w:tcW w:w="128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百分点；↑</w:t>
            </w:r>
          </w:p>
        </w:tc>
        <w:tc>
          <w:tcPr>
            <w:tcW w:w="19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表5，p.7</w:t>
            </w:r>
          </w:p>
        </w:tc>
      </w:tr>
    </w:tbl>
    <w:p>
      <w:pPr>
        <w:pStyle w:val="Normal"/>
      </w:pPr>
      <w:r>
        <w:rPr>
          <w:rFonts w:ascii="Calibri" w:hAnsi="Calibri" w:eastAsia="Microsoft YaHei"/>
        </w:rPr>
        <w:t xml:space="preserve">所有结果来自论文验证集，非本项目复现。A 和 F 相同也可能对应不同新域或旧域分数，因此下表按原论文的实验块分开呈现。</w:t>
      </w:r>
    </w:p>
    <w:p>
      <w:pPr>
        <w:pStyle w:val="Caption"/>
        <w:keepNext/>
      </w:pPr>
      <w:r>
        <w:rPr>
          <w:rFonts w:ascii="Calibri" w:hAnsi="Calibri" w:eastAsia="Microsoft YaHei"/>
        </w:rPr>
        <w:t xml:space="preserve">表 4 G01 普通微调的两阶段分数；CS 初始 mIoU₀,₀ 均为 72.0%。来源：论文表2，PDF p.5。</w:t>
      </w:r>
    </w:p>
    <w:tbl>
      <w:tblPr>
        <w:tblW w:w="9360" w:type="dxa"/>
        <w:tblInd w:w="1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250"/>
        <w:gridCol w:w="1900"/>
        <w:gridCol w:w="2150"/>
        <w:gridCol w:w="2450"/>
        <w:gridCol w:w="1610"/>
      </w:tblGrid>
      <w:tr>
        <w:trPr>
          <w:tblHeader w:val="true"/>
          <w:cantSplit/>
        </w:trPr>
        <w:tc>
          <w:tcPr>
            <w:tcW w:w="12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组号/目标域</w:t>
            </w:r>
          </w:p>
        </w:tc>
        <w:tc>
          <w:tcPr>
            <w:tcW w:w="190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零样本 mIoU₀,₁ ↑</w:t>
            </w:r>
          </w:p>
        </w:tc>
        <w:tc>
          <w:tcPr>
            <w:tcW w:w="21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更新后 CS mIoU₁,₀ ↑</w:t>
            </w:r>
          </w:p>
        </w:tc>
        <w:tc>
          <w:tcPr>
            <w:tcW w:w="24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更新后目标 mIoU₁,₁ ↑</w:t>
            </w:r>
          </w:p>
        </w:tc>
        <w:tc>
          <w:tcPr>
            <w:tcW w:w="161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遗忘 F ↓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G01 / Night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10.5%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45.9%</w:t>
            </w:r>
          </w:p>
        </w:tc>
        <w:tc>
          <w:tcPr>
            <w:tcW w:w="2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43.6%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26.1 点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G01 / Rain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30.4%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38.8%</w:t>
            </w:r>
          </w:p>
        </w:tc>
        <w:tc>
          <w:tcPr>
            <w:tcW w:w="2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57.7%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33.2 点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G01 / Fog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33.4%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44.0%</w:t>
            </w:r>
          </w:p>
        </w:tc>
        <w:tc>
          <w:tcPr>
            <w:tcW w:w="2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69.0%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28.0 点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G01 / Snow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23.1%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42.2%</w:t>
            </w:r>
          </w:p>
        </w:tc>
        <w:tc>
          <w:tcPr>
            <w:tcW w:w="2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62.3%</w:t>
            </w:r>
          </w:p>
        </w:tc>
        <w:tc>
          <w:tcPr>
            <w:tcW w:w="161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29.8 点</w:t>
            </w:r>
          </w:p>
        </w:tc>
      </w:tr>
    </w:tbl>
    <w:p>
      <w:pPr>
        <w:pStyle w:val="Normal"/>
      </w:pPr>
      <w:r>
        <w:rPr>
          <w:rFonts w:ascii="Calibri" w:hAnsi="Calibri" w:eastAsia="Microsoft YaHei"/>
        </w:rPr>
        <w:t xml:space="preserve">夜间的零样本分数最低（10.5%），但其 FT 遗忘量不是最大（26.1 点）；零样本适应困难与旧域遗忘严重程度不能混为一谈。依据：表2，PDF p.5。</w:t>
      </w:r>
    </w:p>
    <w:p>
      <w:pPr>
        <w:pStyle w:val="Caption"/>
        <w:keepNext/>
      </w:pPr>
      <w:r>
        <w:rPr>
          <w:rFonts w:ascii="Calibri" w:hAnsi="Calibri" w:eastAsia="Microsoft YaHei"/>
        </w:rPr>
        <w:t xml:space="preserve">表 5 G01–G04 逐项组合结果；每行 CS→该天气是独立两阶段实验。A 为学习准确率，F 为遗忘。来源：论文表6，PDF p.7。</w:t>
      </w:r>
    </w:p>
    <w:tbl>
      <w:tblPr>
        <w:tblW w:w="9360" w:type="dxa"/>
        <w:tblInd w:w="1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450"/>
        <w:gridCol w:w="2120"/>
        <w:gridCol w:w="2860"/>
        <w:gridCol w:w="2930"/>
      </w:tblGrid>
      <w:tr>
        <w:trPr>
          <w:tblHeader w:val="true"/>
          <w:cantSplit/>
        </w:trPr>
        <w:tc>
          <w:tcPr>
            <w:tcW w:w="14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组号</w:t>
            </w:r>
          </w:p>
        </w:tc>
        <w:tc>
          <w:tcPr>
            <w:tcW w:w="212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目标域</w:t>
            </w:r>
          </w:p>
        </w:tc>
        <w:tc>
          <w:tcPr>
            <w:tcW w:w="286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A ↑</w:t>
            </w:r>
          </w:p>
        </w:tc>
        <w:tc>
          <w:tcPr>
            <w:tcW w:w="293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F ↓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G01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Night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57.8%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26.1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G02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Night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62.3%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18.7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G03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Night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62.2%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13.5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G04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Night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61.3%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9.1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G01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Rain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64.9%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33.2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G02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Rain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69.7%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23.4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G03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Rain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71.2%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8.2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G04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Rain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71.0%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8.0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G01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Fog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70.5%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28.0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G02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Fog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73.7%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19.6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G03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Fog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73.9%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11.7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G04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Fog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75.4%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7.3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G01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Snow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67.2%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29.8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G02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Snow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71.0%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27.1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G03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Snow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71.2%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13.1 点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G04</w:t>
            </w:r>
          </w:p>
        </w:tc>
        <w:tc>
          <w:tcPr>
            <w:tcW w:w="21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Snow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70.9%</w:t>
            </w:r>
          </w:p>
        </w:tc>
        <w:tc>
          <w:tcPr>
            <w:tcW w:w="29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10.5 点</w:t>
            </w:r>
          </w:p>
        </w:tc>
      </w:tr>
    </w:tbl>
    <w:p>
      <w:pPr>
        <w:pStyle w:val="Normal"/>
      </w:pPr>
      <w:r>
        <w:rPr>
          <w:rFonts w:ascii="Calibri" w:hAnsi="Calibri" w:eastAsia="Microsoft YaHei"/>
        </w:rPr>
        <w:t xml:space="preserve">四天气的算术均值显示 G01 遗忘为 29.275 点，G04 为 8.725 点，差 20.55 点；这是对论文表6的二次计算，不能写成相对下降 20%。CN 加入后各域 F 均进一步下降，但 A 不保证单调上升，例如 Night 的 G03 62.2% 到 G04 61.3%。</w:t>
      </w:r>
    </w:p>
    <w:p>
      <w:pPr>
        <w:pStyle w:val="Caption"/>
        <w:keepNext/>
      </w:pPr>
      <w:r>
        <w:rPr>
          <w:rFonts w:ascii="Calibri" w:hAnsi="Calibri" w:eastAsia="Microsoft YaHei"/>
        </w:rPr>
        <w:t xml:space="preserve">表 6 G05–G07 算法对照；仅 Night 和 Rain。表7的 G07 单列，不以表6的 G04 数值替代。来源：论文表7，PDF p.8。</w:t>
      </w:r>
    </w:p>
    <w:tbl>
      <w:tblPr>
        <w:tblW w:w="9360" w:type="dxa"/>
        <w:tblInd w:w="1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320"/>
        <w:gridCol w:w="2050"/>
        <w:gridCol w:w="2530"/>
        <w:gridCol w:w="2460"/>
      </w:tblGrid>
      <w:tr>
        <w:trPr>
          <w:tblHeader w:val="true"/>
          <w:cantSplit/>
        </w:trPr>
        <w:tc>
          <w:tcPr>
            <w:tcW w:w="232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组号</w:t>
            </w:r>
          </w:p>
        </w:tc>
        <w:tc>
          <w:tcPr>
            <w:tcW w:w="20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目标域</w:t>
            </w:r>
          </w:p>
        </w:tc>
        <w:tc>
          <w:tcPr>
            <w:tcW w:w="253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A ↑</w:t>
            </w:r>
          </w:p>
        </w:tc>
        <w:tc>
          <w:tcPr>
            <w:tcW w:w="246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F ↓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G05 EWC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Night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52.8%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18.0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G06 Replay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Night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58.2%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5.6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G07 组合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Night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62.1%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7.9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G05 EWC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Rain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61.4%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21.2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G06 Replay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Rain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64.2%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2.9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G07 组合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Rain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71.0%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8.0 点</w:t>
            </w:r>
          </w:p>
        </w:tc>
      </w:tr>
    </w:tbl>
    <w:p>
      <w:pPr>
        <w:pStyle w:val="Normal"/>
      </w:pPr>
      <w:r>
        <w:rPr>
          <w:rFonts w:ascii="Calibri" w:hAnsi="Calibri" w:eastAsia="Microsoft YaHei"/>
        </w:rPr>
        <w:t xml:space="preserve">在表7这两域内，G07 的 A 高于 G06，但 Replay 的 F 更低。论文还报告 EWC 加 DINO、AutoAlb、CN 后改善；回放也可与 DINO 组合。本文方法因此是可叠加的训练策略，不是回放在所有保持指标上的替代品。依据：§5.1、表7，PDF p.7–8。</w:t>
      </w:r>
    </w:p>
    <w:p>
      <w:pPr>
        <w:pStyle w:val="Caption"/>
        <w:keepNext/>
      </w:pPr>
      <w:r>
        <w:rPr>
          <w:rFonts w:ascii="Calibri" w:hAnsi="Calibri" w:eastAsia="Microsoft YaHei"/>
        </w:rPr>
        <w:t xml:space="preserve">表 7 G08–G10 架构比较；三种网络均按原文说明经过 ImageNet 预训练。来源：论文表8，PDF p.8。</w:t>
      </w:r>
    </w:p>
    <w:tbl>
      <w:tblPr>
        <w:tblW w:w="9360" w:type="dxa"/>
        <w:tblInd w:w="1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320"/>
        <w:gridCol w:w="2050"/>
        <w:gridCol w:w="2530"/>
        <w:gridCol w:w="2460"/>
      </w:tblGrid>
      <w:tr>
        <w:trPr>
          <w:tblHeader w:val="true"/>
          <w:cantSplit/>
        </w:trPr>
        <w:tc>
          <w:tcPr>
            <w:tcW w:w="232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组号</w:t>
            </w:r>
          </w:p>
        </w:tc>
        <w:tc>
          <w:tcPr>
            <w:tcW w:w="20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目标域</w:t>
            </w:r>
          </w:p>
        </w:tc>
        <w:tc>
          <w:tcPr>
            <w:tcW w:w="253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A ↑</w:t>
            </w:r>
          </w:p>
        </w:tc>
        <w:tc>
          <w:tcPr>
            <w:tcW w:w="246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F ↓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G08 SegFormer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Night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59.4%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16.2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G09 DeepLab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Night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60.5%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19.1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G10 ERFNet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Night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56.6%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29.0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G08 SegFormer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Rain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69.1%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11.1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G09 DeepLab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Rain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67.4%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22.5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G10 ERFNet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Rain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63.2%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36.2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G08 SegFormer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Fog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71.6%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11.8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G09 DeepLab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Fog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71.1%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23.8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G10 ERFNet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Fog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67.5%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30.1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G08 SegFormer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Snow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70.4%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14.3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G09 DeepLab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Snow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70.0%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28.8 点</w:t>
            </w:r>
          </w:p>
        </w:tc>
      </w:tr>
      <w:tr>
        <w:trPr>
          <w:cantSplit/>
        </w:trPr>
        <w:tc>
          <w:tcPr>
            <w:tcW w:w="232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G10 ERFNet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Snow</w:t>
            </w:r>
          </w:p>
        </w:tc>
        <w:tc>
          <w:tcPr>
            <w:tcW w:w="253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64.5%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59.5 点</w:t>
            </w:r>
          </w:p>
        </w:tc>
      </w:tr>
    </w:tbl>
    <w:p>
      <w:pPr>
        <w:pStyle w:val="Normal"/>
      </w:pPr>
      <w:r>
        <w:rPr>
          <w:rFonts w:ascii="Calibri" w:hAnsi="Calibri" w:eastAsia="Microsoft YaHei"/>
        </w:rPr>
        <w:t xml:space="preserve">SegFormer-B2 在表8四域的 F 均低于 DeepLabV3+，但两者架构、归一化及训练配方同时不同；论文没有把优势唯一归因于 Transformer。作者也承认后层抽象变化仍会造成遗忘。依据：§5.2–6、表8，PDF p.8。</w:t>
      </w:r>
    </w:p>
    <w:p>
      <w:pPr>
        <w:pStyle w:val="Caption"/>
        <w:keepNext/>
      </w:pPr>
      <w:r>
        <w:rPr>
          <w:rFonts w:ascii="Calibri" w:hAnsi="Calibri" w:eastAsia="Microsoft YaHei"/>
        </w:rPr>
        <w:t xml:space="preserve">表 8 G11 BN 统计重估诊断；使用 CS 与目标域图像，只改 BN 运行统计、不改模型权重。来源：论文表5，PDF p.7。</w:t>
      </w:r>
    </w:p>
    <w:tbl>
      <w:tblPr>
        <w:tblW w:w="9360" w:type="dxa"/>
        <w:tblInd w:w="1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250"/>
        <w:gridCol w:w="2450"/>
        <w:gridCol w:w="2450"/>
        <w:gridCol w:w="2210"/>
      </w:tblGrid>
      <w:tr>
        <w:trPr>
          <w:tblHeader w:val="true"/>
          <w:cantSplit/>
        </w:trPr>
        <w:tc>
          <w:tcPr>
            <w:tcW w:w="22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组号/目标域</w:t>
            </w:r>
          </w:p>
        </w:tc>
        <w:tc>
          <w:tcPr>
            <w:tcW w:w="24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重估前 CS mIoU ↑</w:t>
            </w:r>
          </w:p>
        </w:tc>
        <w:tc>
          <w:tcPr>
            <w:tcW w:w="245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重估后 CS mIoU ↑</w:t>
            </w:r>
          </w:p>
        </w:tc>
        <w:tc>
          <w:tcPr>
            <w:tcW w:w="2210" w:type="dxa"/>
            <w:shd w:fill="DCE7F3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</w:rPr>
              <w:t xml:space="preserve">ΔmIoU ↑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G11 / Night</w:t>
            </w:r>
          </w:p>
        </w:tc>
        <w:tc>
          <w:tcPr>
            <w:tcW w:w="2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45.9%</w:t>
            </w:r>
          </w:p>
        </w:tc>
        <w:tc>
          <w:tcPr>
            <w:tcW w:w="2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58.6%</w:t>
            </w:r>
          </w:p>
        </w:tc>
        <w:tc>
          <w:tcPr>
            <w:tcW w:w="221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+12.7 点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G11 / Rain</w:t>
            </w:r>
          </w:p>
        </w:tc>
        <w:tc>
          <w:tcPr>
            <w:tcW w:w="2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38.8%</w:t>
            </w:r>
          </w:p>
        </w:tc>
        <w:tc>
          <w:tcPr>
            <w:tcW w:w="245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58.2%</w:t>
            </w:r>
          </w:p>
        </w:tc>
        <w:tc>
          <w:tcPr>
            <w:tcW w:w="221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 xml:space="preserve">+19.4 点</w:t>
            </w:r>
          </w:p>
        </w:tc>
      </w:tr>
    </w:tbl>
    <w:p>
      <w:pPr>
        <w:pStyle w:val="Normal"/>
      </w:pPr>
      <w:r>
        <w:rPr>
          <w:rFonts w:ascii="Calibri" w:hAnsi="Calibri" w:eastAsia="Microsoft YaHei"/>
        </w:rPr>
        <w:t xml:space="preserve">重估能恢复部分旧域分数，支持 BN 统计偏移参与遗忘；由于重估访问了 CS 图像，不能把表8理解成无历史数据部署时自然获得的收益。</w:t>
      </w:r>
    </w:p>
    <w:p>
      <w:pPr>
        <w:pStyle w:val="Heading1"/>
      </w:pPr>
      <w:r>
        <w:rPr>
          <w:rFonts w:ascii="Calibri" w:hAnsi="Calibri" w:eastAsia="Microsoft YaHei"/>
        </w:rPr>
        <w:t xml:space="preserve">四 疑点与可改进处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已核实的数值矛盾：</w:t>
      </w:r>
      <w:r>
        <w:rPr>
          <w:rFonts w:ascii="Calibri" w:hAnsi="Calibri" w:eastAsia="Microsoft YaHei"/>
        </w:rPr>
        <w:t xml:space="preserve">Snow 的 FT 遗忘在表2与表6为 29.8，且 72.0−42.2=29.8；表3同名 FT 行为 33.2。报告表4、表5按前两表及算式写 29.8。复核时应保留两种原始记录，不用表3的 33.2 求均值。依据：表2/3/6，PDF p.5–7。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尚未解释的表间差异：</w:t>
      </w:r>
      <w:r>
        <w:rPr>
          <w:rFonts w:ascii="Calibri" w:hAnsi="Calibri" w:eastAsia="Microsoft YaHei"/>
        </w:rPr>
        <w:t xml:space="preserve">表6的 DINO+AutoAlb+CN 在 Night 为 A 61.3%、F 9.1 点；表7同名配置为 A 62.1%、F 7.9 点。正文没有交代原因，这影响对组合效果的精确复述；本报告将其列为 G04 与 G07，不假定是相同实验的重复或计算错误。应核对补充材料中的训练配置与随机种子。依据：表6/7，PDF p.7–8。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作者明确承认的局限：</w:t>
      </w:r>
      <w:r>
        <w:rPr>
          <w:rFonts w:ascii="Calibri" w:hAnsi="Calibri" w:eastAsia="Microsoft YaHei"/>
        </w:rPr>
        <w:t xml:space="preserve">即使提高了低层特征复用，后层仍可能因更抽象的域差异而遗忘；低层复用只是持续学习的一部分。若要评估完整方案，仍需在后层与多阶段序列中测旧域保持。依据：§6，PDF p.8。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诊断解释的边界：</w:t>
      </w:r>
      <w:r>
        <w:rPr>
          <w:rFonts w:ascii="Calibri" w:hAnsi="Calibri" w:eastAsia="Microsoft YaHei"/>
        </w:rPr>
        <w:t xml:space="preserve">层拼接只能测新旧网络模块的接口相容性；BN 联合重估是利用旧图像的离线分析。若要单独验证浅层权重变化与 BN 统计变化的贡献，可在相同检查点分别冻结浅层、仅重估统计、替换 CN，并报告旧新域 mIoU 与层拼接曲线。这是报告人提出的补充实验，不是论文已完成的证明。依据：§3.3、§4.4、图4–5、表5，PDF p.3、6–7。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可比性与材料缺口：</w:t>
      </w:r>
      <w:r>
        <w:rPr>
          <w:rFonts w:ascii="Calibri" w:hAnsi="Calibri" w:eastAsia="Microsoft YaHei"/>
        </w:rPr>
        <w:t xml:space="preserve">DINO 需要外部预训练，AutoAlbument 需要学习增强策略，Offline 组共同访问旧新域，只能作上界参照。表7的回放缓存容量和结果的多随机种子方差在本地正文未报告；正文引用的附录不在本地 PDF 内。比较时应记录额外数据、缓存及计算；如需严格复现，应先核对补充材料。依据：§4.3、§5.1，表3/7，PDF p.5–8。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小的标注问题：</w:t>
      </w:r>
      <w:r>
        <w:rPr>
          <w:rFonts w:ascii="Calibri" w:hAnsi="Calibri" w:eastAsia="Microsoft YaHei"/>
        </w:rPr>
        <w:t xml:space="preserve">表3图注枚举天气顺序与表头 Night/Rain/Fog/Snow 不一致；读取数值时以表头为准。依据：表3，PDF p.6。</w:t>
      </w:r>
    </w:p>
    <w:p>
      <w:pPr>
        <w:pStyle w:val="Heading1"/>
        <w:pageBreakBefore/>
        <w:keepNext/>
      </w:pPr>
      <w:r>
        <w:rPr>
          <w:rFonts w:ascii="Calibri" w:hAnsi="Calibri" w:eastAsia="Microsoft YaHei"/>
        </w:rPr>
        <w:t xml:space="preserve">五 与本课题的关系及建议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可直接借鉴的论文事实：</w:t>
      </w:r>
      <w:r>
        <w:rPr>
          <w:rFonts w:ascii="Calibri" w:hAnsi="Calibri" w:eastAsia="Microsoft YaHei"/>
        </w:rPr>
        <w:t xml:space="preserve">在有标注、已知边界的 CS→单天气设置中，旧域源训练阶段的预训练与增强影响后续遗忘，CN 能进一步降低 F；回放在表7两域的旧域保持更强。应把骨干、预训练和增强视为基线条件，而非默认把全部提升归给持续学习算法。依据：表6–8，PDF p.7–8。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与当前候选课题的差异：</w:t>
      </w:r>
      <w:r>
        <w:rPr>
          <w:rFonts w:ascii="Calibri" w:hAnsi="Calibri" w:eastAsia="Microsoft YaHei"/>
        </w:rPr>
        <w:t xml:space="preserve">项目状态提出“有标注公开数据模拟顺序到达、无显式天气域标签或切换提示”作为候选问题；原论文按已知天气子集划分、单次转域且多轮训练。原文没有证明无边界混合流、反复域切换或机器人端在线更新有效。项目设定仍未定案，见 00_management/PROJECT_STATE.md。</w:t>
      </w:r>
    </w:p>
    <w:p>
      <w:pPr>
        <w:pStyle w:val="Normal"/>
      </w:pPr>
      <w:r>
        <w:rPr>
          <w:rFonts w:ascii="Calibri" w:hAnsi="Calibri" w:eastAsia="Microsoft YaHei"/>
          <w:b/>
        </w:rPr>
        <w:t xml:space="preserve">可执行的本项目验证：</w:t>
      </w:r>
      <w:r>
        <w:rPr>
          <w:rFonts w:ascii="Calibri" w:hAnsi="Calibri" w:eastAsia="Microsoft YaHei"/>
        </w:rPr>
        <w:t xml:space="preserve">先固定 Cityscapes/ACDC 的类别映射与划分、单一骨干和预训练权重，复现 CS→Night 与 CS→Rain 的 FT、增强、CN、回放；保存两个阶段检查点，同时报告 mIoU₀,₀、mIoU₀,₁、mIoU₁,₀、mIoU₁,₁、A、F、旧样本量和训练预算。再用至少两种多天气顺序与无切换提示设置检验外推，记录每域最终 mIoU、更新时间及显存。此处是研究建议，并非已选定实验协议。</w:t>
      </w:r>
    </w:p>
    <w:p>
      <w:pPr>
        <w:pStyle w:val="Heading1"/>
      </w:pPr>
      <w:r>
        <w:rPr>
          <w:rFonts w:ascii="Calibri" w:hAnsi="Calibri" w:eastAsia="Microsoft YaHei"/>
        </w:rPr>
        <w:t xml:space="preserve">来源与核验范围</w:t>
      </w:r>
    </w:p>
    <w:p>
      <w:pPr>
        <w:pStyle w:val="Source"/>
      </w:pPr>
      <w:r>
        <w:rPr>
          <w:rFonts w:ascii="Calibri" w:hAnsi="Calibri" w:eastAsia="Microsoft YaHei"/>
        </w:rPr>
        <w:t xml:space="preserve">原始文件：第一批文献/Kalb和Beyerer - 2023 - Principles of Forgetting in Domain-Incremental Semantic Segmentation in Adverse Weather Conditions.pdf。CVF 页面：https://openaccess.thecvf.com/content/CVPR2023/html/Kalb_Principles_of_Forgetting_in_Domain-Incremental_Semantic_Segmentation_in_Adverse_Weather_CVPR_2023_paper.html 。本地文件 SHA-256：AEB28D32C0696F9716C13A64FD0A07541DA46CE77FC3C5CDC99E121312AB8CBD。论文纸本页码为 19508–19518，对应本地 PDF p.1–11。未开展代码复现；本报告数值均为论文结果或明确标注的二次计算。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07B86"/>
        <w:sz w:val="18"/>
      </w:rPr>
      <w:t>第 </w:t>
    </w:r>
    <w:fldSimple w:instr="PAGE"/>
    <w:r>
      <w:t> 页</w:t>
    </w:r>
  </w:p>
</w:ftr>
</file>

<file path=word/header1.xml><?xml version="1.0" encoding="utf-8"?>
<w:hdr xmlns:w="http://schemas.openxmlformats.org/wordprocessingml/2006/main">
  <w:p>
    <w:pPr>
      <w:jc w:val="right"/>
      <w:spacing w:after="0"/>
    </w:pPr>
    <w:r>
      <w:rPr>
        <w:rFonts w:ascii="Calibri" w:hAnsi="Calibri" w:eastAsia="Microsoft YaHei"/>
      </w:rPr>
      <w:t xml:space="preserve">LIT-010  ·  文献精读报告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</w:docDefaults>
  <w:style w:type="paragraph" w:default="1" w:styleId="Normal">
    <w:name w:val="Normal"/>
    <w:pPr>
      <w:spacing w:before="0" w:after="120" w:line="264" w:lineRule="auto"/>
    </w:pPr>
    <w:rPr>
      <w:sz w:val="22"/>
      <w:color w:val="1C2834"/>
    </w:rPr>
  </w:style>
  <w:style w:type="paragraph" w:styleId="Kicker">
    <w:name w:val="Kicker"/>
    <w:basedOn w:val="Normal"/>
    <w:pPr>
      <w:spacing w:before="0" w:after="80"/>
    </w:pPr>
    <w:rPr>
      <w:b/>
      <w:sz w:val="19"/>
      <w:color w:val="000000"/>
    </w:rPr>
  </w:style>
  <w:style w:type="paragraph" w:styleId="Title">
    <w:name w:val="Title"/>
    <w:basedOn w:val="Normal"/>
    <w:pPr>
      <w:spacing w:before="0" w:after="90"/>
      <w:keepNext/>
    </w:pPr>
    <w:rPr>
      <w:b/>
      <w:sz w:val="38"/>
      <w:color w:val="000000"/>
    </w:rPr>
  </w:style>
  <w:style w:type="paragraph" w:styleId="Subtitle">
    <w:name w:val="Subtitle"/>
    <w:basedOn w:val="Normal"/>
    <w:pPr>
      <w:spacing w:before="0" w:after="200"/>
      <w:keepNext/>
    </w:pPr>
    <w:rPr>
      <w:sz w:val="20"/>
      <w:color w:val="000000"/>
    </w:rPr>
  </w:style>
  <w:style w:type="paragraph" w:styleId="Heading1">
    <w:name w:val="heading 1"/>
    <w:basedOn w:val="Normal"/>
    <w:pPr>
      <w:spacing w:before="320" w:after="160"/>
      <w:keepNext/>
      <w:outlineLvl w:val="0"/>
    </w:pPr>
    <w:rPr>
      <w:b/>
      <w:sz w:val="32"/>
      <w:color w:val="000000"/>
    </w:rPr>
  </w:style>
  <w:style w:type="paragraph" w:styleId="Heading2">
    <w:name w:val="heading 2"/>
    <w:basedOn w:val="Normal"/>
    <w:pPr>
      <w:spacing w:before="240" w:after="120"/>
      <w:keepNext/>
      <w:outlineLvl w:val="1"/>
    </w:pPr>
    <w:rPr>
      <w:b/>
      <w:sz w:val="26"/>
      <w:color w:val="000000"/>
    </w:rPr>
  </w:style>
  <w:style w:type="paragraph" w:styleId="Heading3">
    <w:name w:val="heading 3"/>
    <w:basedOn w:val="Normal"/>
    <w:pPr>
      <w:spacing w:before="160" w:after="80"/>
      <w:keepNext/>
      <w:outlineLvl w:val="2"/>
    </w:pPr>
    <w:rPr>
      <w:b/>
      <w:sz w:val="24"/>
      <w:color w:val="000000"/>
    </w:rPr>
  </w:style>
  <w:style w:type="paragraph" w:styleId="TableText">
    <w:name w:val="Table Text"/>
    <w:basedOn w:val="Normal"/>
    <w:pPr>
      <w:spacing w:before="0" w:after="0" w:line="280" w:lineRule="auto"/>
    </w:pPr>
    <w:rPr>
      <w:sz w:val="19"/>
    </w:rPr>
  </w:style>
  <w:style w:type="paragraph" w:styleId="Caption">
    <w:name w:val="Caption"/>
    <w:basedOn w:val="Normal"/>
    <w:pPr>
      <w:spacing w:before="80" w:after="80"/>
    </w:pPr>
    <w:rPr>
      <w:sz w:val="18"/>
      <w:color w:val="000000"/>
    </w:rPr>
  </w:style>
  <w:style w:type="paragraph" w:styleId="Source">
    <w:name w:val="Source"/>
    <w:basedOn w:val="Normal"/>
    <w:pPr>
      <w:spacing w:before="0" w:after="100"/>
    </w:pPr>
    <w:rPr>
      <w:sz w:val="18"/>
      <w:color w:val="0000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恶劣天气域增量语义分割遗忘机制文献报告</dc:title>
  <dc:creator>本科毕业论文研究项目</dc:creator>
  <dcterms:created xsi:type="dcterms:W3CDTF">2026-10-18T00:00:00Z</dcterms:created>
</cp:coreProperties>
</file>