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ns1="http://schemas.openxmlformats.org/officeDocument/2006/relationships" xmlns:w="http://schemas.openxmlformats.org/wordprocessingml/2006/main">
  <w:body>
    <w:p>
      <w:pPr>
        <w:pStyle w:val="Kicker"/>
      </w:pPr>
      <w:r>
        <w:t xml:space="preserve">LIT 011 原始论文精读报告</w:t>
      </w:r>
    </w:p>
    <w:p>
      <w:pPr>
        <w:pStyle w:val="Title"/>
      </w:pPr>
      <w:r>
        <w:t xml:space="preserve">联合非平稳条件下持续语义分割文献精读报告</w:t>
      </w:r>
    </w:p>
    <w:p>
      <w:pPr>
        <w:pStyle w:val="Subtitle"/>
      </w:pPr>
      <w:r>
        <w:t xml:space="preserve">Continual Segmentation under Joint Nonstationarity</w:t>
      </w:r>
    </w:p>
    <w:p>
      <w:pPr>
        <w:pStyle w:val="Normal"/>
      </w:pPr>
      <w:r>
        <w:t xml:space="preserve">论文：Prashant Pandey、Himanshu Kumar、Devineni Sri Venkatraya Chowdary、Brejesh Lall；ICML 2026，PMLR 306。材料：本地 63 页 PDF（正文 pp.1–9；参考文献 pp.9–13；附录 pp.13–63）。阅读日期：2026-10-20。</w:t>
      </w:r>
    </w:p>
    <w:p>
      <w:pPr>
        <w:pStyle w:val="Normal"/>
      </w:pPr>
      <w:r>
        <w:t xml:space="preserve">核心判断：JASCL 将少样本类增量、域迁移和可选未标注数据合并到分割序列，GAS 与 PAS 在作者构建的医疗及道路基准上总体优于列出的对照。不过道路实验是 BDD100K／Cityscapes／IDD 的数据集与类别联合变化，按 session 多轮训练且使用标注；并非本课题候选的无域提示、纯天气变化持续分割。表间不一致、理论推导错误和协议细节缺失使复现与外推仍需核验。（论文 pp.1–9、33–45）</w:t>
      </w:r>
    </w:p>
    <w:p>
      <w:pPr>
        <w:pStyle w:val="Heading1"/>
      </w:pPr>
      <w:r>
        <w:t xml:space="preserve">一 研究问题与设定边界</w:t>
      </w:r>
    </w:p>
    <w:p>
      <w:pPr>
        <w:pStyle w:val="Normal"/>
      </w:pPr>
      <w:r>
        <w:t xml:space="preserve">作者将每一学习阶段记为 S_t，阶段内同时有类别集合 C_t、输入域 D_t 与标注预算 N_t；相邻阶段可只变类别、只变域，或两者同时变化，增量阶段标签远少于基阶段。目标是在学习新类别／新域时保留先前分割能力。论文称其为 joint nonstationarity，但“标注可用性变化”在实验中主要表现为基阶段大量标注、后续固定少样本预算，不是连续时间中任意变化的标注过程。（§3，pp.1–3）</w:t>
      </w:r>
    </w:p>
    <w:p>
      <w:pPr>
        <w:pStyle w:val="Caption"/>
      </w:pPr>
      <w:r>
        <w:t xml:space="preserve">表 1 论文设定边界。p.N 为本地 PDF 页码。</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start w:w="105" w:type="dxa"/>
          <w:end w:w="105" w:type="dxa"/>
        </w:tblCellMar>
      </w:tblPr>
      <w:tblGrid>
        <w:gridCol w:w="1650"/>
        <w:gridCol w:w="5800"/>
        <w:gridCol w:w="1910"/>
      </w:tblGrid>
      <w:tr>
        <w:trPr>
          <w:tblHeader w:val="true"/>
          <w:cantSplit/>
        </w:trPr>
        <w:tc>
          <w:tcPr>
            <w:tcW w:w="1650" w:type="dxa"/>
            <w:vAlign w:val="center"/>
            <w:shd w:fill="DCE7F3"/>
          </w:tcPr>
          <w:p>
            <w:pPr>
              <w:pStyle w:val="TableText"/>
            </w:pPr>
            <w:r>
              <w:rPr>
                <w:rFonts w:ascii="Calibri" w:hAnsi="Calibri" w:eastAsia="Microsoft YaHei"/>
                <w:b/>
              </w:rPr>
              <w:t xml:space="preserve">维度</w:t>
            </w:r>
          </w:p>
        </w:tc>
        <w:tc>
          <w:tcPr>
            <w:tcW w:w="5800" w:type="dxa"/>
            <w:vAlign w:val="center"/>
            <w:shd w:fill="DCE7F3"/>
          </w:tcPr>
          <w:p>
            <w:pPr>
              <w:pStyle w:val="TableText"/>
            </w:pPr>
            <w:r>
              <w:rPr>
                <w:rFonts w:ascii="Calibri" w:hAnsi="Calibri" w:eastAsia="Microsoft YaHei"/>
                <w:b/>
              </w:rPr>
              <w:t xml:space="preserve">论文实际设置</w:t>
            </w:r>
          </w:p>
        </w:tc>
        <w:tc>
          <w:tcPr>
            <w:tcW w:w="1910" w:type="dxa"/>
            <w:vAlign w:val="center"/>
            <w:shd w:fill="DCE7F3"/>
          </w:tcPr>
          <w:p>
            <w:pPr>
              <w:pStyle w:val="TableText"/>
            </w:pPr>
            <w:r>
              <w:rPr>
                <w:rFonts w:ascii="Calibri" w:hAnsi="Calibri" w:eastAsia="Microsoft YaHei"/>
                <w:b/>
              </w:rPr>
              <w:t xml:space="preserve">依据与边界</w:t>
            </w:r>
          </w:p>
        </w:tc>
      </w:tr>
      <w:tr>
        <w:trPr>
          <w:cantSplit/>
        </w:trPr>
        <w:tc>
          <w:tcPr>
            <w:tcW w:w="1650" w:type="dxa"/>
            <w:vAlign w:val="center"/>
          </w:tcPr>
          <w:p>
            <w:pPr>
              <w:pStyle w:val="TableText"/>
            </w:pPr>
            <w:r>
              <w:rPr>
                <w:rFonts w:ascii="Calibri" w:hAnsi="Calibri" w:eastAsia="Microsoft YaHei"/>
              </w:rPr>
              <w:t xml:space="preserve">任务与输出</w:t>
            </w:r>
          </w:p>
        </w:tc>
        <w:tc>
          <w:tcPr>
            <w:tcW w:w="5800" w:type="dxa"/>
            <w:vAlign w:val="center"/>
          </w:tcPr>
          <w:p>
            <w:pPr>
              <w:pStyle w:val="TableText"/>
            </w:pPr>
            <w:r>
              <w:rPr>
                <w:rFonts w:ascii="Calibri" w:hAnsi="Calibri" w:eastAsia="Microsoft YaHei"/>
              </w:rPr>
              <w:t xml:space="preserve">2D 道路场景和 3D 医学影像语义分割；输出逐像素／体素类别预测。附录另有手术分割与检测验证。</w:t>
            </w:r>
          </w:p>
        </w:tc>
        <w:tc>
          <w:tcPr>
            <w:tcW w:w="1910" w:type="dxa"/>
            <w:vAlign w:val="center"/>
          </w:tcPr>
          <w:p>
            <w:pPr>
              <w:pStyle w:val="TableText"/>
            </w:pPr>
            <w:r>
              <w:rPr>
                <w:rFonts w:ascii="Calibri" w:hAnsi="Calibri" w:eastAsia="Microsoft YaHei"/>
              </w:rPr>
              <w:t xml:space="preserve">§3–5，pp.3、6–8；附录 F/G，pp.34–35</w:t>
            </w:r>
          </w:p>
        </w:tc>
      </w:tr>
      <w:tr>
        <w:trPr>
          <w:cantSplit/>
        </w:trPr>
        <w:tc>
          <w:tcPr>
            <w:tcW w:w="1650" w:type="dxa"/>
            <w:vAlign w:val="center"/>
            <w:shd w:fill="F5F8FC"/>
          </w:tcPr>
          <w:p>
            <w:pPr>
              <w:pStyle w:val="TableText"/>
            </w:pPr>
            <w:r>
              <w:rPr>
                <w:rFonts w:ascii="Calibri" w:hAnsi="Calibri" w:eastAsia="Microsoft YaHei"/>
              </w:rPr>
              <w:t xml:space="preserve">在线程度</w:t>
            </w:r>
          </w:p>
        </w:tc>
        <w:tc>
          <w:tcPr>
            <w:tcW w:w="5800" w:type="dxa"/>
            <w:vAlign w:val="center"/>
            <w:shd w:fill="F5F8FC"/>
          </w:tcPr>
          <w:p>
            <w:pPr>
              <w:pStyle w:val="TableText"/>
            </w:pPr>
            <w:r>
              <w:rPr>
                <w:rFonts w:ascii="Calibri" w:hAnsi="Calibri" w:eastAsia="Microsoft YaHei"/>
              </w:rPr>
              <w:t xml:space="preserve">按明示 session 分阶段训练；医学各阶段 200 epoch，自然场景 100 epoch，SAM 10 epoch。不是逐样本单遍在线更新。</w:t>
            </w:r>
          </w:p>
        </w:tc>
        <w:tc>
          <w:tcPr>
            <w:tcW w:w="1910" w:type="dxa"/>
            <w:vAlign w:val="center"/>
            <w:shd w:fill="F5F8FC"/>
          </w:tcPr>
          <w:p>
            <w:pPr>
              <w:pStyle w:val="TableText"/>
            </w:pPr>
            <w:r>
              <w:rPr>
                <w:rFonts w:ascii="Calibri" w:hAnsi="Calibri" w:eastAsia="Microsoft YaHei"/>
              </w:rPr>
              <w:t xml:space="preserve">附录 H，p.35</w:t>
            </w:r>
          </w:p>
        </w:tc>
      </w:tr>
      <w:tr>
        <w:trPr>
          <w:cantSplit/>
        </w:trPr>
        <w:tc>
          <w:tcPr>
            <w:tcW w:w="1650" w:type="dxa"/>
            <w:vAlign w:val="center"/>
          </w:tcPr>
          <w:p>
            <w:pPr>
              <w:pStyle w:val="TableText"/>
            </w:pPr>
            <w:r>
              <w:rPr>
                <w:rFonts w:ascii="Calibri" w:hAnsi="Calibri" w:eastAsia="Microsoft YaHei"/>
              </w:rPr>
              <w:t xml:space="preserve">持续序列</w:t>
            </w:r>
          </w:p>
        </w:tc>
        <w:tc>
          <w:tcPr>
            <w:tcW w:w="5800" w:type="dxa"/>
            <w:vAlign w:val="center"/>
          </w:tcPr>
          <w:p>
            <w:pPr>
              <w:pStyle w:val="TableText"/>
            </w:pPr>
            <w:r>
              <w:rPr>
                <w:rFonts w:ascii="Calibri" w:hAnsi="Calibri" w:eastAsia="Microsoft YaHei"/>
              </w:rPr>
              <w:t xml:space="preserve">基阶段 S0 数据较多，后续 2–5 个增量阶段。不同基准允许新类别、新域、类别重现或混合域；每阶段结束测当前及既有类别。</w:t>
            </w:r>
          </w:p>
        </w:tc>
        <w:tc>
          <w:tcPr>
            <w:tcW w:w="1910" w:type="dxa"/>
            <w:vAlign w:val="center"/>
          </w:tcPr>
          <w:p>
            <w:pPr>
              <w:pStyle w:val="TableText"/>
            </w:pPr>
            <w:r>
              <w:rPr>
                <w:rFonts w:ascii="Calibri" w:hAnsi="Calibri" w:eastAsia="Microsoft YaHei"/>
              </w:rPr>
              <w:t xml:space="preserve">§3、§5，pp.3、6；表 1，p.7</w:t>
            </w:r>
          </w:p>
        </w:tc>
      </w:tr>
      <w:tr>
        <w:trPr>
          <w:cantSplit/>
        </w:trPr>
        <w:tc>
          <w:tcPr>
            <w:tcW w:w="1650" w:type="dxa"/>
            <w:vAlign w:val="center"/>
            <w:shd w:fill="F5F8FC"/>
          </w:tcPr>
          <w:p>
            <w:pPr>
              <w:pStyle w:val="TableText"/>
            </w:pPr>
            <w:r>
              <w:rPr>
                <w:rFonts w:ascii="Calibri" w:hAnsi="Calibri" w:eastAsia="Microsoft YaHei"/>
              </w:rPr>
              <w:t xml:space="preserve">增量类型</w:t>
            </w:r>
          </w:p>
        </w:tc>
        <w:tc>
          <w:tcPr>
            <w:tcW w:w="5800" w:type="dxa"/>
            <w:vAlign w:val="center"/>
            <w:shd w:fill="F5F8FC"/>
          </w:tcPr>
          <w:p>
            <w:pPr>
              <w:pStyle w:val="TableText"/>
            </w:pPr>
            <w:r>
              <w:rPr>
                <w:rFonts w:ascii="Calibri" w:hAnsi="Calibri" w:eastAsia="Microsoft YaHei"/>
              </w:rPr>
              <w:t xml:space="preserve">类增量、域增量及二者组合；Med JASCL-Disjoint 类与域均不重现，Mixed／Natural 的部分类别或域重现。</w:t>
            </w:r>
          </w:p>
        </w:tc>
        <w:tc>
          <w:tcPr>
            <w:tcW w:w="1910" w:type="dxa"/>
            <w:vAlign w:val="center"/>
            <w:shd w:fill="F5F8FC"/>
          </w:tcPr>
          <w:p>
            <w:pPr>
              <w:pStyle w:val="TableText"/>
            </w:pPr>
            <w:r>
              <w:rPr>
                <w:rFonts w:ascii="Calibri" w:hAnsi="Calibri" w:eastAsia="Microsoft YaHei"/>
              </w:rPr>
              <w:t xml:space="preserve">§3、§4，pp.2–3、6；附录 F，pp.34–35</w:t>
            </w:r>
          </w:p>
        </w:tc>
      </w:tr>
      <w:tr>
        <w:trPr>
          <w:cantSplit/>
        </w:trPr>
        <w:tc>
          <w:tcPr>
            <w:tcW w:w="1650" w:type="dxa"/>
            <w:vAlign w:val="center"/>
          </w:tcPr>
          <w:p>
            <w:pPr>
              <w:pStyle w:val="TableText"/>
            </w:pPr>
            <w:r>
              <w:rPr>
                <w:rFonts w:ascii="Calibri" w:hAnsi="Calibri" w:eastAsia="Microsoft YaHei"/>
              </w:rPr>
              <w:t xml:space="preserve">监督信息</w:t>
            </w:r>
          </w:p>
        </w:tc>
        <w:tc>
          <w:tcPr>
            <w:tcW w:w="5800" w:type="dxa"/>
            <w:vAlign w:val="center"/>
          </w:tcPr>
          <w:p>
            <w:pPr>
              <w:pStyle w:val="TableText"/>
            </w:pPr>
            <w:r>
              <w:rPr>
                <w:rFonts w:ascii="Calibri" w:hAnsi="Calibri" w:eastAsia="Microsoft YaHei"/>
              </w:rPr>
              <w:t xml:space="preserve">增量阶段有像素／体素真值：医学常用每类 5 个标注样本，道路每类 10 个；半监督变体另用当前阶段未标注图像。</w:t>
            </w:r>
          </w:p>
        </w:tc>
        <w:tc>
          <w:tcPr>
            <w:tcW w:w="1910" w:type="dxa"/>
            <w:vAlign w:val="center"/>
          </w:tcPr>
          <w:p>
            <w:pPr>
              <w:pStyle w:val="TableText"/>
            </w:pPr>
            <w:r>
              <w:rPr>
                <w:rFonts w:ascii="Calibri" w:hAnsi="Calibri" w:eastAsia="Microsoft YaHei"/>
              </w:rPr>
              <w:t xml:space="preserve">§3–4，pp.3、6；表 14–16，pp.43–44</w:t>
            </w:r>
          </w:p>
        </w:tc>
      </w:tr>
      <w:tr>
        <w:trPr>
          <w:cantSplit/>
        </w:trPr>
        <w:tc>
          <w:tcPr>
            <w:tcW w:w="1650" w:type="dxa"/>
            <w:vAlign w:val="center"/>
            <w:shd w:fill="F5F8FC"/>
          </w:tcPr>
          <w:p>
            <w:pPr>
              <w:pStyle w:val="TableText"/>
            </w:pPr>
            <w:r>
              <w:rPr>
                <w:rFonts w:ascii="Calibri" w:hAnsi="Calibri" w:eastAsia="Microsoft YaHei"/>
              </w:rPr>
              <w:t xml:space="preserve">边界与域提示</w:t>
            </w:r>
          </w:p>
        </w:tc>
        <w:tc>
          <w:tcPr>
            <w:tcW w:w="5800" w:type="dxa"/>
            <w:vAlign w:val="center"/>
            <w:shd w:fill="F5F8FC"/>
          </w:tcPr>
          <w:p>
            <w:pPr>
              <w:pStyle w:val="TableText"/>
            </w:pPr>
            <w:r>
              <w:rPr>
                <w:rFonts w:ascii="Calibri" w:hAnsi="Calibri" w:eastAsia="Microsoft YaHei"/>
              </w:rPr>
              <w:t xml:space="preserve">训练按预定义 session、数据集和类别清单推进，因此训练阶段边界已知。测试时是否提供域 ID、如何检测无提示切换：未报告。</w:t>
            </w:r>
          </w:p>
        </w:tc>
        <w:tc>
          <w:tcPr>
            <w:tcW w:w="1910" w:type="dxa"/>
            <w:vAlign w:val="center"/>
            <w:shd w:fill="F5F8FC"/>
          </w:tcPr>
          <w:p>
            <w:pPr>
              <w:pStyle w:val="TableText"/>
            </w:pPr>
            <w:r>
              <w:rPr>
                <w:rFonts w:ascii="Calibri" w:hAnsi="Calibri" w:eastAsia="Microsoft YaHei"/>
              </w:rPr>
              <w:t xml:space="preserve">表 1、表 12–16，pp.7、42–44</w:t>
            </w:r>
          </w:p>
        </w:tc>
      </w:tr>
      <w:tr>
        <w:trPr>
          <w:cantSplit/>
        </w:trPr>
        <w:tc>
          <w:tcPr>
            <w:tcW w:w="1650" w:type="dxa"/>
            <w:vAlign w:val="center"/>
          </w:tcPr>
          <w:p>
            <w:pPr>
              <w:pStyle w:val="TableText"/>
            </w:pPr>
            <w:r>
              <w:rPr>
                <w:rFonts w:ascii="Calibri" w:hAnsi="Calibri" w:eastAsia="Microsoft YaHei"/>
              </w:rPr>
              <w:t xml:space="preserve">旧数据与存储</w:t>
            </w:r>
          </w:p>
        </w:tc>
        <w:tc>
          <w:tcPr>
            <w:tcW w:w="5800" w:type="dxa"/>
            <w:vAlign w:val="center"/>
          </w:tcPr>
          <w:p>
            <w:pPr>
              <w:pStyle w:val="TableText"/>
            </w:pPr>
            <w:r>
              <w:rPr>
                <w:rFonts w:ascii="Calibri" w:hAnsi="Calibri" w:eastAsia="Microsoft YaHei"/>
              </w:rPr>
              <w:t xml:space="preserve">正文称旧的类别–域组合不再到达；图 3 显示跨阶段保存／回放类原型。是否保存旧原图、原型内存预算与更新方式：未报告。附录另做旧域 CT 未标注数据补充实验。</w:t>
            </w:r>
          </w:p>
        </w:tc>
        <w:tc>
          <w:tcPr>
            <w:tcW w:w="1910" w:type="dxa"/>
            <w:vAlign w:val="center"/>
          </w:tcPr>
          <w:p>
            <w:pPr>
              <w:pStyle w:val="TableText"/>
            </w:pPr>
            <w:r>
              <w:rPr>
                <w:rFonts w:ascii="Calibri" w:hAnsi="Calibri" w:eastAsia="Microsoft YaHei"/>
              </w:rPr>
              <w:t xml:space="preserve">§3，p.2；图 3，p.7；表 21，p.45</w:t>
            </w:r>
          </w:p>
        </w:tc>
      </w:tr>
      <w:tr>
        <w:trPr>
          <w:cantSplit/>
        </w:trPr>
        <w:tc>
          <w:tcPr>
            <w:tcW w:w="1650" w:type="dxa"/>
            <w:vAlign w:val="center"/>
            <w:shd w:fill="F5F8FC"/>
          </w:tcPr>
          <w:p>
            <w:pPr>
              <w:pStyle w:val="TableText"/>
            </w:pPr>
            <w:r>
              <w:rPr>
                <w:rFonts w:ascii="Calibri" w:hAnsi="Calibri" w:eastAsia="Microsoft YaHei"/>
              </w:rPr>
              <w:t xml:space="preserve">评价时点</w:t>
            </w:r>
          </w:p>
        </w:tc>
        <w:tc>
          <w:tcPr>
            <w:tcW w:w="5800" w:type="dxa"/>
            <w:vAlign w:val="center"/>
            <w:shd w:fill="F5F8FC"/>
          </w:tcPr>
          <w:p>
            <w:pPr>
              <w:pStyle w:val="TableText"/>
            </w:pPr>
            <w:r>
              <w:rPr>
                <w:rFonts w:ascii="Calibri" w:hAnsi="Calibri" w:eastAsia="Microsoft YaHei"/>
              </w:rPr>
              <w:t xml:space="preserve">每阶段训练完成后，对截至该阶段出现过的类别计算汇总分数；多数主表不分开给旧域与新域性能。</w:t>
            </w:r>
          </w:p>
        </w:tc>
        <w:tc>
          <w:tcPr>
            <w:tcW w:w="1910" w:type="dxa"/>
            <w:vAlign w:val="center"/>
            <w:shd w:fill="F5F8FC"/>
          </w:tcPr>
          <w:p>
            <w:pPr>
              <w:pStyle w:val="TableText"/>
            </w:pPr>
            <w:r>
              <w:rPr>
                <w:rFonts w:ascii="Calibri" w:hAnsi="Calibri" w:eastAsia="Microsoft YaHei"/>
              </w:rPr>
              <w:t xml:space="preserve">§5，p.6；表 2–8，pp.7–9</w:t>
            </w:r>
          </w:p>
        </w:tc>
      </w:tr>
    </w:tbl>
    <w:p>
      <w:pPr>
        <w:pStyle w:val="Normal"/>
      </w:pPr>
      <w:r>
        <w:t xml:space="preserve">术语核对：道路基准中的“domain”主要是不同城市／地区采集的数据集，而非已控制其他因素的天气或光照条件；因此它提供联合变化压力测试，不单独证明天气域增量能力。（表 1、15–16，pp.7、44）</w:t>
      </w:r>
    </w:p>
    <w:p>
      <w:pPr>
        <w:pStyle w:val="Heading1"/>
      </w:pPr>
      <w:r>
        <w:t xml:space="preserve">二 方法机制与实现</w:t>
      </w:r>
    </w:p>
    <w:p>
      <w:pPr>
        <w:pStyle w:val="Normal"/>
      </w:pPr>
      <w:r>
        <w:t xml:space="preserve">JASCL 的第一部分 GAS 仅作用于分割头末层分类器 F：累计该层权重的平方梯度 G，计算 1/(G+ε)，经全矩阵 min–max 归一化得到参数级噪声尺度，再对权重加入相应高斯扰动。大梯度权重受较小扰动，小梯度权重受较大扰动。实验默认 ε=10⁻⁸、噪声方差 1；附录称医学与 SAM 增量阶段冻结除最后一层外的参数，而 DeepLab 自然场景不冻结。GAS 是随机正则化，不能仅由“当前梯度大”推得“该权重保护了旧任务”。（式 1，p.3；附录 C/H，pp.32–35、45 表 19）</w:t>
      </w:r>
    </w:p>
    <w:p>
      <w:pPr>
        <w:pStyle w:val="Normal"/>
      </w:pPr>
      <w:r>
        <w:t xml:space="preserve">第二部分 PAS 在有未标注数据时使用 mean teacher。每类原型由有标签样本的中间特征聚合；只有预测置信度和到预测类别原型的余弦相似度均超过阈值的伪标签进入一致性损失，文中默认两阈值均为 0.7。式 5 要求教师与学生均通过有效性过滤；总损失为监督交叉熵加一致性项，正文另提原型回放损失 Lproto，却未给出完整公式、权重与缓存细节。原型来自有标注当前数据，旧类原型如何更新也未详细交代。（§3.2，式 3–5，pp.5–6；图 3，p.7；附录 D，p.33）</w:t>
      </w:r>
    </w:p>
    <w:p>
      <w:pPr>
        <w:pStyle w:val="Normal"/>
      </w:pPr>
      <w:r>
        <w:t xml:space="preserve">论文将 GAS 与对角 Fisher、PAC-Bayes 及 PAS 误差递推联系起来。这些结论依赖平方梯度近似 Fisher、曲率异质性、过滤规则可辨别等假设；文中实验没有直接检验这些假设。实现细节只报告训练 epoch 与 A100 40GB；优化器、学习率、batch size、随机种子、重复实验方差、数据拆分脚本和完整 Lproto 设置在本地 PDF 中未报告。（§3.1–3.2，pp.3–6；附录 A/B/H，pp.14–32、35）</w:t>
      </w:r>
    </w:p>
    <w:p>
      <w:pPr>
        <w:pStyle w:val="Heading1"/>
      </w:pPr>
      <w:r>
        <w:t xml:space="preserve">三 基准与实验分组</w:t>
      </w:r>
    </w:p>
    <w:p>
      <w:pPr>
        <w:pStyle w:val="Normal"/>
      </w:pPr>
      <w:r>
        <w:t xml:space="preserve">五个核心基准分别为 Med Disjoint（TS→AMOS→BCV→MOTS→BraTS→VerSe，6 阶段、37 类）、Med Mixed（AMOS 起始、5 阶段、35 类，部分重复）、Med SS（Disjoint 加 8–30 个未标注样本／阶段）、Natural（BDD→IDD→BDD/IDD，3 阶段）和 SS Natural（BDD→Cityscapes→IDD→IDD，4 阶段，每新增类 400 张未标注图像）。论文主表的“方法”与骨干不可混淆：U-Net、MedFormer、DeepLab、SAM 是架构，UCL／GAPS 等是学习方法。附录表 12–16 另列来源数据池 Train/Val/Test 数量，不能直接把 Train 列当成实际 K-shot 训练量。（表 1，p.7；表 12–16，pp.42–44）</w:t>
      </w:r>
    </w:p>
    <w:p>
      <w:pPr>
        <w:pStyle w:val="Caption"/>
      </w:pPr>
      <w:r>
        <w:t xml:space="preserve">表 2 可比较实验组。医学 Dice 为 0–1；道路 mIoU 为 0–100。组号对应表 4。</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start w:w="105" w:type="dxa"/>
          <w:end w:w="105" w:type="dxa"/>
        </w:tblCellMar>
      </w:tblPr>
      <w:tblGrid>
        <w:gridCol w:w="530"/>
        <w:gridCol w:w="1770"/>
        <w:gridCol w:w="1160"/>
        <w:gridCol w:w="1900"/>
        <w:gridCol w:w="3040"/>
        <w:gridCol w:w="960"/>
      </w:tblGrid>
      <w:tr>
        <w:trPr>
          <w:tblHeader w:val="true"/>
          <w:cantSplit/>
        </w:trPr>
        <w:tc>
          <w:tcPr>
            <w:tcW w:w="530" w:type="dxa"/>
            <w:vAlign w:val="center"/>
            <w:shd w:fill="DCE7F3"/>
          </w:tcPr>
          <w:p>
            <w:pPr>
              <w:pStyle w:val="TableText"/>
            </w:pPr>
            <w:r>
              <w:rPr>
                <w:rFonts w:ascii="Calibri" w:hAnsi="Calibri" w:eastAsia="Microsoft YaHei"/>
                <w:b/>
              </w:rPr>
              <w:t xml:space="preserve">组号</w:t>
            </w:r>
          </w:p>
        </w:tc>
        <w:tc>
          <w:tcPr>
            <w:tcW w:w="1770" w:type="dxa"/>
            <w:vAlign w:val="center"/>
            <w:shd w:fill="DCE7F3"/>
          </w:tcPr>
          <w:p>
            <w:pPr>
              <w:pStyle w:val="TableText"/>
            </w:pPr>
            <w:r>
              <w:rPr>
                <w:rFonts w:ascii="Calibri" w:hAnsi="Calibri" w:eastAsia="Microsoft YaHei"/>
                <w:b/>
              </w:rPr>
              <w:t xml:space="preserve">角色／方法</w:t>
            </w:r>
          </w:p>
        </w:tc>
        <w:tc>
          <w:tcPr>
            <w:tcW w:w="1160" w:type="dxa"/>
            <w:vAlign w:val="center"/>
            <w:shd w:fill="DCE7F3"/>
          </w:tcPr>
          <w:p>
            <w:pPr>
              <w:pStyle w:val="TableText"/>
            </w:pPr>
            <w:r>
              <w:rPr>
                <w:rFonts w:ascii="Calibri" w:hAnsi="Calibri" w:eastAsia="Microsoft YaHei"/>
                <w:b/>
              </w:rPr>
              <w:t xml:space="preserve">骨干</w:t>
            </w:r>
          </w:p>
        </w:tc>
        <w:tc>
          <w:tcPr>
            <w:tcW w:w="1900" w:type="dxa"/>
            <w:vAlign w:val="center"/>
            <w:shd w:fill="DCE7F3"/>
          </w:tcPr>
          <w:p>
            <w:pPr>
              <w:pStyle w:val="TableText"/>
            </w:pPr>
            <w:r>
              <w:rPr>
                <w:rFonts w:ascii="Calibri" w:hAnsi="Calibri" w:eastAsia="Microsoft YaHei"/>
                <w:b/>
              </w:rPr>
              <w:t xml:space="preserve">数据与阶段</w:t>
            </w:r>
          </w:p>
        </w:tc>
        <w:tc>
          <w:tcPr>
            <w:tcW w:w="3040" w:type="dxa"/>
            <w:vAlign w:val="center"/>
            <w:shd w:fill="DCE7F3"/>
          </w:tcPr>
          <w:p>
            <w:pPr>
              <w:pStyle w:val="TableText"/>
            </w:pPr>
            <w:r>
              <w:rPr>
                <w:rFonts w:ascii="Calibri" w:hAnsi="Calibri" w:eastAsia="Microsoft YaHei"/>
                <w:b/>
              </w:rPr>
              <w:t xml:space="preserve">训练与评价协议</w:t>
            </w:r>
          </w:p>
        </w:tc>
        <w:tc>
          <w:tcPr>
            <w:tcW w:w="960" w:type="dxa"/>
            <w:vAlign w:val="center"/>
            <w:shd w:fill="DCE7F3"/>
          </w:tcPr>
          <w:p>
            <w:pPr>
              <w:pStyle w:val="TableText"/>
            </w:pPr>
            <w:r>
              <w:rPr>
                <w:rFonts w:ascii="Calibri" w:hAnsi="Calibri" w:eastAsia="Microsoft YaHei"/>
                <w:b/>
              </w:rPr>
              <w:t xml:space="preserve">依据</w:t>
            </w:r>
          </w:p>
        </w:tc>
      </w:tr>
      <w:tr>
        <w:trPr>
          <w:cantSplit/>
        </w:trPr>
        <w:tc>
          <w:tcPr>
            <w:tcW w:w="530" w:type="dxa"/>
            <w:vAlign w:val="center"/>
          </w:tcPr>
          <w:p>
            <w:pPr>
              <w:pStyle w:val="TableText"/>
            </w:pPr>
            <w:r>
              <w:rPr>
                <w:rFonts w:ascii="Calibri" w:hAnsi="Calibri" w:eastAsia="Microsoft YaHei"/>
              </w:rPr>
              <w:t xml:space="preserve">G01</w:t>
            </w:r>
          </w:p>
        </w:tc>
        <w:tc>
          <w:tcPr>
            <w:tcW w:w="1770" w:type="dxa"/>
            <w:vAlign w:val="center"/>
          </w:tcPr>
          <w:p>
            <w:pPr>
              <w:pStyle w:val="TableText"/>
            </w:pPr>
            <w:r>
              <w:rPr>
                <w:rFonts w:ascii="Calibri" w:hAnsi="Calibri" w:eastAsia="Microsoft YaHei"/>
              </w:rPr>
              <w:t xml:space="preserve">对照 Vanilla</w:t>
            </w:r>
          </w:p>
        </w:tc>
        <w:tc>
          <w:tcPr>
            <w:tcW w:w="1160" w:type="dxa"/>
            <w:vAlign w:val="center"/>
          </w:tcPr>
          <w:p>
            <w:pPr>
              <w:pStyle w:val="TableText"/>
            </w:pPr>
            <w:r>
              <w:rPr>
                <w:rFonts w:ascii="Calibri" w:hAnsi="Calibri" w:eastAsia="Microsoft YaHei"/>
              </w:rPr>
              <w:t xml:space="preserve">U-Net</w:t>
            </w:r>
          </w:p>
        </w:tc>
        <w:tc>
          <w:tcPr>
            <w:tcW w:w="1900" w:type="dxa"/>
            <w:vAlign w:val="center"/>
          </w:tcPr>
          <w:p>
            <w:pPr>
              <w:pStyle w:val="TableText"/>
            </w:pPr>
            <w:r>
              <w:rPr>
                <w:rFonts w:ascii="Calibri" w:hAnsi="Calibri" w:eastAsia="Microsoft YaHei"/>
              </w:rPr>
              <w:t xml:space="preserve">Med Disjoint，S0–S5</w:t>
            </w:r>
          </w:p>
        </w:tc>
        <w:tc>
          <w:tcPr>
            <w:tcW w:w="3040" w:type="dxa"/>
            <w:vAlign w:val="center"/>
          </w:tcPr>
          <w:p>
            <w:pPr>
              <w:pStyle w:val="TableText"/>
            </w:pPr>
            <w:r>
              <w:rPr>
                <w:rFonts w:ascii="Calibri" w:hAnsi="Calibri" w:eastAsia="Microsoft YaHei"/>
              </w:rPr>
              <w:t xml:space="preserve">5-shot；增量期仅末层可训；无 SS</w:t>
            </w:r>
          </w:p>
        </w:tc>
        <w:tc>
          <w:tcPr>
            <w:tcW w:w="960" w:type="dxa"/>
            <w:vAlign w:val="center"/>
          </w:tcPr>
          <w:p>
            <w:pPr>
              <w:pStyle w:val="TableText"/>
            </w:pPr>
            <w:r>
              <w:rPr>
                <w:rFonts w:ascii="Calibri" w:hAnsi="Calibri" w:eastAsia="Microsoft YaHei"/>
              </w:rPr>
              <w:t xml:space="preserve">表 3；表 19</w:t>
            </w:r>
          </w:p>
        </w:tc>
      </w:tr>
      <w:tr>
        <w:trPr>
          <w:cantSplit/>
        </w:trPr>
        <w:tc>
          <w:tcPr>
            <w:tcW w:w="530" w:type="dxa"/>
            <w:vAlign w:val="center"/>
            <w:shd w:fill="F5F8FC"/>
          </w:tcPr>
          <w:p>
            <w:pPr>
              <w:pStyle w:val="TableText"/>
            </w:pPr>
            <w:r>
              <w:rPr>
                <w:rFonts w:ascii="Calibri" w:hAnsi="Calibri" w:eastAsia="Microsoft YaHei"/>
              </w:rPr>
              <w:t xml:space="preserve">G02</w:t>
            </w:r>
          </w:p>
        </w:tc>
        <w:tc>
          <w:tcPr>
            <w:tcW w:w="1770" w:type="dxa"/>
            <w:vAlign w:val="center"/>
            <w:shd w:fill="F5F8FC"/>
          </w:tcPr>
          <w:p>
            <w:pPr>
              <w:pStyle w:val="TableText"/>
            </w:pPr>
            <w:r>
              <w:rPr>
                <w:rFonts w:ascii="Calibri" w:hAnsi="Calibri" w:eastAsia="Microsoft YaHei"/>
              </w:rPr>
              <w:t xml:space="preserve">本文 JASCL</w:t>
            </w:r>
          </w:p>
        </w:tc>
        <w:tc>
          <w:tcPr>
            <w:tcW w:w="1160" w:type="dxa"/>
            <w:vAlign w:val="center"/>
            <w:shd w:fill="F5F8FC"/>
          </w:tcPr>
          <w:p>
            <w:pPr>
              <w:pStyle w:val="TableText"/>
            </w:pPr>
            <w:r>
              <w:rPr>
                <w:rFonts w:ascii="Calibri" w:hAnsi="Calibri" w:eastAsia="Microsoft YaHei"/>
              </w:rPr>
              <w:t xml:space="preserve">U-Net</w:t>
            </w:r>
          </w:p>
        </w:tc>
        <w:tc>
          <w:tcPr>
            <w:tcW w:w="1900" w:type="dxa"/>
            <w:vAlign w:val="center"/>
            <w:shd w:fill="F5F8FC"/>
          </w:tcPr>
          <w:p>
            <w:pPr>
              <w:pStyle w:val="TableText"/>
            </w:pPr>
            <w:r>
              <w:rPr>
                <w:rFonts w:ascii="Calibri" w:hAnsi="Calibri" w:eastAsia="Microsoft YaHei"/>
              </w:rPr>
              <w:t xml:space="preserve">Med Disjoint，S0–S5</w:t>
            </w:r>
          </w:p>
        </w:tc>
        <w:tc>
          <w:tcPr>
            <w:tcW w:w="3040" w:type="dxa"/>
            <w:vAlign w:val="center"/>
            <w:shd w:fill="F5F8FC"/>
          </w:tcPr>
          <w:p>
            <w:pPr>
              <w:pStyle w:val="TableText"/>
            </w:pPr>
            <w:r>
              <w:rPr>
                <w:rFonts w:ascii="Calibri" w:hAnsi="Calibri" w:eastAsia="Microsoft YaHei"/>
              </w:rPr>
              <w:t xml:space="preserve">同 G01；GAS；原型回放</w:t>
            </w:r>
          </w:p>
        </w:tc>
        <w:tc>
          <w:tcPr>
            <w:tcW w:w="960" w:type="dxa"/>
            <w:vAlign w:val="center"/>
            <w:shd w:fill="F5F8FC"/>
          </w:tcPr>
          <w:p>
            <w:pPr>
              <w:pStyle w:val="TableText"/>
            </w:pPr>
            <w:r>
              <w:rPr>
                <w:rFonts w:ascii="Calibri" w:hAnsi="Calibri" w:eastAsia="Microsoft YaHei"/>
              </w:rPr>
              <w:t xml:space="preserve">表 3；表 19</w:t>
            </w:r>
          </w:p>
        </w:tc>
      </w:tr>
      <w:tr>
        <w:trPr>
          <w:cantSplit/>
        </w:trPr>
        <w:tc>
          <w:tcPr>
            <w:tcW w:w="530" w:type="dxa"/>
            <w:vAlign w:val="center"/>
          </w:tcPr>
          <w:p>
            <w:pPr>
              <w:pStyle w:val="TableText"/>
            </w:pPr>
            <w:r>
              <w:rPr>
                <w:rFonts w:ascii="Calibri" w:hAnsi="Calibri" w:eastAsia="Microsoft YaHei"/>
              </w:rPr>
              <w:t xml:space="preserve">G03</w:t>
            </w:r>
          </w:p>
        </w:tc>
        <w:tc>
          <w:tcPr>
            <w:tcW w:w="1770" w:type="dxa"/>
            <w:vAlign w:val="center"/>
          </w:tcPr>
          <w:p>
            <w:pPr>
              <w:pStyle w:val="TableText"/>
            </w:pPr>
            <w:r>
              <w:rPr>
                <w:rFonts w:ascii="Calibri" w:hAnsi="Calibri" w:eastAsia="Microsoft YaHei"/>
              </w:rPr>
              <w:t xml:space="preserve">对照 UCL</w:t>
            </w:r>
          </w:p>
        </w:tc>
        <w:tc>
          <w:tcPr>
            <w:tcW w:w="1160" w:type="dxa"/>
            <w:vAlign w:val="center"/>
          </w:tcPr>
          <w:p>
            <w:pPr>
              <w:pStyle w:val="TableText"/>
            </w:pPr>
            <w:r>
              <w:rPr>
                <w:rFonts w:ascii="Calibri" w:hAnsi="Calibri" w:eastAsia="Microsoft YaHei"/>
              </w:rPr>
              <w:t xml:space="preserve">未报告</w:t>
            </w:r>
          </w:p>
        </w:tc>
        <w:tc>
          <w:tcPr>
            <w:tcW w:w="1900" w:type="dxa"/>
            <w:vAlign w:val="center"/>
          </w:tcPr>
          <w:p>
            <w:pPr>
              <w:pStyle w:val="TableText"/>
            </w:pPr>
            <w:r>
              <w:rPr>
                <w:rFonts w:ascii="Calibri" w:hAnsi="Calibri" w:eastAsia="Microsoft YaHei"/>
              </w:rPr>
              <w:t xml:space="preserve">Med Disjoint，S0–S2</w:t>
            </w:r>
          </w:p>
        </w:tc>
        <w:tc>
          <w:tcPr>
            <w:tcW w:w="3040" w:type="dxa"/>
            <w:vAlign w:val="center"/>
          </w:tcPr>
          <w:p>
            <w:pPr>
              <w:pStyle w:val="TableText"/>
            </w:pPr>
            <w:r>
              <w:rPr>
                <w:rFonts w:ascii="Calibri" w:hAnsi="Calibri" w:eastAsia="Microsoft YaHei"/>
              </w:rPr>
              <w:t xml:space="preserve">5-shot；基线具体骨干/冻结未逐项报告</w:t>
            </w:r>
          </w:p>
        </w:tc>
        <w:tc>
          <w:tcPr>
            <w:tcW w:w="960" w:type="dxa"/>
            <w:vAlign w:val="center"/>
          </w:tcPr>
          <w:p>
            <w:pPr>
              <w:pStyle w:val="TableText"/>
            </w:pPr>
            <w:r>
              <w:rPr>
                <w:rFonts w:ascii="Calibri" w:hAnsi="Calibri" w:eastAsia="Microsoft YaHei"/>
              </w:rPr>
              <w:t xml:space="preserve">表 2</w:t>
            </w:r>
          </w:p>
        </w:tc>
      </w:tr>
      <w:tr>
        <w:trPr>
          <w:cantSplit/>
        </w:trPr>
        <w:tc>
          <w:tcPr>
            <w:tcW w:w="530" w:type="dxa"/>
            <w:vAlign w:val="center"/>
            <w:shd w:fill="F5F8FC"/>
          </w:tcPr>
          <w:p>
            <w:pPr>
              <w:pStyle w:val="TableText"/>
            </w:pPr>
            <w:r>
              <w:rPr>
                <w:rFonts w:ascii="Calibri" w:hAnsi="Calibri" w:eastAsia="Microsoft YaHei"/>
              </w:rPr>
              <w:t xml:space="preserve">G04</w:t>
            </w:r>
          </w:p>
        </w:tc>
        <w:tc>
          <w:tcPr>
            <w:tcW w:w="1770" w:type="dxa"/>
            <w:vAlign w:val="center"/>
            <w:shd w:fill="F5F8FC"/>
          </w:tcPr>
          <w:p>
            <w:pPr>
              <w:pStyle w:val="TableText"/>
            </w:pPr>
            <w:r>
              <w:rPr>
                <w:rFonts w:ascii="Calibri" w:hAnsi="Calibri" w:eastAsia="Microsoft YaHei"/>
              </w:rPr>
              <w:t xml:space="preserve">对照 Vanilla</w:t>
            </w:r>
          </w:p>
        </w:tc>
        <w:tc>
          <w:tcPr>
            <w:tcW w:w="1160" w:type="dxa"/>
            <w:vAlign w:val="center"/>
            <w:shd w:fill="F5F8FC"/>
          </w:tcPr>
          <w:p>
            <w:pPr>
              <w:pStyle w:val="TableText"/>
            </w:pPr>
            <w:r>
              <w:rPr>
                <w:rFonts w:ascii="Calibri" w:hAnsi="Calibri" w:eastAsia="Microsoft YaHei"/>
              </w:rPr>
              <w:t xml:space="preserve">U-Net</w:t>
            </w:r>
          </w:p>
        </w:tc>
        <w:tc>
          <w:tcPr>
            <w:tcW w:w="1900" w:type="dxa"/>
            <w:vAlign w:val="center"/>
            <w:shd w:fill="F5F8FC"/>
          </w:tcPr>
          <w:p>
            <w:pPr>
              <w:pStyle w:val="TableText"/>
            </w:pPr>
            <w:r>
              <w:rPr>
                <w:rFonts w:ascii="Calibri" w:hAnsi="Calibri" w:eastAsia="Microsoft YaHei"/>
              </w:rPr>
              <w:t xml:space="preserve">Med SS，S0–S5</w:t>
            </w:r>
          </w:p>
        </w:tc>
        <w:tc>
          <w:tcPr>
            <w:tcW w:w="3040" w:type="dxa"/>
            <w:vAlign w:val="center"/>
            <w:shd w:fill="F5F8FC"/>
          </w:tcPr>
          <w:p>
            <w:pPr>
              <w:pStyle w:val="TableText"/>
            </w:pPr>
            <w:r>
              <w:rPr>
                <w:rFonts w:ascii="Calibri" w:hAnsi="Calibri" w:eastAsia="Microsoft YaHei"/>
              </w:rPr>
              <w:t xml:space="preserve">5-shot；阶段未标注数见表 14</w:t>
            </w:r>
          </w:p>
        </w:tc>
        <w:tc>
          <w:tcPr>
            <w:tcW w:w="960" w:type="dxa"/>
            <w:vAlign w:val="center"/>
            <w:shd w:fill="F5F8FC"/>
          </w:tcPr>
          <w:p>
            <w:pPr>
              <w:pStyle w:val="TableText"/>
            </w:pPr>
            <w:r>
              <w:rPr>
                <w:rFonts w:ascii="Calibri" w:hAnsi="Calibri" w:eastAsia="Microsoft YaHei"/>
              </w:rPr>
              <w:t xml:space="preserve">表 8</w:t>
            </w:r>
          </w:p>
        </w:tc>
      </w:tr>
      <w:tr>
        <w:trPr>
          <w:cantSplit/>
        </w:trPr>
        <w:tc>
          <w:tcPr>
            <w:tcW w:w="530" w:type="dxa"/>
            <w:vAlign w:val="center"/>
          </w:tcPr>
          <w:p>
            <w:pPr>
              <w:pStyle w:val="TableText"/>
            </w:pPr>
            <w:r>
              <w:rPr>
                <w:rFonts w:ascii="Calibri" w:hAnsi="Calibri" w:eastAsia="Microsoft YaHei"/>
              </w:rPr>
              <w:t xml:space="preserve">G05</w:t>
            </w:r>
          </w:p>
        </w:tc>
        <w:tc>
          <w:tcPr>
            <w:tcW w:w="1770" w:type="dxa"/>
            <w:vAlign w:val="center"/>
          </w:tcPr>
          <w:p>
            <w:pPr>
              <w:pStyle w:val="TableText"/>
            </w:pPr>
            <w:r>
              <w:rPr>
                <w:rFonts w:ascii="Calibri" w:hAnsi="Calibri" w:eastAsia="Microsoft YaHei"/>
              </w:rPr>
              <w:t xml:space="preserve">本文 JASCL</w:t>
            </w:r>
          </w:p>
        </w:tc>
        <w:tc>
          <w:tcPr>
            <w:tcW w:w="1160" w:type="dxa"/>
            <w:vAlign w:val="center"/>
          </w:tcPr>
          <w:p>
            <w:pPr>
              <w:pStyle w:val="TableText"/>
            </w:pPr>
            <w:r>
              <w:rPr>
                <w:rFonts w:ascii="Calibri" w:hAnsi="Calibri" w:eastAsia="Microsoft YaHei"/>
              </w:rPr>
              <w:t xml:space="preserve">U-Net</w:t>
            </w:r>
          </w:p>
        </w:tc>
        <w:tc>
          <w:tcPr>
            <w:tcW w:w="1900" w:type="dxa"/>
            <w:vAlign w:val="center"/>
          </w:tcPr>
          <w:p>
            <w:pPr>
              <w:pStyle w:val="TableText"/>
            </w:pPr>
            <w:r>
              <w:rPr>
                <w:rFonts w:ascii="Calibri" w:hAnsi="Calibri" w:eastAsia="Microsoft YaHei"/>
              </w:rPr>
              <w:t xml:space="preserve">Med SS，S0–S5</w:t>
            </w:r>
          </w:p>
        </w:tc>
        <w:tc>
          <w:tcPr>
            <w:tcW w:w="3040" w:type="dxa"/>
            <w:vAlign w:val="center"/>
          </w:tcPr>
          <w:p>
            <w:pPr>
              <w:pStyle w:val="TableText"/>
            </w:pPr>
            <w:r>
              <w:rPr>
                <w:rFonts w:ascii="Calibri" w:hAnsi="Calibri" w:eastAsia="Microsoft YaHei"/>
              </w:rPr>
              <w:t xml:space="preserve">同 G04；GAS＋PAS</w:t>
            </w:r>
          </w:p>
        </w:tc>
        <w:tc>
          <w:tcPr>
            <w:tcW w:w="960" w:type="dxa"/>
            <w:vAlign w:val="center"/>
          </w:tcPr>
          <w:p>
            <w:pPr>
              <w:pStyle w:val="TableText"/>
            </w:pPr>
            <w:r>
              <w:rPr>
                <w:rFonts w:ascii="Calibri" w:hAnsi="Calibri" w:eastAsia="Microsoft YaHei"/>
              </w:rPr>
              <w:t xml:space="preserve">表 8、14</w:t>
            </w:r>
          </w:p>
        </w:tc>
      </w:tr>
      <w:tr>
        <w:trPr>
          <w:cantSplit/>
        </w:trPr>
        <w:tc>
          <w:tcPr>
            <w:tcW w:w="530" w:type="dxa"/>
            <w:vAlign w:val="center"/>
            <w:shd w:fill="F5F8FC"/>
          </w:tcPr>
          <w:p>
            <w:pPr>
              <w:pStyle w:val="TableText"/>
            </w:pPr>
            <w:r>
              <w:rPr>
                <w:rFonts w:ascii="Calibri" w:hAnsi="Calibri" w:eastAsia="Microsoft YaHei"/>
              </w:rPr>
              <w:t xml:space="preserve">G06</w:t>
            </w:r>
          </w:p>
        </w:tc>
        <w:tc>
          <w:tcPr>
            <w:tcW w:w="1770" w:type="dxa"/>
            <w:vAlign w:val="center"/>
            <w:shd w:fill="F5F8FC"/>
          </w:tcPr>
          <w:p>
            <w:pPr>
              <w:pStyle w:val="TableText"/>
            </w:pPr>
            <w:r>
              <w:rPr>
                <w:rFonts w:ascii="Calibri" w:hAnsi="Calibri" w:eastAsia="Microsoft YaHei"/>
              </w:rPr>
              <w:t xml:space="preserve">对照 Vanilla</w:t>
            </w:r>
          </w:p>
        </w:tc>
        <w:tc>
          <w:tcPr>
            <w:tcW w:w="1160" w:type="dxa"/>
            <w:vAlign w:val="center"/>
            <w:shd w:fill="F5F8FC"/>
          </w:tcPr>
          <w:p>
            <w:pPr>
              <w:pStyle w:val="TableText"/>
            </w:pPr>
            <w:r>
              <w:rPr>
                <w:rFonts w:ascii="Calibri" w:hAnsi="Calibri" w:eastAsia="Microsoft YaHei"/>
              </w:rPr>
              <w:t xml:space="preserve">MedFormer</w:t>
            </w:r>
          </w:p>
        </w:tc>
        <w:tc>
          <w:tcPr>
            <w:tcW w:w="1900" w:type="dxa"/>
            <w:vAlign w:val="center"/>
            <w:shd w:fill="F5F8FC"/>
          </w:tcPr>
          <w:p>
            <w:pPr>
              <w:pStyle w:val="TableText"/>
            </w:pPr>
            <w:r>
              <w:rPr>
                <w:rFonts w:ascii="Calibri" w:hAnsi="Calibri" w:eastAsia="Microsoft YaHei"/>
              </w:rPr>
              <w:t xml:space="preserve">Med SS，S0–S5</w:t>
            </w:r>
          </w:p>
        </w:tc>
        <w:tc>
          <w:tcPr>
            <w:tcW w:w="3040" w:type="dxa"/>
            <w:vAlign w:val="center"/>
            <w:shd w:fill="F5F8FC"/>
          </w:tcPr>
          <w:p>
            <w:pPr>
              <w:pStyle w:val="TableText"/>
            </w:pPr>
            <w:r>
              <w:rPr>
                <w:rFonts w:ascii="Calibri" w:hAnsi="Calibri" w:eastAsia="Microsoft YaHei"/>
              </w:rPr>
              <w:t xml:space="preserve">5-shot；阶段未标注数见表 14</w:t>
            </w:r>
          </w:p>
        </w:tc>
        <w:tc>
          <w:tcPr>
            <w:tcW w:w="960" w:type="dxa"/>
            <w:vAlign w:val="center"/>
            <w:shd w:fill="F5F8FC"/>
          </w:tcPr>
          <w:p>
            <w:pPr>
              <w:pStyle w:val="TableText"/>
            </w:pPr>
            <w:r>
              <w:rPr>
                <w:rFonts w:ascii="Calibri" w:hAnsi="Calibri" w:eastAsia="Microsoft YaHei"/>
              </w:rPr>
              <w:t xml:space="preserve">表 8</w:t>
            </w:r>
          </w:p>
        </w:tc>
      </w:tr>
      <w:tr>
        <w:trPr>
          <w:cantSplit/>
        </w:trPr>
        <w:tc>
          <w:tcPr>
            <w:tcW w:w="530" w:type="dxa"/>
            <w:vAlign w:val="center"/>
          </w:tcPr>
          <w:p>
            <w:pPr>
              <w:pStyle w:val="TableText"/>
            </w:pPr>
            <w:r>
              <w:rPr>
                <w:rFonts w:ascii="Calibri" w:hAnsi="Calibri" w:eastAsia="Microsoft YaHei"/>
              </w:rPr>
              <w:t xml:space="preserve">G07</w:t>
            </w:r>
          </w:p>
        </w:tc>
        <w:tc>
          <w:tcPr>
            <w:tcW w:w="1770" w:type="dxa"/>
            <w:vAlign w:val="center"/>
          </w:tcPr>
          <w:p>
            <w:pPr>
              <w:pStyle w:val="TableText"/>
            </w:pPr>
            <w:r>
              <w:rPr>
                <w:rFonts w:ascii="Calibri" w:hAnsi="Calibri" w:eastAsia="Microsoft YaHei"/>
              </w:rPr>
              <w:t xml:space="preserve">本文 JASCL</w:t>
            </w:r>
          </w:p>
        </w:tc>
        <w:tc>
          <w:tcPr>
            <w:tcW w:w="1160" w:type="dxa"/>
            <w:vAlign w:val="center"/>
          </w:tcPr>
          <w:p>
            <w:pPr>
              <w:pStyle w:val="TableText"/>
            </w:pPr>
            <w:r>
              <w:rPr>
                <w:rFonts w:ascii="Calibri" w:hAnsi="Calibri" w:eastAsia="Microsoft YaHei"/>
              </w:rPr>
              <w:t xml:space="preserve">MedFormer</w:t>
            </w:r>
          </w:p>
        </w:tc>
        <w:tc>
          <w:tcPr>
            <w:tcW w:w="1900" w:type="dxa"/>
            <w:vAlign w:val="center"/>
          </w:tcPr>
          <w:p>
            <w:pPr>
              <w:pStyle w:val="TableText"/>
            </w:pPr>
            <w:r>
              <w:rPr>
                <w:rFonts w:ascii="Calibri" w:hAnsi="Calibri" w:eastAsia="Microsoft YaHei"/>
              </w:rPr>
              <w:t xml:space="preserve">Med SS，S0–S5</w:t>
            </w:r>
          </w:p>
        </w:tc>
        <w:tc>
          <w:tcPr>
            <w:tcW w:w="3040" w:type="dxa"/>
            <w:vAlign w:val="center"/>
          </w:tcPr>
          <w:p>
            <w:pPr>
              <w:pStyle w:val="TableText"/>
            </w:pPr>
            <w:r>
              <w:rPr>
                <w:rFonts w:ascii="Calibri" w:hAnsi="Calibri" w:eastAsia="Microsoft YaHei"/>
              </w:rPr>
              <w:t xml:space="preserve">同 G06；GAS＋PAS</w:t>
            </w:r>
          </w:p>
        </w:tc>
        <w:tc>
          <w:tcPr>
            <w:tcW w:w="960" w:type="dxa"/>
            <w:vAlign w:val="center"/>
          </w:tcPr>
          <w:p>
            <w:pPr>
              <w:pStyle w:val="TableText"/>
            </w:pPr>
            <w:r>
              <w:rPr>
                <w:rFonts w:ascii="Calibri" w:hAnsi="Calibri" w:eastAsia="Microsoft YaHei"/>
              </w:rPr>
              <w:t xml:space="preserve">表 8、14</w:t>
            </w:r>
          </w:p>
        </w:tc>
      </w:tr>
      <w:tr>
        <w:trPr>
          <w:cantSplit/>
        </w:trPr>
        <w:tc>
          <w:tcPr>
            <w:tcW w:w="530" w:type="dxa"/>
            <w:vAlign w:val="center"/>
            <w:shd w:fill="F5F8FC"/>
          </w:tcPr>
          <w:p>
            <w:pPr>
              <w:pStyle w:val="TableText"/>
            </w:pPr>
            <w:r>
              <w:rPr>
                <w:rFonts w:ascii="Calibri" w:hAnsi="Calibri" w:eastAsia="Microsoft YaHei"/>
              </w:rPr>
              <w:t xml:space="preserve">G08</w:t>
            </w:r>
          </w:p>
        </w:tc>
        <w:tc>
          <w:tcPr>
            <w:tcW w:w="1770" w:type="dxa"/>
            <w:vAlign w:val="center"/>
            <w:shd w:fill="F5F8FC"/>
          </w:tcPr>
          <w:p>
            <w:pPr>
              <w:pStyle w:val="TableText"/>
            </w:pPr>
            <w:r>
              <w:rPr>
                <w:rFonts w:ascii="Calibri" w:hAnsi="Calibri" w:eastAsia="Microsoft YaHei"/>
              </w:rPr>
              <w:t xml:space="preserve">对照 Vanilla</w:t>
            </w:r>
          </w:p>
        </w:tc>
        <w:tc>
          <w:tcPr>
            <w:tcW w:w="1160" w:type="dxa"/>
            <w:vAlign w:val="center"/>
            <w:shd w:fill="F5F8FC"/>
          </w:tcPr>
          <w:p>
            <w:pPr>
              <w:pStyle w:val="TableText"/>
            </w:pPr>
            <w:r>
              <w:rPr>
                <w:rFonts w:ascii="Calibri" w:hAnsi="Calibri" w:eastAsia="Microsoft YaHei"/>
              </w:rPr>
              <w:t xml:space="preserve">MedFormer</w:t>
            </w:r>
          </w:p>
        </w:tc>
        <w:tc>
          <w:tcPr>
            <w:tcW w:w="1900" w:type="dxa"/>
            <w:vAlign w:val="center"/>
            <w:shd w:fill="F5F8FC"/>
          </w:tcPr>
          <w:p>
            <w:pPr>
              <w:pStyle w:val="TableText"/>
            </w:pPr>
            <w:r>
              <w:rPr>
                <w:rFonts w:ascii="Calibri" w:hAnsi="Calibri" w:eastAsia="Microsoft YaHei"/>
              </w:rPr>
              <w:t xml:space="preserve">Med Mixed，S0–S4</w:t>
            </w:r>
          </w:p>
        </w:tc>
        <w:tc>
          <w:tcPr>
            <w:tcW w:w="3040" w:type="dxa"/>
            <w:vAlign w:val="center"/>
            <w:shd w:fill="F5F8FC"/>
          </w:tcPr>
          <w:p>
            <w:pPr>
              <w:pStyle w:val="TableText"/>
            </w:pPr>
            <w:r>
              <w:rPr>
                <w:rFonts w:ascii="Calibri" w:hAnsi="Calibri" w:eastAsia="Microsoft YaHei"/>
              </w:rPr>
              <w:t xml:space="preserve">5-shot；部分类别／域重现</w:t>
            </w:r>
          </w:p>
        </w:tc>
        <w:tc>
          <w:tcPr>
            <w:tcW w:w="960" w:type="dxa"/>
            <w:vAlign w:val="center"/>
            <w:shd w:fill="F5F8FC"/>
          </w:tcPr>
          <w:p>
            <w:pPr>
              <w:pStyle w:val="TableText"/>
            </w:pPr>
            <w:r>
              <w:rPr>
                <w:rFonts w:ascii="Calibri" w:hAnsi="Calibri" w:eastAsia="Microsoft YaHei"/>
              </w:rPr>
              <w:t xml:space="preserve">表 6、13</w:t>
            </w:r>
          </w:p>
        </w:tc>
      </w:tr>
      <w:tr>
        <w:trPr>
          <w:cantSplit/>
        </w:trPr>
        <w:tc>
          <w:tcPr>
            <w:tcW w:w="530" w:type="dxa"/>
            <w:vAlign w:val="center"/>
          </w:tcPr>
          <w:p>
            <w:pPr>
              <w:pStyle w:val="TableText"/>
            </w:pPr>
            <w:r>
              <w:rPr>
                <w:rFonts w:ascii="Calibri" w:hAnsi="Calibri" w:eastAsia="Microsoft YaHei"/>
              </w:rPr>
              <w:t xml:space="preserve">G09</w:t>
            </w:r>
          </w:p>
        </w:tc>
        <w:tc>
          <w:tcPr>
            <w:tcW w:w="1770" w:type="dxa"/>
            <w:vAlign w:val="center"/>
          </w:tcPr>
          <w:p>
            <w:pPr>
              <w:pStyle w:val="TableText"/>
            </w:pPr>
            <w:r>
              <w:rPr>
                <w:rFonts w:ascii="Calibri" w:hAnsi="Calibri" w:eastAsia="Microsoft YaHei"/>
              </w:rPr>
              <w:t xml:space="preserve">本文 JASCL</w:t>
            </w:r>
          </w:p>
        </w:tc>
        <w:tc>
          <w:tcPr>
            <w:tcW w:w="1160" w:type="dxa"/>
            <w:vAlign w:val="center"/>
          </w:tcPr>
          <w:p>
            <w:pPr>
              <w:pStyle w:val="TableText"/>
            </w:pPr>
            <w:r>
              <w:rPr>
                <w:rFonts w:ascii="Calibri" w:hAnsi="Calibri" w:eastAsia="Microsoft YaHei"/>
              </w:rPr>
              <w:t xml:space="preserve">MedFormer</w:t>
            </w:r>
          </w:p>
        </w:tc>
        <w:tc>
          <w:tcPr>
            <w:tcW w:w="1900" w:type="dxa"/>
            <w:vAlign w:val="center"/>
          </w:tcPr>
          <w:p>
            <w:pPr>
              <w:pStyle w:val="TableText"/>
            </w:pPr>
            <w:r>
              <w:rPr>
                <w:rFonts w:ascii="Calibri" w:hAnsi="Calibri" w:eastAsia="Microsoft YaHei"/>
              </w:rPr>
              <w:t xml:space="preserve">Med Mixed，S0–S4</w:t>
            </w:r>
          </w:p>
        </w:tc>
        <w:tc>
          <w:tcPr>
            <w:tcW w:w="3040" w:type="dxa"/>
            <w:vAlign w:val="center"/>
          </w:tcPr>
          <w:p>
            <w:pPr>
              <w:pStyle w:val="TableText"/>
            </w:pPr>
            <w:r>
              <w:rPr>
                <w:rFonts w:ascii="Calibri" w:hAnsi="Calibri" w:eastAsia="Microsoft YaHei"/>
              </w:rPr>
              <w:t xml:space="preserve">同 G08；GAS</w:t>
            </w:r>
          </w:p>
        </w:tc>
        <w:tc>
          <w:tcPr>
            <w:tcW w:w="960" w:type="dxa"/>
            <w:vAlign w:val="center"/>
          </w:tcPr>
          <w:p>
            <w:pPr>
              <w:pStyle w:val="TableText"/>
            </w:pPr>
            <w:r>
              <w:rPr>
                <w:rFonts w:ascii="Calibri" w:hAnsi="Calibri" w:eastAsia="Microsoft YaHei"/>
              </w:rPr>
              <w:t xml:space="preserve">表 6、13</w:t>
            </w:r>
          </w:p>
        </w:tc>
      </w:tr>
      <w:tr>
        <w:trPr>
          <w:cantSplit/>
        </w:trPr>
        <w:tc>
          <w:tcPr>
            <w:tcW w:w="530" w:type="dxa"/>
            <w:vAlign w:val="center"/>
            <w:shd w:fill="F5F8FC"/>
          </w:tcPr>
          <w:p>
            <w:pPr>
              <w:pStyle w:val="TableText"/>
            </w:pPr>
            <w:r>
              <w:rPr>
                <w:rFonts w:ascii="Calibri" w:hAnsi="Calibri" w:eastAsia="Microsoft YaHei"/>
              </w:rPr>
              <w:t xml:space="preserve">G10</w:t>
            </w:r>
          </w:p>
        </w:tc>
        <w:tc>
          <w:tcPr>
            <w:tcW w:w="1770" w:type="dxa"/>
            <w:vAlign w:val="center"/>
            <w:shd w:fill="F5F8FC"/>
          </w:tcPr>
          <w:p>
            <w:pPr>
              <w:pStyle w:val="TableText"/>
            </w:pPr>
            <w:r>
              <w:rPr>
                <w:rFonts w:ascii="Calibri" w:hAnsi="Calibri" w:eastAsia="Microsoft YaHei"/>
              </w:rPr>
              <w:t xml:space="preserve">消融 去 GAS</w:t>
            </w:r>
          </w:p>
        </w:tc>
        <w:tc>
          <w:tcPr>
            <w:tcW w:w="1160" w:type="dxa"/>
            <w:vAlign w:val="center"/>
            <w:shd w:fill="F5F8FC"/>
          </w:tcPr>
          <w:p>
            <w:pPr>
              <w:pStyle w:val="TableText"/>
            </w:pPr>
            <w:r>
              <w:rPr>
                <w:rFonts w:ascii="Calibri" w:hAnsi="Calibri" w:eastAsia="Microsoft YaHei"/>
              </w:rPr>
              <w:t xml:space="preserve">MedFormer</w:t>
            </w:r>
          </w:p>
        </w:tc>
        <w:tc>
          <w:tcPr>
            <w:tcW w:w="1900" w:type="dxa"/>
            <w:vAlign w:val="center"/>
            <w:shd w:fill="F5F8FC"/>
          </w:tcPr>
          <w:p>
            <w:pPr>
              <w:pStyle w:val="TableText"/>
            </w:pPr>
            <w:r>
              <w:rPr>
                <w:rFonts w:ascii="Calibri" w:hAnsi="Calibri" w:eastAsia="Microsoft YaHei"/>
              </w:rPr>
              <w:t xml:space="preserve">Med Mixed，S0–S4</w:t>
            </w:r>
          </w:p>
        </w:tc>
        <w:tc>
          <w:tcPr>
            <w:tcW w:w="3040" w:type="dxa"/>
            <w:vAlign w:val="center"/>
            <w:shd w:fill="F5F8FC"/>
          </w:tcPr>
          <w:p>
            <w:pPr>
              <w:pStyle w:val="TableText"/>
            </w:pPr>
            <w:r>
              <w:rPr>
                <w:rFonts w:ascii="Calibri" w:hAnsi="Calibri" w:eastAsia="Microsoft YaHei"/>
              </w:rPr>
              <w:t xml:space="preserve">同 G09，移除 GAS</w:t>
            </w:r>
          </w:p>
        </w:tc>
        <w:tc>
          <w:tcPr>
            <w:tcW w:w="960" w:type="dxa"/>
            <w:vAlign w:val="center"/>
            <w:shd w:fill="F5F8FC"/>
          </w:tcPr>
          <w:p>
            <w:pPr>
              <w:pStyle w:val="TableText"/>
            </w:pPr>
            <w:r>
              <w:rPr>
                <w:rFonts w:ascii="Calibri" w:hAnsi="Calibri" w:eastAsia="Microsoft YaHei"/>
              </w:rPr>
              <w:t xml:space="preserve">表 34</w:t>
            </w:r>
          </w:p>
        </w:tc>
      </w:tr>
      <w:tr>
        <w:trPr>
          <w:cantSplit/>
        </w:trPr>
        <w:tc>
          <w:tcPr>
            <w:tcW w:w="530" w:type="dxa"/>
            <w:vAlign w:val="center"/>
          </w:tcPr>
          <w:p>
            <w:pPr>
              <w:pStyle w:val="TableText"/>
            </w:pPr>
            <w:r>
              <w:rPr>
                <w:rFonts w:ascii="Calibri" w:hAnsi="Calibri" w:eastAsia="Microsoft YaHei"/>
              </w:rPr>
              <w:t xml:space="preserve">G11</w:t>
            </w:r>
          </w:p>
        </w:tc>
        <w:tc>
          <w:tcPr>
            <w:tcW w:w="1770" w:type="dxa"/>
            <w:vAlign w:val="center"/>
          </w:tcPr>
          <w:p>
            <w:pPr>
              <w:pStyle w:val="TableText"/>
            </w:pPr>
            <w:r>
              <w:rPr>
                <w:rFonts w:ascii="Calibri" w:hAnsi="Calibri" w:eastAsia="Microsoft YaHei"/>
              </w:rPr>
              <w:t xml:space="preserve">对照 Vanilla</w:t>
            </w:r>
          </w:p>
        </w:tc>
        <w:tc>
          <w:tcPr>
            <w:tcW w:w="1160" w:type="dxa"/>
            <w:vAlign w:val="center"/>
          </w:tcPr>
          <w:p>
            <w:pPr>
              <w:pStyle w:val="TableText"/>
            </w:pPr>
            <w:r>
              <w:rPr>
                <w:rFonts w:ascii="Calibri" w:hAnsi="Calibri" w:eastAsia="Microsoft YaHei"/>
              </w:rPr>
              <w:t xml:space="preserve">DeepLab</w:t>
            </w:r>
          </w:p>
        </w:tc>
        <w:tc>
          <w:tcPr>
            <w:tcW w:w="1900" w:type="dxa"/>
            <w:vAlign w:val="center"/>
          </w:tcPr>
          <w:p>
            <w:pPr>
              <w:pStyle w:val="TableText"/>
            </w:pPr>
            <w:r>
              <w:rPr>
                <w:rFonts w:ascii="Calibri" w:hAnsi="Calibri" w:eastAsia="Microsoft YaHei"/>
              </w:rPr>
              <w:t xml:space="preserve">Natural，S0–S2</w:t>
            </w:r>
          </w:p>
        </w:tc>
        <w:tc>
          <w:tcPr>
            <w:tcW w:w="3040" w:type="dxa"/>
            <w:vAlign w:val="center"/>
          </w:tcPr>
          <w:p>
            <w:pPr>
              <w:pStyle w:val="TableText"/>
            </w:pPr>
            <w:r>
              <w:rPr>
                <w:rFonts w:ascii="Calibri" w:hAnsi="Calibri" w:eastAsia="Microsoft YaHei"/>
              </w:rPr>
              <w:t xml:space="preserve">10-shot；无 SS；全网络可训</w:t>
            </w:r>
          </w:p>
        </w:tc>
        <w:tc>
          <w:tcPr>
            <w:tcW w:w="960" w:type="dxa"/>
            <w:vAlign w:val="center"/>
          </w:tcPr>
          <w:p>
            <w:pPr>
              <w:pStyle w:val="TableText"/>
            </w:pPr>
            <w:r>
              <w:rPr>
                <w:rFonts w:ascii="Calibri" w:hAnsi="Calibri" w:eastAsia="Microsoft YaHei"/>
              </w:rPr>
              <w:t xml:space="preserve">表 4、19</w:t>
            </w:r>
          </w:p>
        </w:tc>
      </w:tr>
      <w:tr>
        <w:trPr>
          <w:cantSplit/>
        </w:trPr>
        <w:tc>
          <w:tcPr>
            <w:tcW w:w="530" w:type="dxa"/>
            <w:vAlign w:val="center"/>
            <w:shd w:fill="F5F8FC"/>
          </w:tcPr>
          <w:p>
            <w:pPr>
              <w:pStyle w:val="TableText"/>
            </w:pPr>
            <w:r>
              <w:rPr>
                <w:rFonts w:ascii="Calibri" w:hAnsi="Calibri" w:eastAsia="Microsoft YaHei"/>
              </w:rPr>
              <w:t xml:space="preserve">G12</w:t>
            </w:r>
          </w:p>
        </w:tc>
        <w:tc>
          <w:tcPr>
            <w:tcW w:w="1770" w:type="dxa"/>
            <w:vAlign w:val="center"/>
            <w:shd w:fill="F5F8FC"/>
          </w:tcPr>
          <w:p>
            <w:pPr>
              <w:pStyle w:val="TableText"/>
            </w:pPr>
            <w:r>
              <w:rPr>
                <w:rFonts w:ascii="Calibri" w:hAnsi="Calibri" w:eastAsia="Microsoft YaHei"/>
              </w:rPr>
              <w:t xml:space="preserve">对照 GAPS</w:t>
            </w:r>
          </w:p>
        </w:tc>
        <w:tc>
          <w:tcPr>
            <w:tcW w:w="1160" w:type="dxa"/>
            <w:vAlign w:val="center"/>
            <w:shd w:fill="F5F8FC"/>
          </w:tcPr>
          <w:p>
            <w:pPr>
              <w:pStyle w:val="TableText"/>
            </w:pPr>
            <w:r>
              <w:rPr>
                <w:rFonts w:ascii="Calibri" w:hAnsi="Calibri" w:eastAsia="Microsoft YaHei"/>
              </w:rPr>
              <w:t xml:space="preserve">DeepLab／未明示</w:t>
            </w:r>
          </w:p>
        </w:tc>
        <w:tc>
          <w:tcPr>
            <w:tcW w:w="1900" w:type="dxa"/>
            <w:vAlign w:val="center"/>
            <w:shd w:fill="F5F8FC"/>
          </w:tcPr>
          <w:p>
            <w:pPr>
              <w:pStyle w:val="TableText"/>
            </w:pPr>
            <w:r>
              <w:rPr>
                <w:rFonts w:ascii="Calibri" w:hAnsi="Calibri" w:eastAsia="Microsoft YaHei"/>
              </w:rPr>
              <w:t xml:space="preserve">Natural，S0–S2</w:t>
            </w:r>
          </w:p>
        </w:tc>
        <w:tc>
          <w:tcPr>
            <w:tcW w:w="3040" w:type="dxa"/>
            <w:vAlign w:val="center"/>
            <w:shd w:fill="F5F8FC"/>
          </w:tcPr>
          <w:p>
            <w:pPr>
              <w:pStyle w:val="TableText"/>
            </w:pPr>
            <w:r>
              <w:rPr>
                <w:rFonts w:ascii="Calibri" w:hAnsi="Calibri" w:eastAsia="Microsoft YaHei"/>
              </w:rPr>
              <w:t xml:space="preserve">10-shot；骨干配置未逐项报告</w:t>
            </w:r>
          </w:p>
        </w:tc>
        <w:tc>
          <w:tcPr>
            <w:tcW w:w="960" w:type="dxa"/>
            <w:vAlign w:val="center"/>
            <w:shd w:fill="F5F8FC"/>
          </w:tcPr>
          <w:p>
            <w:pPr>
              <w:pStyle w:val="TableText"/>
            </w:pPr>
            <w:r>
              <w:rPr>
                <w:rFonts w:ascii="Calibri" w:hAnsi="Calibri" w:eastAsia="Microsoft YaHei"/>
              </w:rPr>
              <w:t xml:space="preserve">表 4</w:t>
            </w:r>
          </w:p>
        </w:tc>
      </w:tr>
      <w:tr>
        <w:trPr>
          <w:cantSplit/>
        </w:trPr>
        <w:tc>
          <w:tcPr>
            <w:tcW w:w="530" w:type="dxa"/>
            <w:vAlign w:val="center"/>
          </w:tcPr>
          <w:p>
            <w:pPr>
              <w:pStyle w:val="TableText"/>
            </w:pPr>
            <w:r>
              <w:rPr>
                <w:rFonts w:ascii="Calibri" w:hAnsi="Calibri" w:eastAsia="Microsoft YaHei"/>
              </w:rPr>
              <w:t xml:space="preserve">G13</w:t>
            </w:r>
          </w:p>
        </w:tc>
        <w:tc>
          <w:tcPr>
            <w:tcW w:w="1770" w:type="dxa"/>
            <w:vAlign w:val="center"/>
          </w:tcPr>
          <w:p>
            <w:pPr>
              <w:pStyle w:val="TableText"/>
            </w:pPr>
            <w:r>
              <w:rPr>
                <w:rFonts w:ascii="Calibri" w:hAnsi="Calibri" w:eastAsia="Microsoft YaHei"/>
              </w:rPr>
              <w:t xml:space="preserve">对照 Vanilla</w:t>
            </w:r>
          </w:p>
        </w:tc>
        <w:tc>
          <w:tcPr>
            <w:tcW w:w="1160" w:type="dxa"/>
            <w:vAlign w:val="center"/>
          </w:tcPr>
          <w:p>
            <w:pPr>
              <w:pStyle w:val="TableText"/>
            </w:pPr>
            <w:r>
              <w:rPr>
                <w:rFonts w:ascii="Calibri" w:hAnsi="Calibri" w:eastAsia="Microsoft YaHei"/>
              </w:rPr>
              <w:t xml:space="preserve">SAM ViT-B</w:t>
            </w:r>
          </w:p>
        </w:tc>
        <w:tc>
          <w:tcPr>
            <w:tcW w:w="1900" w:type="dxa"/>
            <w:vAlign w:val="center"/>
          </w:tcPr>
          <w:p>
            <w:pPr>
              <w:pStyle w:val="TableText"/>
            </w:pPr>
            <w:r>
              <w:rPr>
                <w:rFonts w:ascii="Calibri" w:hAnsi="Calibri" w:eastAsia="Microsoft YaHei"/>
              </w:rPr>
              <w:t xml:space="preserve">Natural，S0–S2</w:t>
            </w:r>
          </w:p>
        </w:tc>
        <w:tc>
          <w:tcPr>
            <w:tcW w:w="3040" w:type="dxa"/>
            <w:vAlign w:val="center"/>
          </w:tcPr>
          <w:p>
            <w:pPr>
              <w:pStyle w:val="TableText"/>
            </w:pPr>
            <w:r>
              <w:rPr>
                <w:rFonts w:ascii="Calibri" w:hAnsi="Calibri" w:eastAsia="Microsoft YaHei"/>
              </w:rPr>
              <w:t xml:space="preserve">10-shot；SAM 每阶段 10 epoch</w:t>
            </w:r>
          </w:p>
        </w:tc>
        <w:tc>
          <w:tcPr>
            <w:tcW w:w="960" w:type="dxa"/>
            <w:vAlign w:val="center"/>
          </w:tcPr>
          <w:p>
            <w:pPr>
              <w:pStyle w:val="TableText"/>
            </w:pPr>
            <w:r>
              <w:rPr>
                <w:rFonts w:ascii="Calibri" w:hAnsi="Calibri" w:eastAsia="Microsoft YaHei"/>
              </w:rPr>
              <w:t xml:space="preserve">表 4、19</w:t>
            </w:r>
          </w:p>
        </w:tc>
      </w:tr>
      <w:tr>
        <w:trPr>
          <w:cantSplit/>
        </w:trPr>
        <w:tc>
          <w:tcPr>
            <w:tcW w:w="530" w:type="dxa"/>
            <w:vAlign w:val="center"/>
            <w:shd w:fill="F5F8FC"/>
          </w:tcPr>
          <w:p>
            <w:pPr>
              <w:pStyle w:val="TableText"/>
            </w:pPr>
            <w:r>
              <w:rPr>
                <w:rFonts w:ascii="Calibri" w:hAnsi="Calibri" w:eastAsia="Microsoft YaHei"/>
              </w:rPr>
              <w:t xml:space="preserve">G14</w:t>
            </w:r>
          </w:p>
        </w:tc>
        <w:tc>
          <w:tcPr>
            <w:tcW w:w="1770" w:type="dxa"/>
            <w:vAlign w:val="center"/>
            <w:shd w:fill="F5F8FC"/>
          </w:tcPr>
          <w:p>
            <w:pPr>
              <w:pStyle w:val="TableText"/>
            </w:pPr>
            <w:r>
              <w:rPr>
                <w:rFonts w:ascii="Calibri" w:hAnsi="Calibri" w:eastAsia="Microsoft YaHei"/>
              </w:rPr>
              <w:t xml:space="preserve">本文 JASCL</w:t>
            </w:r>
          </w:p>
        </w:tc>
        <w:tc>
          <w:tcPr>
            <w:tcW w:w="1160" w:type="dxa"/>
            <w:vAlign w:val="center"/>
            <w:shd w:fill="F5F8FC"/>
          </w:tcPr>
          <w:p>
            <w:pPr>
              <w:pStyle w:val="TableText"/>
            </w:pPr>
            <w:r>
              <w:rPr>
                <w:rFonts w:ascii="Calibri" w:hAnsi="Calibri" w:eastAsia="Microsoft YaHei"/>
              </w:rPr>
              <w:t xml:space="preserve">SAM ViT-B</w:t>
            </w:r>
          </w:p>
        </w:tc>
        <w:tc>
          <w:tcPr>
            <w:tcW w:w="1900" w:type="dxa"/>
            <w:vAlign w:val="center"/>
            <w:shd w:fill="F5F8FC"/>
          </w:tcPr>
          <w:p>
            <w:pPr>
              <w:pStyle w:val="TableText"/>
            </w:pPr>
            <w:r>
              <w:rPr>
                <w:rFonts w:ascii="Calibri" w:hAnsi="Calibri" w:eastAsia="Microsoft YaHei"/>
              </w:rPr>
              <w:t xml:space="preserve">Natural，S0–S2</w:t>
            </w:r>
          </w:p>
        </w:tc>
        <w:tc>
          <w:tcPr>
            <w:tcW w:w="3040" w:type="dxa"/>
            <w:vAlign w:val="center"/>
            <w:shd w:fill="F5F8FC"/>
          </w:tcPr>
          <w:p>
            <w:pPr>
              <w:pStyle w:val="TableText"/>
            </w:pPr>
            <w:r>
              <w:rPr>
                <w:rFonts w:ascii="Calibri" w:hAnsi="Calibri" w:eastAsia="Microsoft YaHei"/>
              </w:rPr>
              <w:t xml:space="preserve">同 G13；增量期仅末层可训</w:t>
            </w:r>
          </w:p>
        </w:tc>
        <w:tc>
          <w:tcPr>
            <w:tcW w:w="960" w:type="dxa"/>
            <w:vAlign w:val="center"/>
            <w:shd w:fill="F5F8FC"/>
          </w:tcPr>
          <w:p>
            <w:pPr>
              <w:pStyle w:val="TableText"/>
            </w:pPr>
            <w:r>
              <w:rPr>
                <w:rFonts w:ascii="Calibri" w:hAnsi="Calibri" w:eastAsia="Microsoft YaHei"/>
              </w:rPr>
              <w:t xml:space="preserve">表 4、19</w:t>
            </w:r>
          </w:p>
        </w:tc>
      </w:tr>
      <w:tr>
        <w:trPr>
          <w:cantSplit/>
        </w:trPr>
        <w:tc>
          <w:tcPr>
            <w:tcW w:w="530" w:type="dxa"/>
            <w:vAlign w:val="center"/>
          </w:tcPr>
          <w:p>
            <w:pPr>
              <w:pStyle w:val="TableText"/>
            </w:pPr>
            <w:r>
              <w:rPr>
                <w:rFonts w:ascii="Calibri" w:hAnsi="Calibri" w:eastAsia="Microsoft YaHei"/>
              </w:rPr>
              <w:t xml:space="preserve">G15</w:t>
            </w:r>
          </w:p>
        </w:tc>
        <w:tc>
          <w:tcPr>
            <w:tcW w:w="1770" w:type="dxa"/>
            <w:vAlign w:val="center"/>
          </w:tcPr>
          <w:p>
            <w:pPr>
              <w:pStyle w:val="TableText"/>
            </w:pPr>
            <w:r>
              <w:rPr>
                <w:rFonts w:ascii="Calibri" w:hAnsi="Calibri" w:eastAsia="Microsoft YaHei"/>
              </w:rPr>
              <w:t xml:space="preserve">对照 GAPS</w:t>
            </w:r>
          </w:p>
        </w:tc>
        <w:tc>
          <w:tcPr>
            <w:tcW w:w="1160" w:type="dxa"/>
            <w:vAlign w:val="center"/>
          </w:tcPr>
          <w:p>
            <w:pPr>
              <w:pStyle w:val="TableText"/>
            </w:pPr>
            <w:r>
              <w:rPr>
                <w:rFonts w:ascii="Calibri" w:hAnsi="Calibri" w:eastAsia="Microsoft YaHei"/>
              </w:rPr>
              <w:t xml:space="preserve">DeepLab</w:t>
            </w:r>
          </w:p>
        </w:tc>
        <w:tc>
          <w:tcPr>
            <w:tcW w:w="1900" w:type="dxa"/>
            <w:vAlign w:val="center"/>
          </w:tcPr>
          <w:p>
            <w:pPr>
              <w:pStyle w:val="TableText"/>
            </w:pPr>
            <w:r>
              <w:rPr>
                <w:rFonts w:ascii="Calibri" w:hAnsi="Calibri" w:eastAsia="Microsoft YaHei"/>
              </w:rPr>
              <w:t xml:space="preserve">SS Natural，S0–S3</w:t>
            </w:r>
          </w:p>
        </w:tc>
        <w:tc>
          <w:tcPr>
            <w:tcW w:w="3040" w:type="dxa"/>
            <w:vAlign w:val="center"/>
          </w:tcPr>
          <w:p>
            <w:pPr>
              <w:pStyle w:val="TableText"/>
            </w:pPr>
            <w:r>
              <w:rPr>
                <w:rFonts w:ascii="Calibri" w:hAnsi="Calibri" w:eastAsia="Microsoft YaHei"/>
              </w:rPr>
              <w:t xml:space="preserve">10-shot＋每新增类 400 未标注图</w:t>
            </w:r>
          </w:p>
        </w:tc>
        <w:tc>
          <w:tcPr>
            <w:tcW w:w="960" w:type="dxa"/>
            <w:vAlign w:val="center"/>
          </w:tcPr>
          <w:p>
            <w:pPr>
              <w:pStyle w:val="TableText"/>
            </w:pPr>
            <w:r>
              <w:rPr>
                <w:rFonts w:ascii="Calibri" w:hAnsi="Calibri" w:eastAsia="Microsoft YaHei"/>
              </w:rPr>
              <w:t xml:space="preserve">表 7、16</w:t>
            </w:r>
          </w:p>
        </w:tc>
      </w:tr>
      <w:tr>
        <w:trPr>
          <w:cantSplit/>
        </w:trPr>
        <w:tc>
          <w:tcPr>
            <w:tcW w:w="530" w:type="dxa"/>
            <w:vAlign w:val="center"/>
            <w:shd w:fill="F5F8FC"/>
          </w:tcPr>
          <w:p>
            <w:pPr>
              <w:pStyle w:val="TableText"/>
            </w:pPr>
            <w:r>
              <w:rPr>
                <w:rFonts w:ascii="Calibri" w:hAnsi="Calibri" w:eastAsia="Microsoft YaHei"/>
              </w:rPr>
              <w:t xml:space="preserve">G16</w:t>
            </w:r>
          </w:p>
        </w:tc>
        <w:tc>
          <w:tcPr>
            <w:tcW w:w="1770" w:type="dxa"/>
            <w:vAlign w:val="center"/>
            <w:shd w:fill="F5F8FC"/>
          </w:tcPr>
          <w:p>
            <w:pPr>
              <w:pStyle w:val="TableText"/>
            </w:pPr>
            <w:r>
              <w:rPr>
                <w:rFonts w:ascii="Calibri" w:hAnsi="Calibri" w:eastAsia="Microsoft YaHei"/>
              </w:rPr>
              <w:t xml:space="preserve">本文 JASCL＋GAPS</w:t>
            </w:r>
          </w:p>
        </w:tc>
        <w:tc>
          <w:tcPr>
            <w:tcW w:w="1160" w:type="dxa"/>
            <w:vAlign w:val="center"/>
            <w:shd w:fill="F5F8FC"/>
          </w:tcPr>
          <w:p>
            <w:pPr>
              <w:pStyle w:val="TableText"/>
            </w:pPr>
            <w:r>
              <w:rPr>
                <w:rFonts w:ascii="Calibri" w:hAnsi="Calibri" w:eastAsia="Microsoft YaHei"/>
              </w:rPr>
              <w:t xml:space="preserve">DeepLab</w:t>
            </w:r>
          </w:p>
        </w:tc>
        <w:tc>
          <w:tcPr>
            <w:tcW w:w="1900" w:type="dxa"/>
            <w:vAlign w:val="center"/>
            <w:shd w:fill="F5F8FC"/>
          </w:tcPr>
          <w:p>
            <w:pPr>
              <w:pStyle w:val="TableText"/>
            </w:pPr>
            <w:r>
              <w:rPr>
                <w:rFonts w:ascii="Calibri" w:hAnsi="Calibri" w:eastAsia="Microsoft YaHei"/>
              </w:rPr>
              <w:t xml:space="preserve">SS Natural，S0–S3</w:t>
            </w:r>
          </w:p>
        </w:tc>
        <w:tc>
          <w:tcPr>
            <w:tcW w:w="3040" w:type="dxa"/>
            <w:vAlign w:val="center"/>
            <w:shd w:fill="F5F8FC"/>
          </w:tcPr>
          <w:p>
            <w:pPr>
              <w:pStyle w:val="TableText"/>
            </w:pPr>
            <w:r>
              <w:rPr>
                <w:rFonts w:ascii="Calibri" w:hAnsi="Calibri" w:eastAsia="Microsoft YaHei"/>
              </w:rPr>
              <w:t xml:space="preserve">同 G15；加入 JASCL 组件</w:t>
            </w:r>
          </w:p>
        </w:tc>
        <w:tc>
          <w:tcPr>
            <w:tcW w:w="960" w:type="dxa"/>
            <w:vAlign w:val="center"/>
            <w:shd w:fill="F5F8FC"/>
          </w:tcPr>
          <w:p>
            <w:pPr>
              <w:pStyle w:val="TableText"/>
            </w:pPr>
            <w:r>
              <w:rPr>
                <w:rFonts w:ascii="Calibri" w:hAnsi="Calibri" w:eastAsia="Microsoft YaHei"/>
              </w:rPr>
              <w:t xml:space="preserve">表 7、16</w:t>
            </w:r>
          </w:p>
        </w:tc>
      </w:tr>
      <w:tr>
        <w:trPr>
          <w:cantSplit/>
        </w:trPr>
        <w:tc>
          <w:tcPr>
            <w:tcW w:w="530" w:type="dxa"/>
            <w:vAlign w:val="center"/>
          </w:tcPr>
          <w:p>
            <w:pPr>
              <w:pStyle w:val="TableText"/>
            </w:pPr>
            <w:r>
              <w:rPr>
                <w:rFonts w:ascii="Calibri" w:hAnsi="Calibri" w:eastAsia="Microsoft YaHei"/>
              </w:rPr>
              <w:t xml:space="preserve">G17</w:t>
            </w:r>
          </w:p>
        </w:tc>
        <w:tc>
          <w:tcPr>
            <w:tcW w:w="1770" w:type="dxa"/>
            <w:vAlign w:val="center"/>
          </w:tcPr>
          <w:p>
            <w:pPr>
              <w:pStyle w:val="TableText"/>
            </w:pPr>
            <w:r>
              <w:rPr>
                <w:rFonts w:ascii="Calibri" w:hAnsi="Calibri" w:eastAsia="Microsoft YaHei"/>
              </w:rPr>
              <w:t xml:space="preserve">消融 去 PAS</w:t>
            </w:r>
          </w:p>
        </w:tc>
        <w:tc>
          <w:tcPr>
            <w:tcW w:w="1160" w:type="dxa"/>
            <w:vAlign w:val="center"/>
          </w:tcPr>
          <w:p>
            <w:pPr>
              <w:pStyle w:val="TableText"/>
            </w:pPr>
            <w:r>
              <w:rPr>
                <w:rFonts w:ascii="Calibri" w:hAnsi="Calibri" w:eastAsia="Microsoft YaHei"/>
              </w:rPr>
              <w:t xml:space="preserve">DeepLab</w:t>
            </w:r>
          </w:p>
        </w:tc>
        <w:tc>
          <w:tcPr>
            <w:tcW w:w="1900" w:type="dxa"/>
            <w:vAlign w:val="center"/>
          </w:tcPr>
          <w:p>
            <w:pPr>
              <w:pStyle w:val="TableText"/>
            </w:pPr>
            <w:r>
              <w:rPr>
                <w:rFonts w:ascii="Calibri" w:hAnsi="Calibri" w:eastAsia="Microsoft YaHei"/>
              </w:rPr>
              <w:t xml:space="preserve">SS Natural，S0–S3</w:t>
            </w:r>
          </w:p>
        </w:tc>
        <w:tc>
          <w:tcPr>
            <w:tcW w:w="3040" w:type="dxa"/>
            <w:vAlign w:val="center"/>
          </w:tcPr>
          <w:p>
            <w:pPr>
              <w:pStyle w:val="TableText"/>
            </w:pPr>
            <w:r>
              <w:rPr>
                <w:rFonts w:ascii="Calibri" w:hAnsi="Calibri" w:eastAsia="Microsoft YaHei"/>
              </w:rPr>
              <w:t xml:space="preserve">同 G16，移除 PAS</w:t>
            </w:r>
          </w:p>
        </w:tc>
        <w:tc>
          <w:tcPr>
            <w:tcW w:w="960" w:type="dxa"/>
            <w:vAlign w:val="center"/>
          </w:tcPr>
          <w:p>
            <w:pPr>
              <w:pStyle w:val="TableText"/>
            </w:pPr>
            <w:r>
              <w:rPr>
                <w:rFonts w:ascii="Calibri" w:hAnsi="Calibri" w:eastAsia="Microsoft YaHei"/>
              </w:rPr>
              <w:t xml:space="preserve">表 36</w:t>
            </w:r>
          </w:p>
        </w:tc>
      </w:tr>
    </w:tbl>
    <w:p>
      <w:pPr>
        <w:pStyle w:val="Normal"/>
      </w:pPr>
      <w:r>
        <w:t xml:space="preserve">表 2 中“未明示”是本地论文无法确认的配置；不据表格将所有基线默认为相同骨干、冻结策略或基模型。G12 与 G11 有相同基阶段分数，但这不足以证明训练配置完全一致。（表 2、4，p.7）</w:t>
      </w:r>
    </w:p>
    <w:p>
      <w:pPr>
        <w:pStyle w:val="Heading1"/>
      </w:pPr>
      <w:r>
        <w:t xml:space="preserve">四 指标和定量结果</w:t>
      </w:r>
    </w:p>
    <w:p>
      <w:pPr>
        <w:pStyle w:val="Caption"/>
      </w:pPr>
      <w:r>
        <w:t xml:space="preserve">表 3 指标含义。阶段数字是该阶段训练结束时的汇总值，不是旧类遗忘量。</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start w:w="105" w:type="dxa"/>
          <w:end w:w="105" w:type="dxa"/>
        </w:tblCellMar>
      </w:tblPr>
      <w:tblGrid>
        <w:gridCol w:w="1490"/>
        <w:gridCol w:w="5470"/>
        <w:gridCol w:w="1310"/>
        <w:gridCol w:w="1090"/>
      </w:tblGrid>
      <w:tr>
        <w:trPr>
          <w:tblHeader w:val="true"/>
          <w:cantSplit/>
        </w:trPr>
        <w:tc>
          <w:tcPr>
            <w:tcW w:w="1490" w:type="dxa"/>
            <w:vAlign w:val="center"/>
            <w:shd w:fill="DCE7F3"/>
          </w:tcPr>
          <w:p>
            <w:pPr>
              <w:pStyle w:val="TableText"/>
            </w:pPr>
            <w:r>
              <w:rPr>
                <w:rFonts w:ascii="Calibri" w:hAnsi="Calibri" w:eastAsia="Microsoft YaHei"/>
                <w:b/>
              </w:rPr>
              <w:t xml:space="preserve">指标</w:t>
            </w:r>
          </w:p>
        </w:tc>
        <w:tc>
          <w:tcPr>
            <w:tcW w:w="5470" w:type="dxa"/>
            <w:vAlign w:val="center"/>
            <w:shd w:fill="DCE7F3"/>
          </w:tcPr>
          <w:p>
            <w:pPr>
              <w:pStyle w:val="TableText"/>
            </w:pPr>
            <w:r>
              <w:rPr>
                <w:rFonts w:ascii="Calibri" w:hAnsi="Calibri" w:eastAsia="Microsoft YaHei"/>
                <w:b/>
              </w:rPr>
              <w:t xml:space="preserve">含义与聚合范围</w:t>
            </w:r>
          </w:p>
        </w:tc>
        <w:tc>
          <w:tcPr>
            <w:tcW w:w="1310" w:type="dxa"/>
            <w:vAlign w:val="center"/>
            <w:shd w:fill="DCE7F3"/>
          </w:tcPr>
          <w:p>
            <w:pPr>
              <w:pStyle w:val="TableText"/>
            </w:pPr>
            <w:r>
              <w:rPr>
                <w:rFonts w:ascii="Calibri" w:hAnsi="Calibri" w:eastAsia="Microsoft YaHei"/>
                <w:b/>
              </w:rPr>
              <w:t xml:space="preserve">单位／方向</w:t>
            </w:r>
          </w:p>
        </w:tc>
        <w:tc>
          <w:tcPr>
            <w:tcW w:w="1090" w:type="dxa"/>
            <w:vAlign w:val="center"/>
            <w:shd w:fill="DCE7F3"/>
          </w:tcPr>
          <w:p>
            <w:pPr>
              <w:pStyle w:val="TableText"/>
            </w:pPr>
            <w:r>
              <w:rPr>
                <w:rFonts w:ascii="Calibri" w:hAnsi="Calibri" w:eastAsia="Microsoft YaHei"/>
                <w:b/>
              </w:rPr>
              <w:t xml:space="preserve">依据</w:t>
            </w:r>
          </w:p>
        </w:tc>
      </w:tr>
      <w:tr>
        <w:trPr>
          <w:cantSplit/>
        </w:trPr>
        <w:tc>
          <w:tcPr>
            <w:tcW w:w="1490" w:type="dxa"/>
            <w:vAlign w:val="center"/>
          </w:tcPr>
          <w:p>
            <w:pPr>
              <w:pStyle w:val="TableText"/>
            </w:pPr>
            <w:r>
              <w:rPr>
                <w:rFonts w:ascii="Calibri" w:hAnsi="Calibri" w:eastAsia="Microsoft YaHei"/>
              </w:rPr>
              <w:t xml:space="preserve">Dice score</w:t>
            </w:r>
          </w:p>
        </w:tc>
        <w:tc>
          <w:tcPr>
            <w:tcW w:w="5470" w:type="dxa"/>
            <w:vAlign w:val="center"/>
          </w:tcPr>
          <w:p>
            <w:pPr>
              <w:pStyle w:val="TableText"/>
            </w:pPr>
            <w:r>
              <w:rPr>
                <w:rFonts w:ascii="Calibri" w:hAnsi="Calibri" w:eastAsia="Microsoft YaHei"/>
              </w:rPr>
              <w:t xml:space="preserve">医学分割类别 Dice 系数；主表报告该阶段截至当时已见类别的汇总。逐类表的 Average 显示按已列类别取均值；背景纳入和体素汇总细节未明示。</w:t>
            </w:r>
          </w:p>
        </w:tc>
        <w:tc>
          <w:tcPr>
            <w:tcW w:w="1310" w:type="dxa"/>
            <w:vAlign w:val="center"/>
          </w:tcPr>
          <w:p>
            <w:pPr>
              <w:pStyle w:val="TableText"/>
            </w:pPr>
            <w:r>
              <w:rPr>
                <w:rFonts w:ascii="Calibri" w:hAnsi="Calibri" w:eastAsia="Microsoft YaHei"/>
              </w:rPr>
              <w:t xml:space="preserve">0–1；越大越好</w:t>
            </w:r>
          </w:p>
        </w:tc>
        <w:tc>
          <w:tcPr>
            <w:tcW w:w="1090" w:type="dxa"/>
            <w:vAlign w:val="center"/>
          </w:tcPr>
          <w:p>
            <w:pPr>
              <w:pStyle w:val="TableText"/>
            </w:pPr>
            <w:r>
              <w:rPr>
                <w:rFonts w:ascii="Calibri" w:hAnsi="Calibri" w:eastAsia="Microsoft YaHei"/>
              </w:rPr>
              <w:t xml:space="preserve">§5 p.6；表 27–31</w:t>
            </w:r>
          </w:p>
        </w:tc>
      </w:tr>
      <w:tr>
        <w:trPr>
          <w:cantSplit/>
        </w:trPr>
        <w:tc>
          <w:tcPr>
            <w:tcW w:w="1490" w:type="dxa"/>
            <w:vAlign w:val="center"/>
            <w:shd w:fill="F5F8FC"/>
          </w:tcPr>
          <w:p>
            <w:pPr>
              <w:pStyle w:val="TableText"/>
            </w:pPr>
            <w:r>
              <w:rPr>
                <w:rFonts w:ascii="Calibri" w:hAnsi="Calibri" w:eastAsia="Microsoft YaHei"/>
              </w:rPr>
              <w:t xml:space="preserve">mIoU</w:t>
            </w:r>
          </w:p>
        </w:tc>
        <w:tc>
          <w:tcPr>
            <w:tcW w:w="5470" w:type="dxa"/>
            <w:vAlign w:val="center"/>
            <w:shd w:fill="F5F8FC"/>
          </w:tcPr>
          <w:p>
            <w:pPr>
              <w:pStyle w:val="TableText"/>
            </w:pPr>
            <w:r>
              <w:rPr>
                <w:rFonts w:ascii="Calibri" w:hAnsi="Calibri" w:eastAsia="Microsoft YaHei"/>
              </w:rPr>
              <w:t xml:space="preserve">道路分割逐类 IoU 的阶段均值；主表为已见类别汇总，附录表 32–33、37、39 给出逐类分数。具体交并集汇总实现未报告。</w:t>
            </w:r>
          </w:p>
        </w:tc>
        <w:tc>
          <w:tcPr>
            <w:tcW w:w="1310" w:type="dxa"/>
            <w:vAlign w:val="center"/>
            <w:shd w:fill="F5F8FC"/>
          </w:tcPr>
          <w:p>
            <w:pPr>
              <w:pStyle w:val="TableText"/>
            </w:pPr>
            <w:r>
              <w:rPr>
                <w:rFonts w:ascii="Calibri" w:hAnsi="Calibri" w:eastAsia="Microsoft YaHei"/>
              </w:rPr>
              <w:t xml:space="preserve">0–100；越大越好</w:t>
            </w:r>
          </w:p>
        </w:tc>
        <w:tc>
          <w:tcPr>
            <w:tcW w:w="1090" w:type="dxa"/>
            <w:vAlign w:val="center"/>
            <w:shd w:fill="F5F8FC"/>
          </w:tcPr>
          <w:p>
            <w:pPr>
              <w:pStyle w:val="TableText"/>
            </w:pPr>
            <w:r>
              <w:rPr>
                <w:rFonts w:ascii="Calibri" w:hAnsi="Calibri" w:eastAsia="Microsoft YaHei"/>
              </w:rPr>
              <w:t xml:space="preserve">§5 p.6；表 4、7、32–33</w:t>
            </w:r>
          </w:p>
        </w:tc>
      </w:tr>
      <w:tr>
        <w:trPr>
          <w:cantSplit/>
        </w:trPr>
        <w:tc>
          <w:tcPr>
            <w:tcW w:w="1490" w:type="dxa"/>
            <w:vAlign w:val="center"/>
          </w:tcPr>
          <w:p>
            <w:pPr>
              <w:pStyle w:val="TableText"/>
            </w:pPr>
            <w:r>
              <w:rPr>
                <w:rFonts w:ascii="Calibri" w:hAnsi="Calibri" w:eastAsia="Microsoft YaHei"/>
              </w:rPr>
              <w:t xml:space="preserve">Total Drop</w:t>
            </w:r>
          </w:p>
        </w:tc>
        <w:tc>
          <w:tcPr>
            <w:tcW w:w="5470" w:type="dxa"/>
            <w:vAlign w:val="center"/>
          </w:tcPr>
          <w:p>
            <w:pPr>
              <w:pStyle w:val="TableText"/>
            </w:pPr>
            <w:r>
              <w:rPr>
                <w:rFonts w:ascii="Calibri" w:hAnsi="Calibri" w:eastAsia="Microsoft YaHei"/>
              </w:rPr>
              <w:t xml:space="preserve">相邻阶段分数下降的正部之和，除以 S0 并乘 100；表 26 的大多数基线只跑至 S2，不能当六阶段总遗忘。</w:t>
            </w:r>
          </w:p>
        </w:tc>
        <w:tc>
          <w:tcPr>
            <w:tcW w:w="1310" w:type="dxa"/>
            <w:vAlign w:val="center"/>
          </w:tcPr>
          <w:p>
            <w:pPr>
              <w:pStyle w:val="TableText"/>
            </w:pPr>
            <w:r>
              <w:rPr>
                <w:rFonts w:ascii="Calibri" w:hAnsi="Calibri" w:eastAsia="Microsoft YaHei"/>
              </w:rPr>
              <w:t xml:space="preserve">%；越小越好</w:t>
            </w:r>
          </w:p>
        </w:tc>
        <w:tc>
          <w:tcPr>
            <w:tcW w:w="1090" w:type="dxa"/>
            <w:vAlign w:val="center"/>
          </w:tcPr>
          <w:p>
            <w:pPr>
              <w:pStyle w:val="TableText"/>
            </w:pPr>
            <w:r>
              <w:rPr>
                <w:rFonts w:ascii="Calibri" w:hAnsi="Calibri" w:eastAsia="Microsoft YaHei"/>
              </w:rPr>
              <w:t xml:space="preserve">附录 L.3、表 26，pp.40、47</w:t>
            </w:r>
          </w:p>
        </w:tc>
      </w:tr>
      <w:tr>
        <w:trPr>
          <w:cantSplit/>
        </w:trPr>
        <w:tc>
          <w:tcPr>
            <w:tcW w:w="1490" w:type="dxa"/>
            <w:vAlign w:val="center"/>
            <w:shd w:fill="F5F8FC"/>
          </w:tcPr>
          <w:p>
            <w:pPr>
              <w:pStyle w:val="TableText"/>
            </w:pPr>
            <w:r>
              <w:rPr>
                <w:rFonts w:ascii="Calibri" w:hAnsi="Calibri" w:eastAsia="Microsoft YaHei"/>
              </w:rPr>
              <w:t xml:space="preserve">Retention</w:t>
            </w:r>
          </w:p>
        </w:tc>
        <w:tc>
          <w:tcPr>
            <w:tcW w:w="5470" w:type="dxa"/>
            <w:vAlign w:val="center"/>
            <w:shd w:fill="F5F8FC"/>
          </w:tcPr>
          <w:p>
            <w:pPr>
              <w:pStyle w:val="TableText"/>
            </w:pPr>
            <w:r>
              <w:rPr>
                <w:rFonts w:ascii="Calibri" w:hAnsi="Calibri" w:eastAsia="Microsoft YaHei"/>
              </w:rPr>
              <w:t xml:space="preserve">伪标签同时通过置信度与相似度阈值的比例；不等于通过者的正确率。</w:t>
            </w:r>
          </w:p>
        </w:tc>
        <w:tc>
          <w:tcPr>
            <w:tcW w:w="1310" w:type="dxa"/>
            <w:vAlign w:val="center"/>
            <w:shd w:fill="F5F8FC"/>
          </w:tcPr>
          <w:p>
            <w:pPr>
              <w:pStyle w:val="TableText"/>
            </w:pPr>
            <w:r>
              <w:rPr>
                <w:rFonts w:ascii="Calibri" w:hAnsi="Calibri" w:eastAsia="Microsoft YaHei"/>
              </w:rPr>
              <w:t xml:space="preserve">%；越大不必然越好</w:t>
            </w:r>
          </w:p>
        </w:tc>
        <w:tc>
          <w:tcPr>
            <w:tcW w:w="1090" w:type="dxa"/>
            <w:vAlign w:val="center"/>
            <w:shd w:fill="F5F8FC"/>
          </w:tcPr>
          <w:p>
            <w:pPr>
              <w:pStyle w:val="TableText"/>
            </w:pPr>
            <w:r>
              <w:rPr>
                <w:rFonts w:ascii="Calibri" w:hAnsi="Calibri" w:eastAsia="Microsoft YaHei"/>
              </w:rPr>
              <w:t xml:space="preserve">表 11，p.33</w:t>
            </w:r>
          </w:p>
        </w:tc>
      </w:tr>
    </w:tbl>
    <w:p>
      <w:pPr>
        <w:pStyle w:val="Caption"/>
      </w:pPr>
      <w:r>
        <w:t xml:space="preserve">表 4 论文报告的阶段分数。序列按 S0→S末 排列，— 为未评估；同协议内比较。</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start w:w="105" w:type="dxa"/>
          <w:end w:w="105" w:type="dxa"/>
        </w:tblCellMar>
      </w:tblPr>
      <w:tblGrid>
        <w:gridCol w:w="620"/>
        <w:gridCol w:w="2000"/>
        <w:gridCol w:w="5500"/>
        <w:gridCol w:w="1240"/>
      </w:tblGrid>
      <w:tr>
        <w:trPr>
          <w:tblHeader w:val="true"/>
          <w:cantSplit/>
        </w:trPr>
        <w:tc>
          <w:tcPr>
            <w:tcW w:w="620" w:type="dxa"/>
            <w:vAlign w:val="center"/>
            <w:shd w:fill="DCE7F3"/>
          </w:tcPr>
          <w:p>
            <w:pPr>
              <w:pStyle w:val="TableText"/>
            </w:pPr>
            <w:r>
              <w:rPr>
                <w:rFonts w:ascii="Calibri" w:hAnsi="Calibri" w:eastAsia="Microsoft YaHei"/>
                <w:b/>
              </w:rPr>
              <w:t xml:space="preserve">组号</w:t>
            </w:r>
          </w:p>
        </w:tc>
        <w:tc>
          <w:tcPr>
            <w:tcW w:w="2000" w:type="dxa"/>
            <w:vAlign w:val="center"/>
            <w:shd w:fill="DCE7F3"/>
          </w:tcPr>
          <w:p>
            <w:pPr>
              <w:pStyle w:val="TableText"/>
            </w:pPr>
            <w:r>
              <w:rPr>
                <w:rFonts w:ascii="Calibri" w:hAnsi="Calibri" w:eastAsia="Microsoft YaHei"/>
                <w:b/>
              </w:rPr>
              <w:t xml:space="preserve">协议／指标</w:t>
            </w:r>
          </w:p>
        </w:tc>
        <w:tc>
          <w:tcPr>
            <w:tcW w:w="5500" w:type="dxa"/>
            <w:vAlign w:val="center"/>
            <w:shd w:fill="DCE7F3"/>
          </w:tcPr>
          <w:p>
            <w:pPr>
              <w:pStyle w:val="TableText"/>
            </w:pPr>
            <w:r>
              <w:rPr>
                <w:rFonts w:ascii="Calibri" w:hAnsi="Calibri" w:eastAsia="Microsoft YaHei"/>
                <w:b/>
              </w:rPr>
              <w:t xml:space="preserve">S0 至最后阶段的阶段分数</w:t>
            </w:r>
          </w:p>
        </w:tc>
        <w:tc>
          <w:tcPr>
            <w:tcW w:w="1240" w:type="dxa"/>
            <w:vAlign w:val="center"/>
            <w:shd w:fill="DCE7F3"/>
          </w:tcPr>
          <w:p>
            <w:pPr>
              <w:pStyle w:val="TableText"/>
            </w:pPr>
            <w:r>
              <w:rPr>
                <w:rFonts w:ascii="Calibri" w:hAnsi="Calibri" w:eastAsia="Microsoft YaHei"/>
                <w:b/>
              </w:rPr>
              <w:t xml:space="preserve">依据</w:t>
            </w:r>
          </w:p>
        </w:tc>
      </w:tr>
      <w:tr>
        <w:trPr>
          <w:cantSplit/>
        </w:trPr>
        <w:tc>
          <w:tcPr>
            <w:tcW w:w="620" w:type="dxa"/>
            <w:vAlign w:val="center"/>
          </w:tcPr>
          <w:p>
            <w:pPr>
              <w:pStyle w:val="TableText"/>
            </w:pPr>
            <w:r>
              <w:rPr>
                <w:rFonts w:ascii="Calibri" w:hAnsi="Calibri" w:eastAsia="Microsoft YaHei"/>
              </w:rPr>
              <w:t xml:space="preserve">G01</w:t>
            </w:r>
          </w:p>
        </w:tc>
        <w:tc>
          <w:tcPr>
            <w:tcW w:w="2000" w:type="dxa"/>
            <w:vAlign w:val="center"/>
          </w:tcPr>
          <w:p>
            <w:pPr>
              <w:pStyle w:val="TableText"/>
            </w:pPr>
            <w:r>
              <w:rPr>
                <w:rFonts w:ascii="Calibri" w:hAnsi="Calibri" w:eastAsia="Microsoft YaHei"/>
              </w:rPr>
              <w:t xml:space="preserve">Med Disjoint／Dice</w:t>
            </w:r>
          </w:p>
        </w:tc>
        <w:tc>
          <w:tcPr>
            <w:tcW w:w="5500" w:type="dxa"/>
            <w:vAlign w:val="center"/>
          </w:tcPr>
          <w:p>
            <w:pPr>
              <w:pStyle w:val="TableText"/>
            </w:pPr>
            <w:r>
              <w:rPr>
                <w:rFonts w:ascii="Calibri" w:hAnsi="Calibri" w:eastAsia="Microsoft YaHei"/>
              </w:rPr>
              <w:t xml:space="preserve">0.700 → 0.076 → 0.057 → 0.047 → 0.030 → 0.042</w:t>
            </w:r>
          </w:p>
        </w:tc>
        <w:tc>
          <w:tcPr>
            <w:tcW w:w="1240" w:type="dxa"/>
            <w:vAlign w:val="center"/>
          </w:tcPr>
          <w:p>
            <w:pPr>
              <w:pStyle w:val="TableText"/>
            </w:pPr>
            <w:r>
              <w:rPr>
                <w:rFonts w:ascii="Calibri" w:hAnsi="Calibri" w:eastAsia="Microsoft YaHei"/>
              </w:rPr>
              <w:t xml:space="preserve">表 3 p.7</w:t>
            </w:r>
          </w:p>
        </w:tc>
      </w:tr>
      <w:tr>
        <w:trPr>
          <w:cantSplit/>
        </w:trPr>
        <w:tc>
          <w:tcPr>
            <w:tcW w:w="620" w:type="dxa"/>
            <w:vAlign w:val="center"/>
            <w:shd w:fill="F5F8FC"/>
          </w:tcPr>
          <w:p>
            <w:pPr>
              <w:pStyle w:val="TableText"/>
            </w:pPr>
            <w:r>
              <w:rPr>
                <w:rFonts w:ascii="Calibri" w:hAnsi="Calibri" w:eastAsia="Microsoft YaHei"/>
              </w:rPr>
              <w:t xml:space="preserve">G02</w:t>
            </w:r>
          </w:p>
        </w:tc>
        <w:tc>
          <w:tcPr>
            <w:tcW w:w="2000" w:type="dxa"/>
            <w:vAlign w:val="center"/>
            <w:shd w:fill="F5F8FC"/>
          </w:tcPr>
          <w:p>
            <w:pPr>
              <w:pStyle w:val="TableText"/>
            </w:pPr>
            <w:r>
              <w:rPr>
                <w:rFonts w:ascii="Calibri" w:hAnsi="Calibri" w:eastAsia="Microsoft YaHei"/>
              </w:rPr>
              <w:t xml:space="preserve">Med Disjoint／Dice</w:t>
            </w:r>
          </w:p>
        </w:tc>
        <w:tc>
          <w:tcPr>
            <w:tcW w:w="5500" w:type="dxa"/>
            <w:vAlign w:val="center"/>
            <w:shd w:fill="F5F8FC"/>
          </w:tcPr>
          <w:p>
            <w:pPr>
              <w:pStyle w:val="TableText"/>
            </w:pPr>
            <w:r>
              <w:rPr>
                <w:rFonts w:ascii="Calibri" w:hAnsi="Calibri" w:eastAsia="Microsoft YaHei"/>
              </w:rPr>
              <w:t xml:space="preserve">0.736 → 0.460 → 0.398 → 0.329 → 0.025 → 0.324</w:t>
            </w:r>
          </w:p>
        </w:tc>
        <w:tc>
          <w:tcPr>
            <w:tcW w:w="1240" w:type="dxa"/>
            <w:vAlign w:val="center"/>
            <w:shd w:fill="F5F8FC"/>
          </w:tcPr>
          <w:p>
            <w:pPr>
              <w:pStyle w:val="TableText"/>
            </w:pPr>
            <w:r>
              <w:rPr>
                <w:rFonts w:ascii="Calibri" w:hAnsi="Calibri" w:eastAsia="Microsoft YaHei"/>
              </w:rPr>
              <w:t xml:space="preserve">表 3 p.7</w:t>
            </w:r>
          </w:p>
        </w:tc>
      </w:tr>
      <w:tr>
        <w:trPr>
          <w:cantSplit/>
        </w:trPr>
        <w:tc>
          <w:tcPr>
            <w:tcW w:w="620" w:type="dxa"/>
            <w:vAlign w:val="center"/>
          </w:tcPr>
          <w:p>
            <w:pPr>
              <w:pStyle w:val="TableText"/>
            </w:pPr>
            <w:r>
              <w:rPr>
                <w:rFonts w:ascii="Calibri" w:hAnsi="Calibri" w:eastAsia="Microsoft YaHei"/>
              </w:rPr>
              <w:t xml:space="preserve">G03</w:t>
            </w:r>
          </w:p>
        </w:tc>
        <w:tc>
          <w:tcPr>
            <w:tcW w:w="2000" w:type="dxa"/>
            <w:vAlign w:val="center"/>
          </w:tcPr>
          <w:p>
            <w:pPr>
              <w:pStyle w:val="TableText"/>
            </w:pPr>
            <w:r>
              <w:rPr>
                <w:rFonts w:ascii="Calibri" w:hAnsi="Calibri" w:eastAsia="Microsoft YaHei"/>
              </w:rPr>
              <w:t xml:space="preserve">Med Disjoint／Dice</w:t>
            </w:r>
          </w:p>
        </w:tc>
        <w:tc>
          <w:tcPr>
            <w:tcW w:w="5500" w:type="dxa"/>
            <w:vAlign w:val="center"/>
          </w:tcPr>
          <w:p>
            <w:pPr>
              <w:pStyle w:val="TableText"/>
            </w:pPr>
            <w:r>
              <w:rPr>
                <w:rFonts w:ascii="Calibri" w:hAnsi="Calibri" w:eastAsia="Microsoft YaHei"/>
              </w:rPr>
              <w:t xml:space="preserve">0.700 → 0.430 → 0.325 → — → — → —</w:t>
            </w:r>
          </w:p>
        </w:tc>
        <w:tc>
          <w:tcPr>
            <w:tcW w:w="1240" w:type="dxa"/>
            <w:vAlign w:val="center"/>
          </w:tcPr>
          <w:p>
            <w:pPr>
              <w:pStyle w:val="TableText"/>
            </w:pPr>
            <w:r>
              <w:rPr>
                <w:rFonts w:ascii="Calibri" w:hAnsi="Calibri" w:eastAsia="Microsoft YaHei"/>
              </w:rPr>
              <w:t xml:space="preserve">表 2 p.7</w:t>
            </w:r>
          </w:p>
        </w:tc>
      </w:tr>
      <w:tr>
        <w:trPr>
          <w:cantSplit/>
        </w:trPr>
        <w:tc>
          <w:tcPr>
            <w:tcW w:w="620" w:type="dxa"/>
            <w:vAlign w:val="center"/>
            <w:shd w:fill="F5F8FC"/>
          </w:tcPr>
          <w:p>
            <w:pPr>
              <w:pStyle w:val="TableText"/>
            </w:pPr>
            <w:r>
              <w:rPr>
                <w:rFonts w:ascii="Calibri" w:hAnsi="Calibri" w:eastAsia="Microsoft YaHei"/>
              </w:rPr>
              <w:t xml:space="preserve">G04</w:t>
            </w:r>
          </w:p>
        </w:tc>
        <w:tc>
          <w:tcPr>
            <w:tcW w:w="2000" w:type="dxa"/>
            <w:vAlign w:val="center"/>
            <w:shd w:fill="F5F8FC"/>
          </w:tcPr>
          <w:p>
            <w:pPr>
              <w:pStyle w:val="TableText"/>
            </w:pPr>
            <w:r>
              <w:rPr>
                <w:rFonts w:ascii="Calibri" w:hAnsi="Calibri" w:eastAsia="Microsoft YaHei"/>
              </w:rPr>
              <w:t xml:space="preserve">Med SS／Dice</w:t>
            </w:r>
          </w:p>
        </w:tc>
        <w:tc>
          <w:tcPr>
            <w:tcW w:w="5500" w:type="dxa"/>
            <w:vAlign w:val="center"/>
            <w:shd w:fill="F5F8FC"/>
          </w:tcPr>
          <w:p>
            <w:pPr>
              <w:pStyle w:val="TableText"/>
            </w:pPr>
            <w:r>
              <w:rPr>
                <w:rFonts w:ascii="Calibri" w:hAnsi="Calibri" w:eastAsia="Microsoft YaHei"/>
              </w:rPr>
              <w:t xml:space="preserve">0.700 → 0.076 → 0.058 → 0.047 → 0.030 → 0.043</w:t>
            </w:r>
          </w:p>
        </w:tc>
        <w:tc>
          <w:tcPr>
            <w:tcW w:w="1240" w:type="dxa"/>
            <w:vAlign w:val="center"/>
            <w:shd w:fill="F5F8FC"/>
          </w:tcPr>
          <w:p>
            <w:pPr>
              <w:pStyle w:val="TableText"/>
            </w:pPr>
            <w:r>
              <w:rPr>
                <w:rFonts w:ascii="Calibri" w:hAnsi="Calibri" w:eastAsia="Microsoft YaHei"/>
              </w:rPr>
              <w:t xml:space="preserve">表 8 p.9</w:t>
            </w:r>
          </w:p>
        </w:tc>
      </w:tr>
      <w:tr>
        <w:trPr>
          <w:cantSplit/>
        </w:trPr>
        <w:tc>
          <w:tcPr>
            <w:tcW w:w="620" w:type="dxa"/>
            <w:vAlign w:val="center"/>
          </w:tcPr>
          <w:p>
            <w:pPr>
              <w:pStyle w:val="TableText"/>
            </w:pPr>
            <w:r>
              <w:rPr>
                <w:rFonts w:ascii="Calibri" w:hAnsi="Calibri" w:eastAsia="Microsoft YaHei"/>
              </w:rPr>
              <w:t xml:space="preserve">G05</w:t>
            </w:r>
          </w:p>
        </w:tc>
        <w:tc>
          <w:tcPr>
            <w:tcW w:w="2000" w:type="dxa"/>
            <w:vAlign w:val="center"/>
          </w:tcPr>
          <w:p>
            <w:pPr>
              <w:pStyle w:val="TableText"/>
            </w:pPr>
            <w:r>
              <w:rPr>
                <w:rFonts w:ascii="Calibri" w:hAnsi="Calibri" w:eastAsia="Microsoft YaHei"/>
              </w:rPr>
              <w:t xml:space="preserve">Med SS／Dice</w:t>
            </w:r>
          </w:p>
        </w:tc>
        <w:tc>
          <w:tcPr>
            <w:tcW w:w="5500" w:type="dxa"/>
            <w:vAlign w:val="center"/>
          </w:tcPr>
          <w:p>
            <w:pPr>
              <w:pStyle w:val="TableText"/>
            </w:pPr>
            <w:r>
              <w:rPr>
                <w:rFonts w:ascii="Calibri" w:hAnsi="Calibri" w:eastAsia="Microsoft YaHei"/>
              </w:rPr>
              <w:t xml:space="preserve">0.736 → 0.554 → 0.445 → 0.414 → 0.058 → 0.368</w:t>
            </w:r>
          </w:p>
        </w:tc>
        <w:tc>
          <w:tcPr>
            <w:tcW w:w="1240" w:type="dxa"/>
            <w:vAlign w:val="center"/>
          </w:tcPr>
          <w:p>
            <w:pPr>
              <w:pStyle w:val="TableText"/>
            </w:pPr>
            <w:r>
              <w:rPr>
                <w:rFonts w:ascii="Calibri" w:hAnsi="Calibri" w:eastAsia="Microsoft YaHei"/>
              </w:rPr>
              <w:t xml:space="preserve">表 8 p.9</w:t>
            </w:r>
          </w:p>
        </w:tc>
      </w:tr>
      <w:tr>
        <w:trPr>
          <w:cantSplit/>
        </w:trPr>
        <w:tc>
          <w:tcPr>
            <w:tcW w:w="620" w:type="dxa"/>
            <w:vAlign w:val="center"/>
            <w:shd w:fill="F5F8FC"/>
          </w:tcPr>
          <w:p>
            <w:pPr>
              <w:pStyle w:val="TableText"/>
            </w:pPr>
            <w:r>
              <w:rPr>
                <w:rFonts w:ascii="Calibri" w:hAnsi="Calibri" w:eastAsia="Microsoft YaHei"/>
              </w:rPr>
              <w:t xml:space="preserve">G06</w:t>
            </w:r>
          </w:p>
        </w:tc>
        <w:tc>
          <w:tcPr>
            <w:tcW w:w="2000" w:type="dxa"/>
            <w:vAlign w:val="center"/>
            <w:shd w:fill="F5F8FC"/>
          </w:tcPr>
          <w:p>
            <w:pPr>
              <w:pStyle w:val="TableText"/>
            </w:pPr>
            <w:r>
              <w:rPr>
                <w:rFonts w:ascii="Calibri" w:hAnsi="Calibri" w:eastAsia="Microsoft YaHei"/>
              </w:rPr>
              <w:t xml:space="preserve">Med SS／Dice</w:t>
            </w:r>
          </w:p>
        </w:tc>
        <w:tc>
          <w:tcPr>
            <w:tcW w:w="5500" w:type="dxa"/>
            <w:vAlign w:val="center"/>
            <w:shd w:fill="F5F8FC"/>
          </w:tcPr>
          <w:p>
            <w:pPr>
              <w:pStyle w:val="TableText"/>
            </w:pPr>
            <w:r>
              <w:rPr>
                <w:rFonts w:ascii="Calibri" w:hAnsi="Calibri" w:eastAsia="Microsoft YaHei"/>
              </w:rPr>
              <w:t xml:space="preserve">0.659 → 0.065 → 0.062 → 0.059 → 0.051 → 0.040</w:t>
            </w:r>
          </w:p>
        </w:tc>
        <w:tc>
          <w:tcPr>
            <w:tcW w:w="1240" w:type="dxa"/>
            <w:vAlign w:val="center"/>
            <w:shd w:fill="F5F8FC"/>
          </w:tcPr>
          <w:p>
            <w:pPr>
              <w:pStyle w:val="TableText"/>
            </w:pPr>
            <w:r>
              <w:rPr>
                <w:rFonts w:ascii="Calibri" w:hAnsi="Calibri" w:eastAsia="Microsoft YaHei"/>
              </w:rPr>
              <w:t xml:space="preserve">表 8 p.9</w:t>
            </w:r>
          </w:p>
        </w:tc>
      </w:tr>
      <w:tr>
        <w:trPr>
          <w:cantSplit/>
        </w:trPr>
        <w:tc>
          <w:tcPr>
            <w:tcW w:w="620" w:type="dxa"/>
            <w:vAlign w:val="center"/>
          </w:tcPr>
          <w:p>
            <w:pPr>
              <w:pStyle w:val="TableText"/>
            </w:pPr>
            <w:r>
              <w:rPr>
                <w:rFonts w:ascii="Calibri" w:hAnsi="Calibri" w:eastAsia="Microsoft YaHei"/>
              </w:rPr>
              <w:t xml:space="preserve">G07</w:t>
            </w:r>
          </w:p>
        </w:tc>
        <w:tc>
          <w:tcPr>
            <w:tcW w:w="2000" w:type="dxa"/>
            <w:vAlign w:val="center"/>
          </w:tcPr>
          <w:p>
            <w:pPr>
              <w:pStyle w:val="TableText"/>
            </w:pPr>
            <w:r>
              <w:rPr>
                <w:rFonts w:ascii="Calibri" w:hAnsi="Calibri" w:eastAsia="Microsoft YaHei"/>
              </w:rPr>
              <w:t xml:space="preserve">Med SS／Dice</w:t>
            </w:r>
          </w:p>
        </w:tc>
        <w:tc>
          <w:tcPr>
            <w:tcW w:w="5500" w:type="dxa"/>
            <w:vAlign w:val="center"/>
          </w:tcPr>
          <w:p>
            <w:pPr>
              <w:pStyle w:val="TableText"/>
            </w:pPr>
            <w:r>
              <w:rPr>
                <w:rFonts w:ascii="Calibri" w:hAnsi="Calibri" w:eastAsia="Microsoft YaHei"/>
              </w:rPr>
              <w:t xml:space="preserve">0.640 → 0.431 → 0.368 → 0.335 → 0.323 → 0.293</w:t>
            </w:r>
          </w:p>
        </w:tc>
        <w:tc>
          <w:tcPr>
            <w:tcW w:w="1240" w:type="dxa"/>
            <w:vAlign w:val="center"/>
          </w:tcPr>
          <w:p>
            <w:pPr>
              <w:pStyle w:val="TableText"/>
            </w:pPr>
            <w:r>
              <w:rPr>
                <w:rFonts w:ascii="Calibri" w:hAnsi="Calibri" w:eastAsia="Microsoft YaHei"/>
              </w:rPr>
              <w:t xml:space="preserve">表 8 p.9</w:t>
            </w:r>
          </w:p>
        </w:tc>
      </w:tr>
      <w:tr>
        <w:trPr>
          <w:cantSplit/>
        </w:trPr>
        <w:tc>
          <w:tcPr>
            <w:tcW w:w="620" w:type="dxa"/>
            <w:vAlign w:val="center"/>
            <w:shd w:fill="F5F8FC"/>
          </w:tcPr>
          <w:p>
            <w:pPr>
              <w:pStyle w:val="TableText"/>
            </w:pPr>
            <w:r>
              <w:rPr>
                <w:rFonts w:ascii="Calibri" w:hAnsi="Calibri" w:eastAsia="Microsoft YaHei"/>
              </w:rPr>
              <w:t xml:space="preserve">G08</w:t>
            </w:r>
          </w:p>
        </w:tc>
        <w:tc>
          <w:tcPr>
            <w:tcW w:w="2000" w:type="dxa"/>
            <w:vAlign w:val="center"/>
            <w:shd w:fill="F5F8FC"/>
          </w:tcPr>
          <w:p>
            <w:pPr>
              <w:pStyle w:val="TableText"/>
            </w:pPr>
            <w:r>
              <w:rPr>
                <w:rFonts w:ascii="Calibri" w:hAnsi="Calibri" w:eastAsia="Microsoft YaHei"/>
              </w:rPr>
              <w:t xml:space="preserve">Med Mixed／Dice</w:t>
            </w:r>
          </w:p>
        </w:tc>
        <w:tc>
          <w:tcPr>
            <w:tcW w:w="5500" w:type="dxa"/>
            <w:vAlign w:val="center"/>
            <w:shd w:fill="F5F8FC"/>
          </w:tcPr>
          <w:p>
            <w:pPr>
              <w:pStyle w:val="TableText"/>
            </w:pPr>
            <w:r>
              <w:rPr>
                <w:rFonts w:ascii="Calibri" w:hAnsi="Calibri" w:eastAsia="Microsoft YaHei"/>
              </w:rPr>
              <w:t xml:space="preserve">0.613 → 0.198 → 0.134 → 0.052 → 0.067</w:t>
            </w:r>
          </w:p>
        </w:tc>
        <w:tc>
          <w:tcPr>
            <w:tcW w:w="1240" w:type="dxa"/>
            <w:vAlign w:val="center"/>
            <w:shd w:fill="F5F8FC"/>
          </w:tcPr>
          <w:p>
            <w:pPr>
              <w:pStyle w:val="TableText"/>
            </w:pPr>
            <w:r>
              <w:rPr>
                <w:rFonts w:ascii="Calibri" w:hAnsi="Calibri" w:eastAsia="Microsoft YaHei"/>
              </w:rPr>
              <w:t xml:space="preserve">表 6 p.8</w:t>
            </w:r>
          </w:p>
        </w:tc>
      </w:tr>
      <w:tr>
        <w:trPr>
          <w:cantSplit/>
        </w:trPr>
        <w:tc>
          <w:tcPr>
            <w:tcW w:w="620" w:type="dxa"/>
            <w:vAlign w:val="center"/>
          </w:tcPr>
          <w:p>
            <w:pPr>
              <w:pStyle w:val="TableText"/>
            </w:pPr>
            <w:r>
              <w:rPr>
                <w:rFonts w:ascii="Calibri" w:hAnsi="Calibri" w:eastAsia="Microsoft YaHei"/>
              </w:rPr>
              <w:t xml:space="preserve">G09</w:t>
            </w:r>
          </w:p>
        </w:tc>
        <w:tc>
          <w:tcPr>
            <w:tcW w:w="2000" w:type="dxa"/>
            <w:vAlign w:val="center"/>
          </w:tcPr>
          <w:p>
            <w:pPr>
              <w:pStyle w:val="TableText"/>
            </w:pPr>
            <w:r>
              <w:rPr>
                <w:rFonts w:ascii="Calibri" w:hAnsi="Calibri" w:eastAsia="Microsoft YaHei"/>
              </w:rPr>
              <w:t xml:space="preserve">Med Mixed／Dice</w:t>
            </w:r>
          </w:p>
        </w:tc>
        <w:tc>
          <w:tcPr>
            <w:tcW w:w="5500" w:type="dxa"/>
            <w:vAlign w:val="center"/>
          </w:tcPr>
          <w:p>
            <w:pPr>
              <w:pStyle w:val="TableText"/>
            </w:pPr>
            <w:r>
              <w:rPr>
                <w:rFonts w:ascii="Calibri" w:hAnsi="Calibri" w:eastAsia="Microsoft YaHei"/>
              </w:rPr>
              <w:t xml:space="preserve">0.622 → 0.367 → 0.287 → 0.288 → 0.228</w:t>
            </w:r>
          </w:p>
        </w:tc>
        <w:tc>
          <w:tcPr>
            <w:tcW w:w="1240" w:type="dxa"/>
            <w:vAlign w:val="center"/>
          </w:tcPr>
          <w:p>
            <w:pPr>
              <w:pStyle w:val="TableText"/>
            </w:pPr>
            <w:r>
              <w:rPr>
                <w:rFonts w:ascii="Calibri" w:hAnsi="Calibri" w:eastAsia="Microsoft YaHei"/>
              </w:rPr>
              <w:t xml:space="preserve">表 6 p.8</w:t>
            </w:r>
          </w:p>
        </w:tc>
      </w:tr>
      <w:tr>
        <w:trPr>
          <w:cantSplit/>
        </w:trPr>
        <w:tc>
          <w:tcPr>
            <w:tcW w:w="620" w:type="dxa"/>
            <w:vAlign w:val="center"/>
            <w:shd w:fill="F5F8FC"/>
          </w:tcPr>
          <w:p>
            <w:pPr>
              <w:pStyle w:val="TableText"/>
            </w:pPr>
            <w:r>
              <w:rPr>
                <w:rFonts w:ascii="Calibri" w:hAnsi="Calibri" w:eastAsia="Microsoft YaHei"/>
              </w:rPr>
              <w:t xml:space="preserve">G10</w:t>
            </w:r>
          </w:p>
        </w:tc>
        <w:tc>
          <w:tcPr>
            <w:tcW w:w="2000" w:type="dxa"/>
            <w:vAlign w:val="center"/>
            <w:shd w:fill="F5F8FC"/>
          </w:tcPr>
          <w:p>
            <w:pPr>
              <w:pStyle w:val="TableText"/>
            </w:pPr>
            <w:r>
              <w:rPr>
                <w:rFonts w:ascii="Calibri" w:hAnsi="Calibri" w:eastAsia="Microsoft YaHei"/>
              </w:rPr>
              <w:t xml:space="preserve">Med Mixed／Dice</w:t>
            </w:r>
          </w:p>
        </w:tc>
        <w:tc>
          <w:tcPr>
            <w:tcW w:w="5500" w:type="dxa"/>
            <w:vAlign w:val="center"/>
            <w:shd w:fill="F5F8FC"/>
          </w:tcPr>
          <w:p>
            <w:pPr>
              <w:pStyle w:val="TableText"/>
            </w:pPr>
            <w:r>
              <w:rPr>
                <w:rFonts w:ascii="Calibri" w:hAnsi="Calibri" w:eastAsia="Microsoft YaHei"/>
              </w:rPr>
              <w:t xml:space="preserve">0.623 → 0.070 → 0.067 → 0.063 → 0.080</w:t>
            </w:r>
          </w:p>
        </w:tc>
        <w:tc>
          <w:tcPr>
            <w:tcW w:w="1240" w:type="dxa"/>
            <w:vAlign w:val="center"/>
            <w:shd w:fill="F5F8FC"/>
          </w:tcPr>
          <w:p>
            <w:pPr>
              <w:pStyle w:val="TableText"/>
            </w:pPr>
            <w:r>
              <w:rPr>
                <w:rFonts w:ascii="Calibri" w:hAnsi="Calibri" w:eastAsia="Microsoft YaHei"/>
              </w:rPr>
              <w:t xml:space="preserve">表 34 p.54</w:t>
            </w:r>
          </w:p>
        </w:tc>
      </w:tr>
      <w:tr>
        <w:trPr>
          <w:cantSplit/>
        </w:trPr>
        <w:tc>
          <w:tcPr>
            <w:tcW w:w="620" w:type="dxa"/>
            <w:vAlign w:val="center"/>
          </w:tcPr>
          <w:p>
            <w:pPr>
              <w:pStyle w:val="TableText"/>
            </w:pPr>
            <w:r>
              <w:rPr>
                <w:rFonts w:ascii="Calibri" w:hAnsi="Calibri" w:eastAsia="Microsoft YaHei"/>
              </w:rPr>
              <w:t xml:space="preserve">G11</w:t>
            </w:r>
          </w:p>
        </w:tc>
        <w:tc>
          <w:tcPr>
            <w:tcW w:w="2000" w:type="dxa"/>
            <w:vAlign w:val="center"/>
          </w:tcPr>
          <w:p>
            <w:pPr>
              <w:pStyle w:val="TableText"/>
            </w:pPr>
            <w:r>
              <w:rPr>
                <w:rFonts w:ascii="Calibri" w:hAnsi="Calibri" w:eastAsia="Microsoft YaHei"/>
              </w:rPr>
              <w:t xml:space="preserve">Natural／mIoU</w:t>
            </w:r>
          </w:p>
        </w:tc>
        <w:tc>
          <w:tcPr>
            <w:tcW w:w="5500" w:type="dxa"/>
            <w:vAlign w:val="center"/>
          </w:tcPr>
          <w:p>
            <w:pPr>
              <w:pStyle w:val="TableText"/>
            </w:pPr>
            <w:r>
              <w:rPr>
                <w:rFonts w:ascii="Calibri" w:hAnsi="Calibri" w:eastAsia="Microsoft YaHei"/>
              </w:rPr>
              <w:t xml:space="preserve">47.76 → 2.18 → 3.86</w:t>
            </w:r>
          </w:p>
        </w:tc>
        <w:tc>
          <w:tcPr>
            <w:tcW w:w="1240" w:type="dxa"/>
            <w:vAlign w:val="center"/>
          </w:tcPr>
          <w:p>
            <w:pPr>
              <w:pStyle w:val="TableText"/>
            </w:pPr>
            <w:r>
              <w:rPr>
                <w:rFonts w:ascii="Calibri" w:hAnsi="Calibri" w:eastAsia="Microsoft YaHei"/>
              </w:rPr>
              <w:t xml:space="preserve">表 4 p.7</w:t>
            </w:r>
          </w:p>
        </w:tc>
      </w:tr>
      <w:tr>
        <w:trPr>
          <w:cantSplit/>
        </w:trPr>
        <w:tc>
          <w:tcPr>
            <w:tcW w:w="620" w:type="dxa"/>
            <w:vAlign w:val="center"/>
            <w:shd w:fill="F5F8FC"/>
          </w:tcPr>
          <w:p>
            <w:pPr>
              <w:pStyle w:val="TableText"/>
            </w:pPr>
            <w:r>
              <w:rPr>
                <w:rFonts w:ascii="Calibri" w:hAnsi="Calibri" w:eastAsia="Microsoft YaHei"/>
              </w:rPr>
              <w:t xml:space="preserve">G12</w:t>
            </w:r>
          </w:p>
        </w:tc>
        <w:tc>
          <w:tcPr>
            <w:tcW w:w="2000" w:type="dxa"/>
            <w:vAlign w:val="center"/>
            <w:shd w:fill="F5F8FC"/>
          </w:tcPr>
          <w:p>
            <w:pPr>
              <w:pStyle w:val="TableText"/>
            </w:pPr>
            <w:r>
              <w:rPr>
                <w:rFonts w:ascii="Calibri" w:hAnsi="Calibri" w:eastAsia="Microsoft YaHei"/>
              </w:rPr>
              <w:t xml:space="preserve">Natural／mIoU</w:t>
            </w:r>
          </w:p>
        </w:tc>
        <w:tc>
          <w:tcPr>
            <w:tcW w:w="5500" w:type="dxa"/>
            <w:vAlign w:val="center"/>
            <w:shd w:fill="F5F8FC"/>
          </w:tcPr>
          <w:p>
            <w:pPr>
              <w:pStyle w:val="TableText"/>
            </w:pPr>
            <w:r>
              <w:rPr>
                <w:rFonts w:ascii="Calibri" w:hAnsi="Calibri" w:eastAsia="Microsoft YaHei"/>
              </w:rPr>
              <w:t xml:space="preserve">47.76 → 23.42 → 16.68</w:t>
            </w:r>
          </w:p>
        </w:tc>
        <w:tc>
          <w:tcPr>
            <w:tcW w:w="1240" w:type="dxa"/>
            <w:vAlign w:val="center"/>
            <w:shd w:fill="F5F8FC"/>
          </w:tcPr>
          <w:p>
            <w:pPr>
              <w:pStyle w:val="TableText"/>
            </w:pPr>
            <w:r>
              <w:rPr>
                <w:rFonts w:ascii="Calibri" w:hAnsi="Calibri" w:eastAsia="Microsoft YaHei"/>
              </w:rPr>
              <w:t xml:space="preserve">表 4 p.7</w:t>
            </w:r>
          </w:p>
        </w:tc>
      </w:tr>
      <w:tr>
        <w:trPr>
          <w:cantSplit/>
        </w:trPr>
        <w:tc>
          <w:tcPr>
            <w:tcW w:w="620" w:type="dxa"/>
            <w:vAlign w:val="center"/>
          </w:tcPr>
          <w:p>
            <w:pPr>
              <w:pStyle w:val="TableText"/>
            </w:pPr>
            <w:r>
              <w:rPr>
                <w:rFonts w:ascii="Calibri" w:hAnsi="Calibri" w:eastAsia="Microsoft YaHei"/>
              </w:rPr>
              <w:t xml:space="preserve">G13</w:t>
            </w:r>
          </w:p>
        </w:tc>
        <w:tc>
          <w:tcPr>
            <w:tcW w:w="2000" w:type="dxa"/>
            <w:vAlign w:val="center"/>
          </w:tcPr>
          <w:p>
            <w:pPr>
              <w:pStyle w:val="TableText"/>
            </w:pPr>
            <w:r>
              <w:rPr>
                <w:rFonts w:ascii="Calibri" w:hAnsi="Calibri" w:eastAsia="Microsoft YaHei"/>
              </w:rPr>
              <w:t xml:space="preserve">Natural／mIoU</w:t>
            </w:r>
          </w:p>
        </w:tc>
        <w:tc>
          <w:tcPr>
            <w:tcW w:w="5500" w:type="dxa"/>
            <w:vAlign w:val="center"/>
          </w:tcPr>
          <w:p>
            <w:pPr>
              <w:pStyle w:val="TableText"/>
            </w:pPr>
            <w:r>
              <w:rPr>
                <w:rFonts w:ascii="Calibri" w:hAnsi="Calibri" w:eastAsia="Microsoft YaHei"/>
              </w:rPr>
              <w:t xml:space="preserve">66.0 → 32.6 → 30.81</w:t>
            </w:r>
          </w:p>
        </w:tc>
        <w:tc>
          <w:tcPr>
            <w:tcW w:w="1240" w:type="dxa"/>
            <w:vAlign w:val="center"/>
          </w:tcPr>
          <w:p>
            <w:pPr>
              <w:pStyle w:val="TableText"/>
            </w:pPr>
            <w:r>
              <w:rPr>
                <w:rFonts w:ascii="Calibri" w:hAnsi="Calibri" w:eastAsia="Microsoft YaHei"/>
              </w:rPr>
              <w:t xml:space="preserve">表 4 p.7</w:t>
            </w:r>
          </w:p>
        </w:tc>
      </w:tr>
      <w:tr>
        <w:trPr>
          <w:cantSplit/>
        </w:trPr>
        <w:tc>
          <w:tcPr>
            <w:tcW w:w="620" w:type="dxa"/>
            <w:vAlign w:val="center"/>
            <w:shd w:fill="F5F8FC"/>
          </w:tcPr>
          <w:p>
            <w:pPr>
              <w:pStyle w:val="TableText"/>
            </w:pPr>
            <w:r>
              <w:rPr>
                <w:rFonts w:ascii="Calibri" w:hAnsi="Calibri" w:eastAsia="Microsoft YaHei"/>
              </w:rPr>
              <w:t xml:space="preserve">G14</w:t>
            </w:r>
          </w:p>
        </w:tc>
        <w:tc>
          <w:tcPr>
            <w:tcW w:w="2000" w:type="dxa"/>
            <w:vAlign w:val="center"/>
            <w:shd w:fill="F5F8FC"/>
          </w:tcPr>
          <w:p>
            <w:pPr>
              <w:pStyle w:val="TableText"/>
            </w:pPr>
            <w:r>
              <w:rPr>
                <w:rFonts w:ascii="Calibri" w:hAnsi="Calibri" w:eastAsia="Microsoft YaHei"/>
              </w:rPr>
              <w:t xml:space="preserve">Natural／mIoU</w:t>
            </w:r>
          </w:p>
        </w:tc>
        <w:tc>
          <w:tcPr>
            <w:tcW w:w="5500" w:type="dxa"/>
            <w:vAlign w:val="center"/>
            <w:shd w:fill="F5F8FC"/>
          </w:tcPr>
          <w:p>
            <w:pPr>
              <w:pStyle w:val="TableText"/>
            </w:pPr>
            <w:r>
              <w:rPr>
                <w:rFonts w:ascii="Calibri" w:hAnsi="Calibri" w:eastAsia="Microsoft YaHei"/>
              </w:rPr>
              <w:t xml:space="preserve">66.0 → 33.2 → 31.22</w:t>
            </w:r>
          </w:p>
        </w:tc>
        <w:tc>
          <w:tcPr>
            <w:tcW w:w="1240" w:type="dxa"/>
            <w:vAlign w:val="center"/>
            <w:shd w:fill="F5F8FC"/>
          </w:tcPr>
          <w:p>
            <w:pPr>
              <w:pStyle w:val="TableText"/>
            </w:pPr>
            <w:r>
              <w:rPr>
                <w:rFonts w:ascii="Calibri" w:hAnsi="Calibri" w:eastAsia="Microsoft YaHei"/>
              </w:rPr>
              <w:t xml:space="preserve">表 4 p.7</w:t>
            </w:r>
          </w:p>
        </w:tc>
      </w:tr>
      <w:tr>
        <w:trPr>
          <w:cantSplit/>
        </w:trPr>
        <w:tc>
          <w:tcPr>
            <w:tcW w:w="620" w:type="dxa"/>
            <w:vAlign w:val="center"/>
          </w:tcPr>
          <w:p>
            <w:pPr>
              <w:pStyle w:val="TableText"/>
            </w:pPr>
            <w:r>
              <w:rPr>
                <w:rFonts w:ascii="Calibri" w:hAnsi="Calibri" w:eastAsia="Microsoft YaHei"/>
              </w:rPr>
              <w:t xml:space="preserve">G15</w:t>
            </w:r>
          </w:p>
        </w:tc>
        <w:tc>
          <w:tcPr>
            <w:tcW w:w="2000" w:type="dxa"/>
            <w:vAlign w:val="center"/>
          </w:tcPr>
          <w:p>
            <w:pPr>
              <w:pStyle w:val="TableText"/>
            </w:pPr>
            <w:r>
              <w:rPr>
                <w:rFonts w:ascii="Calibri" w:hAnsi="Calibri" w:eastAsia="Microsoft YaHei"/>
              </w:rPr>
              <w:t xml:space="preserve">SS Natural／mIoU</w:t>
            </w:r>
          </w:p>
        </w:tc>
        <w:tc>
          <w:tcPr>
            <w:tcW w:w="5500" w:type="dxa"/>
            <w:vAlign w:val="center"/>
          </w:tcPr>
          <w:p>
            <w:pPr>
              <w:pStyle w:val="TableText"/>
            </w:pPr>
            <w:r>
              <w:rPr>
                <w:rFonts w:ascii="Calibri" w:hAnsi="Calibri" w:eastAsia="Microsoft YaHei"/>
              </w:rPr>
              <w:t xml:space="preserve">47.76 → 19.73 → 18.76 → 14.45</w:t>
            </w:r>
          </w:p>
        </w:tc>
        <w:tc>
          <w:tcPr>
            <w:tcW w:w="1240" w:type="dxa"/>
            <w:vAlign w:val="center"/>
          </w:tcPr>
          <w:p>
            <w:pPr>
              <w:pStyle w:val="TableText"/>
            </w:pPr>
            <w:r>
              <w:rPr>
                <w:rFonts w:ascii="Calibri" w:hAnsi="Calibri" w:eastAsia="Microsoft YaHei"/>
              </w:rPr>
              <w:t xml:space="preserve">表 7 p.8</w:t>
            </w:r>
          </w:p>
        </w:tc>
      </w:tr>
      <w:tr>
        <w:trPr>
          <w:cantSplit/>
        </w:trPr>
        <w:tc>
          <w:tcPr>
            <w:tcW w:w="620" w:type="dxa"/>
            <w:vAlign w:val="center"/>
            <w:shd w:fill="F5F8FC"/>
          </w:tcPr>
          <w:p>
            <w:pPr>
              <w:pStyle w:val="TableText"/>
            </w:pPr>
            <w:r>
              <w:rPr>
                <w:rFonts w:ascii="Calibri" w:hAnsi="Calibri" w:eastAsia="Microsoft YaHei"/>
              </w:rPr>
              <w:t xml:space="preserve">G16</w:t>
            </w:r>
          </w:p>
        </w:tc>
        <w:tc>
          <w:tcPr>
            <w:tcW w:w="2000" w:type="dxa"/>
            <w:vAlign w:val="center"/>
            <w:shd w:fill="F5F8FC"/>
          </w:tcPr>
          <w:p>
            <w:pPr>
              <w:pStyle w:val="TableText"/>
            </w:pPr>
            <w:r>
              <w:rPr>
                <w:rFonts w:ascii="Calibri" w:hAnsi="Calibri" w:eastAsia="Microsoft YaHei"/>
              </w:rPr>
              <w:t xml:space="preserve">SS Natural／mIoU</w:t>
            </w:r>
          </w:p>
        </w:tc>
        <w:tc>
          <w:tcPr>
            <w:tcW w:w="5500" w:type="dxa"/>
            <w:vAlign w:val="center"/>
            <w:shd w:fill="F5F8FC"/>
          </w:tcPr>
          <w:p>
            <w:pPr>
              <w:pStyle w:val="TableText"/>
            </w:pPr>
            <w:r>
              <w:rPr>
                <w:rFonts w:ascii="Calibri" w:hAnsi="Calibri" w:eastAsia="Microsoft YaHei"/>
              </w:rPr>
              <w:t xml:space="preserve">47.76 → 27.84 → 27.69 → 25.47</w:t>
            </w:r>
          </w:p>
        </w:tc>
        <w:tc>
          <w:tcPr>
            <w:tcW w:w="1240" w:type="dxa"/>
            <w:vAlign w:val="center"/>
            <w:shd w:fill="F5F8FC"/>
          </w:tcPr>
          <w:p>
            <w:pPr>
              <w:pStyle w:val="TableText"/>
            </w:pPr>
            <w:r>
              <w:rPr>
                <w:rFonts w:ascii="Calibri" w:hAnsi="Calibri" w:eastAsia="Microsoft YaHei"/>
              </w:rPr>
              <w:t xml:space="preserve">表 7 p.8</w:t>
            </w:r>
          </w:p>
        </w:tc>
      </w:tr>
      <w:tr>
        <w:trPr>
          <w:cantSplit/>
        </w:trPr>
        <w:tc>
          <w:tcPr>
            <w:tcW w:w="620" w:type="dxa"/>
            <w:vAlign w:val="center"/>
          </w:tcPr>
          <w:p>
            <w:pPr>
              <w:pStyle w:val="TableText"/>
            </w:pPr>
            <w:r>
              <w:rPr>
                <w:rFonts w:ascii="Calibri" w:hAnsi="Calibri" w:eastAsia="Microsoft YaHei"/>
              </w:rPr>
              <w:t xml:space="preserve">G17</w:t>
            </w:r>
          </w:p>
        </w:tc>
        <w:tc>
          <w:tcPr>
            <w:tcW w:w="2000" w:type="dxa"/>
            <w:vAlign w:val="center"/>
          </w:tcPr>
          <w:p>
            <w:pPr>
              <w:pStyle w:val="TableText"/>
            </w:pPr>
            <w:r>
              <w:rPr>
                <w:rFonts w:ascii="Calibri" w:hAnsi="Calibri" w:eastAsia="Microsoft YaHei"/>
              </w:rPr>
              <w:t xml:space="preserve">SS Natural／mIoU</w:t>
            </w:r>
          </w:p>
        </w:tc>
        <w:tc>
          <w:tcPr>
            <w:tcW w:w="5500" w:type="dxa"/>
            <w:vAlign w:val="center"/>
          </w:tcPr>
          <w:p>
            <w:pPr>
              <w:pStyle w:val="TableText"/>
            </w:pPr>
            <w:r>
              <w:rPr>
                <w:rFonts w:ascii="Calibri" w:hAnsi="Calibri" w:eastAsia="Microsoft YaHei"/>
              </w:rPr>
              <w:t xml:space="preserve">47.75 → 26.00 → 26.04 → 25.12</w:t>
            </w:r>
          </w:p>
        </w:tc>
        <w:tc>
          <w:tcPr>
            <w:tcW w:w="1240" w:type="dxa"/>
            <w:vAlign w:val="center"/>
          </w:tcPr>
          <w:p>
            <w:pPr>
              <w:pStyle w:val="TableText"/>
            </w:pPr>
            <w:r>
              <w:rPr>
                <w:rFonts w:ascii="Calibri" w:hAnsi="Calibri" w:eastAsia="Microsoft YaHei"/>
              </w:rPr>
              <w:t xml:space="preserve">表 36 p.56</w:t>
            </w:r>
          </w:p>
        </w:tc>
      </w:tr>
    </w:tbl>
    <w:p>
      <w:pPr>
        <w:pStyle w:val="Normal"/>
      </w:pPr>
      <w:r>
        <w:t xml:space="preserve">可直接比较的结论：G02 比 G01 在 S5 高 0.282 Dice，但在 MRI 的 S4 反而低 0.005；G05 比 G04 在 S5 高 0.325 Dice，S4 仍仅 0.058；G14 相对同骨干 G13 的 S2 只高 0.41 mIoU；G16 相对 G15 的 S3 高 11.02 mIoU，但它是 GAPS 上叠加 JASCL，不是独立 JASCL 对全部道路基线的单因素比较。（表 3、4、7–8，pp.7–9）</w:t>
      </w:r>
    </w:p>
    <w:p>
      <w:pPr>
        <w:pStyle w:val="Normal"/>
      </w:pPr>
      <w:r>
        <w:t xml:space="preserve">消融与预算：Med Mixed 移除 GAS 后 S4 为 0.080，而完整 JASCL 为 0.228；SS Natural 移除 PAS 后 S3 为 25.12，完整配置为 25.47，最终差 0.35 mIoU。Med Disjoint Session 1 的训练时间为 4h06m（JASCL）对 4h05m（无 JASCL）；SS 医学为 5h18m 对 5h08m，SAM 为 1h43m 对 1h35m，故“无额外成本”的正文表述应理解为表 5 参数量／FLOPs 相同，并非实测耗时完全相同。（表 5，p.8；表 34、36，pp.54、56）</w:t>
      </w:r>
    </w:p>
    <w:p>
      <w:pPr>
        <w:pStyle w:val="Normal"/>
      </w:pPr>
      <w:r>
        <w:t xml:space="preserve">阶段平均值会掩盖类别结构。SS Natural 的完整 JASCL 在 S3 对 road 为 81.48、car 为 41.92、person 为 0.08、traffic sign 为 0.06 mIoU；不能仅据 25.47 的汇总分数宣称旧类普遍保持。（表 33，p.53）</w:t>
      </w:r>
    </w:p>
    <w:p>
      <w:pPr>
        <w:pStyle w:val="Heading1"/>
      </w:pPr>
      <w:r>
        <w:t xml:space="preserve">五 疑点与可验证的改进</w:t>
      </w:r>
    </w:p>
    <w:p>
      <w:pPr>
        <w:pStyle w:val="Normal"/>
      </w:pPr>
      <w:r>
        <w:t xml:space="preserve">1. 论文承认的极端域迁移失败：Med Disjoint 的 CT→BraTS MRI 使 JASCL U-Net 的 S4 Dice 降至 0.025；半监督只到 0.058，MedFormer 半监督到 0.323。作者承认小器官、未标注数据质量和跨阶段落差仍困难。后续应按每阶段、每旧类及每来源域分别评估，尤其记录 S4 后的恢复与遗忘，不能用 S5 恢复掩盖中间崩溃。（§6，p.9；表 3、8，pp.7、9；附录 J，pp.38–39）</w:t>
      </w:r>
    </w:p>
    <w:p>
      <w:pPr>
        <w:pStyle w:val="Normal"/>
      </w:pPr>
      <w:r>
        <w:t xml:space="preserve">2. 报告人复核发现正文数值误述：p.8 将 CT→MRI 处 U-Net “Vanilla 0.025→JASCL 0.0576”写作改进，但表 3 是 Vanilla 0.030、JASCL 0.025；0.058 来自不同半监督协议的表 8。应以同一表、同一协议复算效果，避免跨表拼接。表 3 与表 8 的 S4 对照清楚显示普通 JASCL 在该阶段未优于 Vanilla。（p.8；表 3、8）</w:t>
      </w:r>
    </w:p>
    <w:p>
      <w:pPr>
        <w:pStyle w:val="Normal"/>
      </w:pPr>
      <w:r>
        <w:t xml:space="preserve">3. PAS 理论推导有可验证的代数矛盾：式 6 给出 ε∞=((1−fγ)ε0)/(1−fγ(1−ρ))。当 fγ&gt;0、ε0&gt;0 时，ε∞&lt;ε0 的条件直接化为 ρ&gt;0；正文 p.6 和附录 p.27 却又给出 ρ&gt;2−1/(fγ) 的阈值，两者不等价。附录 p.30 又将未过滤且精度 π&gt;0 时的 ε∞写成 ε0，与其同页公式不符。建议独立整理符号、重推命题，并以实际覆盖率／精度曲线检验模型假设；理论不能直接当作方法必然优越的证明。（式 6，pp.5–6；附录 B.4–B.5，pp.26–30）</w:t>
      </w:r>
    </w:p>
    <w:p>
      <w:pPr>
        <w:pStyle w:val="Normal"/>
      </w:pPr>
      <w:r>
        <w:t xml:space="preserve">4. 协议可复现性不足：表 12–16 的 Train 列与 5/10-shot 说明并列，但未说明每次少样本抽样、是否重叠、随机种子与重复次数；原型缓存和 Lproto 也缺定义。建议请求代码、拆分清单与超参数，做多种随机种子均值及置信区间；先复现自然场景的 G15/G16，才可判断 11.02 mIoU 增益是否稳定。（§3，pp.3、6；附录 H，p.35；表 12–16，pp.42–44）</w:t>
      </w:r>
    </w:p>
    <w:p>
      <w:pPr>
        <w:pStyle w:val="Normal"/>
      </w:pPr>
      <w:r>
        <w:t xml:space="preserve">5. 对照和主张需限定范围：表 2 的医疗多数基线仅运行至 S2，JASCL 跑至 S5；表 26 的 Total Drop 对照也只可按共同截断阶段理解。部分方法基阶段分数不同（如表 2 的 UCL 0.700 与 JASCL 0.736；表 8 的 MedFormer Vanilla 0.659 与 JASCL 0.640）；SAM 的同骨干改进相对有限。建议固定基模型与可训练参数、统一抽样和训练预算后重新比较；按骨干和协议分别给结论。（表 2–5、8，pp.7–9；附录 F、表 26，pp.34、47）</w:t>
      </w:r>
    </w:p>
    <w:p>
      <w:pPr>
        <w:pStyle w:val="Normal"/>
      </w:pPr>
      <w:r>
        <w:t xml:space="preserve">6. “仅当前域未标注”存在外推边界：正式问题设定写 U_t 来自当前 D_t；附录表 21 在 MRI 的 S4 额外加入先前 CT 域未标注样本，使 U-Net 从 0.025 增至 0.197。这是有旧域原始图像可用的扩展实验，不能和无旧数据的主协议合并。报告需明确内存预算、数据来源和数据使用权限。（§3，p.3；附录 J.1、表 21，pp.38、45）</w:t>
      </w:r>
    </w:p>
    <w:p>
      <w:pPr>
        <w:pStyle w:val="Normal"/>
      </w:pPr>
      <w:r>
        <w:t xml:space="preserve">7. PAS 机制的单因素证据有边界：表 36 的 S3 完整与去 PAS 仅差 0.35 mIoU，表 11 只报告保留率、未报告保留伪标签的准确率。应增加相同教师、相同未标注量下“仅置信度／仅相似度／双阈值”对照，并报告每类 precision、coverage 和最终旧类／新类分数。（图 5、表 7，p.8；表 11、36，pp.33、56）</w:t>
      </w:r>
    </w:p>
    <w:p>
      <w:pPr>
        <w:pStyle w:val="Heading1"/>
      </w:pPr>
      <w:r>
        <w:t xml:space="preserve">六 与本课题的关系及建议</w:t>
      </w:r>
    </w:p>
    <w:p>
      <w:pPr>
        <w:pStyle w:val="Normal"/>
      </w:pPr>
      <w:r>
        <w:t xml:space="preserve">本课题当前候选问题是天气和光照变化下的道路场景域增量持续分割，计划用公开有标注数据模拟顺序到达，并考察无显式天气域标签或切换提示时的新旧条件平衡；该协议尚未定案。JASCL 的道路基准可借鉴“少量标注＋较多未标注”压力测试、逐阶段旧类／新类性能表和同骨干消融设计；GAS 可作为轻量参数正则化候选，PAS 可作为伪标签筛选候选。这是本项目的研究推论，尚非复现结果。（项目状态文件；论文表 4、7、19）</w:t>
      </w:r>
    </w:p>
    <w:p>
      <w:pPr>
        <w:pStyle w:val="Normal"/>
      </w:pPr>
      <w:r>
        <w:t xml:space="preserve">主要不一致有三点。第一，论文道路数据集间同时变类别与拍摄地区，不能隔离纯天气因素；第二，分阶段 100 epoch 的有标注训练与本课题候选的无切换提示不同；第三，图 3 的原型保存及附录的旧 CT 未标注扩展需要另行计入存储和数据访问。现阶段不宜直接选 JASCL 作为课题主基线，更适合把它列入“联合类域变化／半监督”的对照文献，待代码和预算核查后决定是否复现。（论文 pp.3、7、35、45；项目状态文件）</w:t>
      </w:r>
    </w:p>
    <w:p>
      <w:pPr>
        <w:pStyle w:val="Normal"/>
      </w:pPr>
      <w:r>
        <w:t xml:space="preserve">下一步可执行验证：① 核对作者公开代码是否含五个基准的拆分、GAS 扰动次序、PAS 阈值、Lproto 和随机种子；② 在一个道路骨干上先做同一数据划分的普通微调、经验回放／简单正则化、GAS、PAS 分离消融，记录旧域与新域 mIoU、每阶段训练时间和原型内存；③ 若研究设定最终保留无任务提示，则另设不提供 session ID／切换点的天气顺序流，验证方法是否仍可运行。三项均为本项目拟议实验，论文没有提供结果。</w:t>
      </w:r>
    </w:p>
    <w:p>
      <w:pPr>
        <w:pStyle w:val="Heading1"/>
      </w:pPr>
      <w:r>
        <w:t xml:space="preserve">七 证据范围</w:t>
      </w:r>
    </w:p>
    <w:p>
      <w:pPr>
        <w:pStyle w:val="Normal"/>
      </w:pPr>
      <w:r>
        <w:t xml:space="preserve">本报告以本地 63 页 PDF 为单篇原始文献依据。文中页码均指 PDF 页码；表号与图号沿用论文。论文中未报告的信息明确标注，所有实验数值均为作者报告而非本项目复现；作者代码仓库仅由论文 p.1 提供链接，本次未做代码或数据集版本核验。</w:t>
      </w:r>
    </w:p>
    <w:sectPr>
      <w:headerReference w:type="default" ns1:id="rId1"/>
      <w:footerReference w:type="default" ns1:id="rId2"/>
      <w:pgSz w:w="12240" w:h="15840"/>
      <w:pgMar w:top="1440" w:right="1440" w:bottom="1440" w:left="1440" w:header="708" w:footer="708"/>
    </w:sectPr>
  </w:body>
</w:document>
</file>

<file path=word/footer1.xml><?xml version="1.0" encoding="utf-8"?>
<w:ftr xmlns:w="http://schemas.openxmlformats.org/wordprocessingml/2006/main">
  <w:p>
    <w:pPr>
      <w:jc w:val="right"/>
    </w:pPr>
    <w:r>
      <w:rPr>
        <w:color w:val="707B86"/>
        <w:sz w:val="18"/>
      </w:rPr>
      <w:t>第 </w:t>
    </w:r>
    <w:fldSimple w:instr="PAGE"/>
    <w:r>
      <w:t> 页</w:t>
    </w:r>
  </w:p>
</w:ftr>
</file>

<file path=word/header1.xml><?xml version="1.0" encoding="utf-8"?>
<w:hdr xmlns:w="http://schemas.openxmlformats.org/wordprocessingml/2006/main">
  <w:p>
    <w:pPr>
      <w:jc w:val="right"/>
      <w:spacing w:after="0"/>
    </w:pPr>
    <w:r>
      <w:rPr>
        <w:rFonts w:ascii="Calibri" w:hAnsi="Calibri" w:eastAsia="Microsoft YaHei"/>
      </w:rPr>
      <w:t xml:space="preserve">LIT-011  ·  文献精读报告</w:t>
    </w:r>
  </w:p>
</w:hdr>
</file>

<file path=word/styles.xml><?xml version="1.0" encoding="utf-8"?>
<w:styles xmlns:w="http://schemas.openxmlformats.org/wordprocessingml/2006/main">
  <w:docDefaults>
    <w:rPrDefault>
      <w:rPr>
        <w:rFonts w:ascii="Calibri" w:hAnsi="Calibri" w:eastAsia="Microsoft YaHei"/>
        <w:sz w:val="22"/>
        <w:szCs w:val="22"/>
      </w:rPr>
    </w:rPrDefault>
  </w:docDefaults>
  <w:style w:type="paragraph" w:default="1" w:styleId="Normal">
    <w:name w:val="Normal"/>
    <w:pPr>
      <w:spacing w:before="0" w:after="120" w:line="264" w:lineRule="auto"/>
    </w:pPr>
    <w:rPr>
      <w:sz w:val="22"/>
      <w:color w:val="1C2834"/>
    </w:rPr>
  </w:style>
  <w:style w:type="paragraph" w:styleId="Kicker">
    <w:name w:val="Kicker"/>
    <w:basedOn w:val="Normal"/>
    <w:pPr>
      <w:spacing w:before="0" w:after="80"/>
    </w:pPr>
    <w:rPr>
      <w:b/>
      <w:sz w:val="19"/>
      <w:color w:val="000000"/>
    </w:rPr>
  </w:style>
  <w:style w:type="paragraph" w:styleId="Title">
    <w:name w:val="Title"/>
    <w:basedOn w:val="Normal"/>
    <w:pPr>
      <w:spacing w:before="0" w:after="90"/>
      <w:keepNext/>
    </w:pPr>
    <w:rPr>
      <w:b/>
      <w:sz w:val="38"/>
      <w:color w:val="000000"/>
    </w:rPr>
  </w:style>
  <w:style w:type="paragraph" w:styleId="Subtitle">
    <w:name w:val="Subtitle"/>
    <w:basedOn w:val="Normal"/>
    <w:pPr>
      <w:spacing w:before="0" w:after="200"/>
      <w:keepNext/>
    </w:pPr>
    <w:rPr>
      <w:sz w:val="20"/>
      <w:color w:val="000000"/>
    </w:rPr>
  </w:style>
  <w:style w:type="paragraph" w:styleId="Heading1">
    <w:name w:val="heading 1"/>
    <w:basedOn w:val="Normal"/>
    <w:pPr>
      <w:spacing w:before="320" w:after="160"/>
      <w:keepNext/>
      <w:outlineLvl w:val="0"/>
    </w:pPr>
    <w:rPr>
      <w:b/>
      <w:sz w:val="32"/>
      <w:color w:val="000000"/>
    </w:rPr>
  </w:style>
  <w:style w:type="paragraph" w:styleId="Heading2">
    <w:name w:val="heading 2"/>
    <w:basedOn w:val="Normal"/>
    <w:pPr>
      <w:spacing w:before="240" w:after="120"/>
      <w:keepNext/>
      <w:outlineLvl w:val="1"/>
    </w:pPr>
    <w:rPr>
      <w:b/>
      <w:sz w:val="26"/>
      <w:color w:val="000000"/>
    </w:rPr>
  </w:style>
  <w:style w:type="paragraph" w:styleId="Heading3">
    <w:name w:val="heading 3"/>
    <w:basedOn w:val="Normal"/>
    <w:pPr>
      <w:spacing w:before="160" w:after="80"/>
      <w:keepNext/>
      <w:outlineLvl w:val="2"/>
    </w:pPr>
    <w:rPr>
      <w:b/>
      <w:sz w:val="24"/>
      <w:color w:val="000000"/>
    </w:rPr>
  </w:style>
  <w:style w:type="paragraph" w:styleId="TableText">
    <w:name w:val="Table Text"/>
    <w:basedOn w:val="Normal"/>
    <w:pPr>
      <w:spacing w:before="0" w:after="0" w:line="280" w:lineRule="auto"/>
    </w:pPr>
    <w:rPr>
      <w:sz w:val="19"/>
    </w:rPr>
  </w:style>
  <w:style w:type="paragraph" w:styleId="Caption">
    <w:name w:val="Caption"/>
    <w:basedOn w:val="Normal"/>
    <w:pPr>
      <w:spacing w:before="80" w:after="80"/>
    </w:pPr>
    <w:rPr>
      <w:sz w:val="18"/>
      <w:color w:val="000000"/>
    </w:rPr>
  </w:style>
  <w:style w:type="paragraph" w:styleId="Source">
    <w:name w:val="Source"/>
    <w:basedOn w:val="Normal"/>
    <w:pPr>
      <w:spacing w:before="0" w:after="100"/>
    </w:pPr>
    <w:rPr>
      <w:sz w:val="18"/>
      <w:color w:val="000000"/>
    </w:rPr>
  </w:style>
</w:styles>
</file>

<file path=word/_rels/document.xml.rels><?xml version="1.0" encoding="UTF-8" standalone="yes"?><Relationships xmlns="http://schemas.openxmlformats.org/package/2006/relationships"><Relationship Id="rId1" Type="http://schemas.openxmlformats.org/officeDocument/2006/relationships/header" Target="header1.xml"/><Relationship Id="rId2" Type="http://schemas.openxmlformats.org/officeDocument/2006/relationships/footer" Target="footer1.xml"/><Relationship Id="rId3" Type="http://schemas.openxmlformats.org/officeDocument/2006/relationships/styles" Target="styles.xml"/></Relationships>
</file>

<file path=docProps/core.xml><?xml version="1.0" encoding="utf-8"?>
<ns0:coreProperties xmlns:dc="http://purl.org/dc/elements/1.1/" xmlns:ns0="http://schemas.openxmlformats.org/package/2006/metadata/core-properties" xmlns:ns2="http://purl.org/dc/terms/" xmlns:xsi="http://www.w3.org/2001/XMLSchema-instance">
  <dc:title>联合非平稳条件下持续语义分割文献精读报告</dc:title>
  <dc:creator>本科毕业论文研究项目</dc:creator>
  <ns2:created xsi:type="dcterms:W3CDTF">2026-10-20T00:00:00Z</ns2:created>
</ns0:coreProperties>
</file>