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TOPICS+ 层次化类增量语义分割精读报告</w:t>
      </w:r>
    </w:p>
    <w:p>
      <w:pPr>
        <w:pStyle w:val="Subtitle"/>
      </w:pPr>
      <w:r>
        <w:t>Dynamic Robot-Assisted Surgery with Hierarchical Class-Incremental Semantic Segmentation</w:t>
      </w:r>
    </w:p>
    <w:p>
      <w:r>
        <w:t>文献编号：LIT-013　　精读日期：2026-10-21（Asia/Shanghai）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276"/>
        <w:gridCol w:w="8589"/>
      </w:tblGrid>
      <w:tr>
        <w:trPr>
          <w:cantSplit/>
          <w:tblHeader/>
        </w:trPr>
        <w:tc>
          <w:tcPr>
            <w:tcW w:type="dxa" w:w="1276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589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核对结果</w:t>
            </w:r>
          </w:p>
        </w:tc>
      </w:tr>
      <w:tr>
        <w:trPr>
          <w:cantSplit/>
        </w:trPr>
        <w:tc>
          <w:tcPr>
            <w:tcW w:type="dxa" w:w="127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作者</w:t>
            </w:r>
          </w:p>
        </w:tc>
        <w:tc>
          <w:tcPr>
            <w:tcW w:type="dxa" w:w="858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Julia Hindel；Ema Mekic；Enamundram Naga Karthik；Rohit Mohan；Daniele Cattaneo；Maria Kalweit；Abhinav Valada</w:t>
            </w:r>
          </w:p>
        </w:tc>
      </w:tr>
      <w:tr>
        <w:trPr>
          <w:cantSplit/>
        </w:trPr>
        <w:tc>
          <w:tcPr>
            <w:tcW w:type="dxa" w:w="127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阅读版本</w:t>
            </w:r>
          </w:p>
        </w:tc>
        <w:tc>
          <w:tcPr>
            <w:tcW w:type="dxa" w:w="858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本地 TOPICS+.pdf，11 页；首页 arXiv:2508.01713v2，2025-08-10。正文及图表至 p.9，参考文献 p.9–11，无另附补充材料。</w:t>
            </w:r>
          </w:p>
        </w:tc>
      </w:tr>
      <w:tr>
        <w:trPr>
          <w:cantSplit/>
        </w:trPr>
        <w:tc>
          <w:tcPr>
            <w:tcW w:type="dxa" w:w="127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发表信息</w:t>
            </w:r>
          </w:p>
        </w:tc>
        <w:tc>
          <w:tcPr>
            <w:tcW w:type="dxa" w:w="858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AMAI 2025，MICCAI 附属 workshop；Springer 章节首次在线发表于 2026-01-02，LNCS 16206，pp.246–257。不可将其写成 MICCAI 主会论文。</w:t>
            </w:r>
          </w:p>
        </w:tc>
      </w:tr>
      <w:tr>
        <w:trPr>
          <w:cantSplit/>
        </w:trPr>
        <w:tc>
          <w:tcPr>
            <w:tcW w:type="dxa" w:w="127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DOI</w:t>
            </w:r>
          </w:p>
        </w:tc>
        <w:tc>
          <w:tcPr>
            <w:tcW w:type="dxa" w:w="858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正式章节：10.1007/978-3-032-09569-5_25；arXiv：10.48550/arXiv.2508.01713。</w:t>
            </w:r>
          </w:p>
        </w:tc>
      </w:tr>
      <w:tr>
        <w:trPr>
          <w:cantSplit/>
        </w:trPr>
        <w:tc>
          <w:tcPr>
            <w:tcW w:type="dxa" w:w="127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原文位置</w:t>
            </w:r>
          </w:p>
        </w:tc>
        <w:tc>
          <w:tcPr>
            <w:tcW w:type="dxa" w:w="858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师姐推荐文献/TOPICS+.pdf；本报告页码均指本地 PDF 页码。</w:t>
            </w:r>
          </w:p>
        </w:tc>
      </w:tr>
    </w:tbl>
    <w:p>
      <w:pPr>
        <w:pStyle w:val="Heading1"/>
      </w:pPr>
      <w:r>
        <w:t>1 核心结论</w:t>
      </w:r>
    </w:p>
    <w:p>
      <w:r>
        <w:t>论文研究无历史样本回放的类增量语义分割：手术工具、组织及医院环境类别分阶段加入，部分阶段把已知粗类细化为子类。TOPICS+ 延续 TOPICS 的双曲特征和类别树，在此基础上加入层次 Dice 损失、按层级阈值产生的伪标签，并构造三套数据上的六种增量协议。[原文 §2–3，p.3–8]</w:t>
      </w:r>
    </w:p>
    <w:p>
      <w:r>
        <w:rPr>
          <w:b/>
        </w:rPr>
        <w:t>最有力的结果：</w:t>
      </w:r>
      <w:r>
        <w:t>表 1、表 2 中，TOPICS+ 的最终 all mIoU 在六种协议均为表内最高；相对 TOPICS 提升 0.28–6.88 个百分点。细化 MM-OR 的增益为 4.98 pp；细化 Syn-Mediverse 对最佳非层次对照的优势为 5.68 pp。它并未在所有 base／novel 分项都取得最好结果，且没有随机种子方差来证明小幅差异的统计稳定性。</w:t>
      </w:r>
    </w:p>
    <w:p>
      <w:r>
        <w:t>本课题判断：可借鉴“通过类别关系保持旧知识”及“伪标签允许退回可靠祖先”的机制；它没有检验固定类别、天气光照顺序变化、无域边界提示的道路场景持续学习，现阶段适合作为方法补充，尚不足以确定为直接复现基线。[项目判断；对照 PROJECT_STATE.md 与原文 §2–3]</w:t>
      </w:r>
    </w:p>
    <w:p>
      <w:r>
        <w:br w:type="page"/>
      </w:r>
    </w:p>
    <w:p>
      <w:pPr>
        <w:pStyle w:val="Heading1"/>
      </w:pPr>
      <w:r>
        <w:t>2 研究问题与设定边界</w:t>
      </w:r>
    </w:p>
    <w:p>
      <w:r>
        <w:t>核心问题是：在只能使用当前阶段标注、旧类及未来类像素被归为背景时，如何利用类别树及双曲几何兼顾旧类保持、新类学习和粗到细的类别扩展？这里的背景漂移来自标注空间变化，与天气造成的输入分布漂移应分开分析。[§1–2，p.2–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162"/>
        <w:gridCol w:w="6973"/>
        <w:gridCol w:w="1729"/>
      </w:tblGrid>
      <w:tr>
        <w:trPr>
          <w:cantSplit/>
          <w:tblHeader/>
        </w:trPr>
        <w:tc>
          <w:tcPr>
            <w:tcW w:type="dxa" w:w="1162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维度</w:t>
            </w:r>
          </w:p>
        </w:tc>
        <w:tc>
          <w:tcPr>
            <w:tcW w:type="dxa" w:w="6973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论文实际设定</w:t>
            </w:r>
          </w:p>
        </w:tc>
        <w:tc>
          <w:tcPr>
            <w:tcW w:type="dxa" w:w="1729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任务与输出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像素级语义分割；预测已学类别。叶节点及祖先节点参与网络输出和层次损失；细化协议允许粗类逐步分化。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§2.1–2.2，p.3–5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在线学习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按明确阶段训练；Endovis18／MM-OR 60 epochs，Syn-Mediverse 30 epochs。允许多遍访问当前阶段数据，未给逐样本单遍到达或固定每批更新预算。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§3.1，p.6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持续学习与回放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当前阶段只标注当前类，其他像素归背景；旧模型生成伪标签并施加正则。方法不回放历史训练样本。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§2，p.3–5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增量类型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CISS／类增量语义分割；分不相交新类和已知类层次细化。没有跨天气域增量实验。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§2.1，表 1–2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监督信息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当前阶段像素标注 + 旧模型伪标签 + 人为类别层次。并非无标注测试时更新；完整类别名列表如何在各阶段可见，未交代清楚。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§2.1–2.2，p.3–6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阶段与任务边界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训练阶段及新增类集合预定义且已知；未报告边界检测。测试给已学类的统一输出，没有报告依靠任务 ID 选择专用分类头的机制。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§2–3，p.3–8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数据访问与存储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不保留历史样本；当前图像仍可含旧类及未来类像素，不能等同于不再见到旧类内容。保留旧模型及类别树，模型／中间特征存储字节数未报告。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§2.1–2.2，p.3–6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数据域与模态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三套数据分别建立各自序列；TOPICS+ 为图像分割网络。MM-OR 来自 Azure RGB-D 摄像头，但未报告 RGB-D 双模态融合实验。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§2.1–2.2，p.4–5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评价范围与时点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主表报告学完序列后的 base／novel／all mIoU；图 4 展示 MM-OR 各步 all mIoU。未给跨域评估矩阵或显式遗忘统计。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§3.2，p.6–8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任务独立与图像重叠</w:t>
            </w:r>
          </w:p>
        </w:tc>
        <w:tc>
          <w:tcPr>
            <w:tcW w:type="dxa" w:w="697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训练标签空间按阶段区分，但一幅图可含旧／当前／未来类别。overlap 指类别像素共存；具体跨阶段图像复用清单未报告。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§2.1，p.3</w:t>
            </w:r>
          </w:p>
        </w:tc>
      </w:tr>
    </w:tbl>
    <w:p>
      <w:r>
        <w:t>术语提醒：原文的 disjoint 描述新增类别与旧类的语义关系；同段又称其 CISS 协议为 overlapping，描述图像中可同时出现不同阶段的类别。二者不是同一层面的划分。[§2.1，p.3–4]</w:t>
      </w:r>
    </w:p>
    <w:p>
      <w:r>
        <w:br w:type="page"/>
      </w:r>
    </w:p>
    <w:p>
      <w:pPr>
        <w:pStyle w:val="Heading1"/>
      </w:pPr>
      <w:r>
        <w:t>3 方法及其相对 TOPICS 的变化</w:t>
      </w:r>
    </w:p>
    <w:p>
      <w:pPr>
        <w:pStyle w:val="Heading2"/>
      </w:pPr>
      <w:r>
        <w:t>3.1 双曲分类与显式类别树</w:t>
      </w:r>
    </w:p>
    <w:p>
      <w:r>
        <w:t>网络采用 DeepLabV3 和 ResNet-101，将最后一层特征映射到 Poincaré 球。每个类别由偏移 oᵧ 和方向 rᵧ 定义的双曲超平面表示，分类依据带符号距离；叶节点与祖先节点都作为输出，使模型能够把“工具”与具体工具子类的关系写进训练目标。TOPICS 已有的 scarcity（稀缺性）／关系正则继续约束旧类表示；本篇未完整重列这些正则的方程和权重。[§2.2，p.5；图 2–3，p.4；原文参考文献 10]</w:t>
      </w:r>
    </w:p>
    <w:p>
      <w:pPr>
        <w:pStyle w:val="Heading2"/>
      </w:pPr>
      <w:r>
        <w:t>3.2 层次 Dice 损失</w:t>
      </w:r>
    </w:p>
    <w:p>
      <w:r>
        <w:t>层次监督对正标签使用祖先集合 Aᵥ 中的最小分数，对负标签使用后代集合 Dᵥ 中的最大分数，分别约束祖先一致性和后代误报。TOPICS+ 在该层次项上组合 Dice 与交叉熵，以改善类别不平衡和细小工具分割。[§2.2，p.5]</w:t>
      </w:r>
    </w:p>
    <w:p>
      <w:r>
        <w:t>原文公式的结构化转写：L = α Σᵥ[−l log(minᵤ∈Aᵥ sᵤ) − (1−l) log(1−maxᵤ∈Dᵥ sᵤ)] + β L_D(maxᵤ∈Dᵥ sᵤ,l) + γ L_CE(maxᵤ∈Dᵥ sᵤ,l)。</w:t>
      </w:r>
    </w:p>
    <w:p>
      <w:r>
        <w:t>系数 α=5、β=0.7、γ=0.3。上式是原文层次损失的说明性转写，不是重新定义完整训练总损失；像素／类别归约、Dice 平滑项以及继承正则的组合需查实现。原文称 s 为 logits，但在 log(·) 和伪标签段又使用 sigmoid 分数，复现时需核对概率与 logit 的实际接口。[§2.2–3.1，p.5–6]</w:t>
      </w:r>
    </w:p>
    <w:p>
      <w:pPr>
        <w:pStyle w:val="Heading2"/>
      </w:pPr>
      <w:r>
        <w:t>3.3 层次伪标签</w:t>
      </w:r>
    </w:p>
    <w:p>
      <w:r>
        <w:t>原 TOPICS 对旧叶类统一采用 sigmoid 分数大于 0.5 的伪标签。TOPICS+ 给不同层级设置阈值 s₀=0.6、s₁=0.6、s₂=0.4，选择达到对应阈值的最具体后代；细类不够可信而祖先可信时，可以保留粗粒度监督。阈值依据验证集经验选取，没有报告跨域阈值稳定性。[§2.2–3.1，p.5–6]</w:t>
      </w:r>
    </w:p>
    <w:p>
      <w:pPr>
        <w:pStyle w:val="Heading2"/>
      </w:pPr>
      <w:r>
        <w:t>3.4 类别树如何获得</w:t>
      </w:r>
    </w:p>
    <w:p>
      <w:r>
        <w:t>作者给 GPT-4o 输入数据集类别名，并要求按视觉相似性生成层次；还比较了按空间邻近关系构造的 TOPICS+ local。图 4 中 local 曲线较差，说明树的构造方式会影响结果。完整树版本、人工修订过程、LLM 采样参数与多次生成方差未在正文给出。[§2.2，p.6；图 3–4]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继承自 TOPICS</w:t>
            </w:r>
          </w:p>
        </w:tc>
        <w:tc>
          <w:tcPr>
            <w:tcW w:type="dxa" w:w="4932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TOPICS+ 的主要扩展</w:t>
            </w:r>
          </w:p>
        </w:tc>
      </w:tr>
      <w:tr>
        <w:trPr>
          <w:cantSplit/>
        </w:trPr>
        <w:tc>
          <w:tcPr>
            <w:tcW w:type="dxa" w:w="493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Poincaré 球特征、类别超平面、显式层次结构、旧模型、稀缺性及关系正则</w:t>
            </w:r>
          </w:p>
        </w:tc>
        <w:tc>
          <w:tcPr>
            <w:tcW w:type="dxa" w:w="493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层次 Dice 损失；分层阈值伪标签；针对手术场景构造类别树与六套协议；Syn-Mediverse 标签细化。</w:t>
            </w:r>
          </w:p>
        </w:tc>
      </w:tr>
    </w:tbl>
    <w:p>
      <w:r>
        <w:br w:type="page"/>
      </w:r>
    </w:p>
    <w:p>
      <w:pPr>
        <w:pStyle w:val="Heading1"/>
      </w:pPr>
      <w:r>
        <w:t>4 数据集与训练条件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361"/>
        <w:gridCol w:w="4620"/>
        <w:gridCol w:w="3883"/>
      </w:tblGrid>
      <w:tr>
        <w:trPr>
          <w:cantSplit/>
          <w:tblHeader/>
        </w:trPr>
        <w:tc>
          <w:tcPr>
            <w:tcW w:type="dxa" w:w="1361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4620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原文规模与划分</w:t>
            </w:r>
          </w:p>
        </w:tc>
        <w:tc>
          <w:tcPr>
            <w:tcW w:type="dxa" w:w="3883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协议及注意事项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Endovis18</w:t>
            </w:r>
          </w:p>
        </w:tc>
        <w:tc>
          <w:tcPr>
            <w:tcW w:type="dxa" w:w="462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10 段手术视频，12 个语义类别；训练／验证／测试 1788／447／997 张，测试为四个官方挑战测试集的并集。</w:t>
            </w:r>
          </w:p>
        </w:tc>
        <w:tc>
          <w:tcPr>
            <w:tcW w:type="dxa" w:w="388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P1：8-1（4 tasks）；P4：4-2-2-2-2-4。8-1 与列举四个新增类之间有任务数疑点，不能自行修正。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MM-OR</w:t>
            </w:r>
          </w:p>
        </w:tc>
        <w:tc>
          <w:tcPr>
            <w:tcW w:type="dxa" w:w="462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39 台机器人膝关节置换手术；Azure RGB-D 摄像头；33298／13191／12055 张，沿用官方划分；选取 18 个主要标签。</w:t>
            </w:r>
          </w:p>
        </w:tc>
        <w:tc>
          <w:tcPr>
            <w:tcW w:type="dxa" w:w="388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P2：11-1（8 tasks）；P5：11-4-3-2-3。细化阶段含祖先／子类，最终标签计数须与映射核对。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Syn-Mediverse</w:t>
            </w:r>
          </w:p>
        </w:tc>
        <w:tc>
          <w:tcPr>
            <w:tcW w:type="dxa" w:w="462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Isaac Sim 合成的 13 类医疗房间；9000／2000／5000 张。原始 21 类；从 200 个原始对象类别清理合并为 144 个细类。少于 50 个实例的类合并至上层或按功能分组。</w:t>
            </w:r>
          </w:p>
        </w:tc>
        <w:tc>
          <w:tcPr>
            <w:tcW w:type="dxa" w:w="388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P3：55-44（3 tasks）；P6：83-11-12-11-13-9-9。表 1/2 类别范围与“144 类”需核对。细粒度训练／验证标签公开，测试由线上基准托管。</w:t>
            </w:r>
          </w:p>
        </w:tc>
      </w:tr>
    </w:tbl>
    <w:p>
      <w:pPr>
        <w:pStyle w:val="Caption"/>
      </w:pPr>
      <w:r>
        <w:t>数据依据：§2.1，p.3–5。以上不是三数据集依次到达的域序列；它们分别组成独立类增量实验。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361"/>
        <w:gridCol w:w="8504"/>
      </w:tblGrid>
      <w:tr>
        <w:trPr>
          <w:cantSplit/>
          <w:tblHeader/>
        </w:trPr>
        <w:tc>
          <w:tcPr>
            <w:tcW w:type="dxa" w:w="1361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训练要素</w:t>
            </w:r>
          </w:p>
        </w:tc>
        <w:tc>
          <w:tcPr>
            <w:tcW w:type="dxa" w:w="850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原文报告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模型</w:t>
            </w:r>
          </w:p>
        </w:tc>
        <w:tc>
          <w:tcPr>
            <w:tcW w:type="dxa" w:w="85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TOPICS+：DeepLabV3／ResNet-101。基线逐项骨干与预训练未在正文列齐；不能把“所有模型 5.8M 参数”解释成骨干已完全统一。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轮次与学习率</w:t>
            </w:r>
          </w:p>
        </w:tc>
        <w:tc>
          <w:tcPr>
            <w:tcW w:type="dxa" w:w="85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Endovis18／MM-OR：60 epochs；Syn-Mediverse：30 epochs。poly 调度，初始阶段 LR=0.03；增量 LR=0.01，Syn-Mediverse 增量 LR=0.02。是否每个阶段都使用完整所列轮次，需执行脚本确认。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曲率与损失</w:t>
            </w:r>
          </w:p>
        </w:tc>
        <w:tc>
          <w:tcPr>
            <w:tcW w:type="dxa" w:w="85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c=3；α=5，β=0.7，γ=0.3；分层阈值 0.6／0.6／0.4，依据验证集选择。c 是原文曲率参数的记法，空间负曲率的符号约定需核对实现。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数据增强</w:t>
            </w:r>
          </w:p>
        </w:tc>
        <w:tc>
          <w:tcPr>
            <w:tcW w:type="dxa" w:w="85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水平翻转与非空裁剪；MM-OR 768×768，Syn-Mediverse 512×1024，Endovis18 512×640。Endovis18 另加仿射、弹性、对比度、亮度增强。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对照公平性</w:t>
            </w:r>
          </w:p>
        </w:tc>
        <w:tc>
          <w:tcPr>
            <w:tcW w:type="dxa" w:w="85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使用各方法公开实现，并按方法与数据集调学习率；PLOP 在 Syn-Mediverse／Endovis18 采用 512×512 裁剪，故输入视野不完全相同。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未报告细节</w:t>
            </w:r>
          </w:p>
        </w:tc>
        <w:tc>
          <w:tcPr>
            <w:tcW w:type="dxa" w:w="85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优化器、batch size、seed／重复次数、精确预训练权重、增量初始化细节、完整类别树与映射、旧模型显存和完整训练耗时，正文未独立列齐；部分声明沿用 TOPICS。</w:t>
            </w:r>
          </w:p>
        </w:tc>
      </w:tr>
    </w:tbl>
    <w:p>
      <w:pPr>
        <w:pStyle w:val="Caption"/>
      </w:pPr>
      <w:r>
        <w:t>训练依据：§2.2–3.2，p.5–6。官方代码 README 另提供 ImageNet 预训练权重入口；它不能替代逐组实际加载记录。</w:t>
      </w:r>
    </w:p>
    <w:p>
      <w:r>
        <w:br w:type="page"/>
      </w:r>
    </w:p>
    <w:p>
      <w:pPr>
        <w:pStyle w:val="Heading1"/>
      </w:pPr>
      <w:r>
        <w:t>5 实验分组与配置编号</w:t>
      </w:r>
    </w:p>
    <w:p>
      <w:r>
        <w:t>每个组号对应一个“方法 × 数据集 × 协议”组合，主表共 36 组；消融另列 G37–G40，局部关系树为 G41。下列 N／P／S 为表内共用配置键，其含义在本节明确，不表示额外实验。</w:t>
      </w:r>
    </w:p>
    <w:p>
      <w:r>
        <w:t>N1：TOPICS／TOPICS+ 的 DeepLabV3、ResNet-101 框架；本篇明确描述 TOPICS+ 沿用 TOPICS 框架。预训练权重正文未报告。N0：PLOP／MiB／AWT／DKD 使用公开代码；逐组网络、骨干及预训练未在本篇明确报告。[§2.2–3.2，p.5–6]</w:t>
      </w:r>
    </w:p>
    <w:p>
      <w:r>
        <w:t>P1–P6 的数据集和完整协议见第 4 节及下面的 S 配置。S1：Endovis18 P1，60 epochs；S2：MM-OR P2，60 epochs；S3：Syn-Mediverse P3，30 epochs；S4–S6 分别为同数据集的 P4–P6。共同采用阶段监督与旧模型机制，主表评价完整序列结束的测试 mIoU。这里轮次指本文训练设定，对照是否逐项完全同轮次正文未明列。[§3.1–3.2]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595"/>
        <w:gridCol w:w="567"/>
        <w:gridCol w:w="1701"/>
        <w:gridCol w:w="595"/>
        <w:gridCol w:w="1247"/>
        <w:gridCol w:w="1502"/>
        <w:gridCol w:w="2523"/>
      </w:tblGrid>
      <w:tr>
        <w:trPr>
          <w:cantSplit/>
          <w:tblHeader/>
        </w:trPr>
        <w:tc>
          <w:tcPr>
            <w:tcW w:type="dxa" w:w="59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56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type="dxa" w:w="1701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59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type="dxa" w:w="124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数据／协议</w:t>
            </w:r>
          </w:p>
        </w:tc>
        <w:tc>
          <w:tcPr>
            <w:tcW w:type="dxa" w:w="1502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训练评价</w:t>
            </w:r>
          </w:p>
        </w:tc>
        <w:tc>
          <w:tcPr>
            <w:tcW w:type="dxa" w:w="2523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G01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PLOP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G02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G03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 + AWT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G04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DKD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G05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G06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TOPICS+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G07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PLOP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G08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G09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 + AWT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G10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DKD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G11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G12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TOPICS+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G13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PLOP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G14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G15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 + AWT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G16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DKD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G17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G18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TOPICS+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1，p.7</w:t>
            </w:r>
          </w:p>
        </w:tc>
      </w:tr>
    </w:tbl>
    <w:p>
      <w:pPr>
        <w:pStyle w:val="Caption"/>
      </w:pPr>
      <w:r>
        <w:t>S1–S3 对应主表不相交增量结果。PLOP 裁剪尺寸例外见第 4 节。主表未报告各阶段 seed、训练方差或误差条。</w:t>
      </w:r>
    </w:p>
    <w:p>
      <w:r>
        <w:br w:type="page"/>
      </w:r>
    </w:p>
    <w:p>
      <w:pPr>
        <w:pStyle w:val="Heading1"/>
      </w:pPr>
      <w:r>
        <w:t>5 实验分组续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595"/>
        <w:gridCol w:w="567"/>
        <w:gridCol w:w="1701"/>
        <w:gridCol w:w="595"/>
        <w:gridCol w:w="1247"/>
        <w:gridCol w:w="1502"/>
        <w:gridCol w:w="2523"/>
      </w:tblGrid>
      <w:tr>
        <w:trPr>
          <w:cantSplit/>
          <w:tblHeader/>
        </w:trPr>
        <w:tc>
          <w:tcPr>
            <w:tcW w:type="dxa" w:w="59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56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type="dxa" w:w="1701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59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type="dxa" w:w="124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数据／协议</w:t>
            </w:r>
          </w:p>
        </w:tc>
        <w:tc>
          <w:tcPr>
            <w:tcW w:type="dxa" w:w="1502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训练评价</w:t>
            </w:r>
          </w:p>
        </w:tc>
        <w:tc>
          <w:tcPr>
            <w:tcW w:type="dxa" w:w="2523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G19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PLOP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G20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G21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 + AWT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G22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DKD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G23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G24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TOPICS+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G25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PLOP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G26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G27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 + AWT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G28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DKD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G29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G30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TOPICS+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P5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G31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PLOP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G32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G33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MiB + AWT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G34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DKD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N0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G35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G36</w:t>
            </w:r>
          </w:p>
        </w:tc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70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TOPICS+</w:t>
            </w:r>
          </w:p>
        </w:tc>
        <w:tc>
          <w:tcPr>
            <w:tcW w:type="dxa" w:w="59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P6</w:t>
            </w:r>
          </w:p>
        </w:tc>
        <w:tc>
          <w:tcPr>
            <w:tcW w:type="dxa" w:w="150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2523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2，p.8</w:t>
            </w:r>
          </w:p>
        </w:tc>
      </w:tr>
    </w:tbl>
    <w:p>
      <w:r>
        <w:t>S4：Endovis18 P4，60 epochs；S5：MM-OR P5，60 epochs；S6：Syn-Mediverse P6，30 epochs。其余条件同第 4 节，结果均为序列结束时评价。[§3.1–3.2]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567"/>
        <w:gridCol w:w="1928"/>
        <w:gridCol w:w="2381"/>
        <w:gridCol w:w="3260"/>
        <w:gridCol w:w="1729"/>
      </w:tblGrid>
      <w:tr>
        <w:trPr>
          <w:cantSplit/>
          <w:tblHeader/>
        </w:trPr>
        <w:tc>
          <w:tcPr>
            <w:tcW w:type="dxa" w:w="56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1928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角色与方法</w:t>
            </w:r>
          </w:p>
        </w:tc>
        <w:tc>
          <w:tcPr>
            <w:tcW w:type="dxa" w:w="2381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网络／数据／协议</w:t>
            </w:r>
          </w:p>
        </w:tc>
        <w:tc>
          <w:tcPr>
            <w:tcW w:type="dxa" w:w="3260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变化项</w:t>
            </w:r>
          </w:p>
        </w:tc>
        <w:tc>
          <w:tcPr>
            <w:tcW w:type="dxa" w:w="1729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G37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对照：TOPICS 消融起点</w:t>
            </w:r>
          </w:p>
        </w:tc>
        <w:tc>
          <w:tcPr>
            <w:tcW w:type="dxa" w:w="238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N1／MM-OR／P5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c=2；无新增 L_D、P_LH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3，p.8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G38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对照：仅改变曲率</w:t>
            </w:r>
          </w:p>
        </w:tc>
        <w:tc>
          <w:tcPr>
            <w:tcW w:type="dxa" w:w="238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同 G37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c=3；无新增 L_D、P_LH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3，p.8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G39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消融：曲率 + Dice</w:t>
            </w:r>
          </w:p>
        </w:tc>
        <w:tc>
          <w:tcPr>
            <w:tcW w:type="dxa" w:w="238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同 G37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c=3；加 L_D，不加 P_LH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3，p.8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G40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本文：完整 TOPICS+</w:t>
            </w:r>
          </w:p>
        </w:tc>
        <w:tc>
          <w:tcPr>
            <w:tcW w:type="dxa" w:w="238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同 G37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c=3；L_D + P_LH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3，p.8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G41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变体：TOPICS+ local</w:t>
            </w:r>
          </w:p>
        </w:tc>
        <w:tc>
          <w:tcPr>
            <w:tcW w:type="dxa" w:w="238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N1／MM-OR／P2</w:t>
            </w:r>
          </w:p>
        </w:tc>
        <w:tc>
          <w:tcPr>
            <w:tcW w:type="dxa" w:w="326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按空间邻近构树；其余独立超参未报告</w:t>
            </w:r>
          </w:p>
        </w:tc>
        <w:tc>
          <w:tcPr>
            <w:tcW w:type="dxa" w:w="172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图 4，p.7</w:t>
            </w:r>
          </w:p>
        </w:tc>
      </w:tr>
    </w:tbl>
    <w:p>
      <w:r>
        <w:t>G37 与 G29、G40 与 G30 的数值分别相同，但表 3 类别表头不同，故保留独立组号，不能悄然认定评价集合相同。G41 只有曲线，无数值表，本报告不从图上估读精确分数。</w:t>
      </w:r>
    </w:p>
    <w:p>
      <w:r>
        <w:br w:type="page"/>
      </w:r>
    </w:p>
    <w:p>
      <w:pPr>
        <w:pStyle w:val="Heading1"/>
      </w:pPr>
      <w:r>
        <w:t>6 不相交增量结果</w:t>
      </w:r>
    </w:p>
    <w:p>
      <w:r>
        <w:t>以下数值逐项保留原文表 1。单位均为 mIoU %，越大越好；评价时点为完整序列结束。每个协议是独立实验，不跨数据集比较绝对数值。[p.7，表 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680"/>
        <w:gridCol w:w="1304"/>
        <w:gridCol w:w="2835"/>
        <w:gridCol w:w="1644"/>
        <w:gridCol w:w="1644"/>
        <w:gridCol w:w="1757"/>
      </w:tblGrid>
      <w:tr>
        <w:trPr>
          <w:cantSplit/>
          <w:tblHeader/>
        </w:trPr>
        <w:tc>
          <w:tcPr>
            <w:tcW w:type="dxa" w:w="680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130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数据／协议</w:t>
            </w:r>
          </w:p>
        </w:tc>
        <w:tc>
          <w:tcPr>
            <w:tcW w:type="dxa" w:w="283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64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164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novel</w:t>
            </w:r>
          </w:p>
        </w:tc>
        <w:tc>
          <w:tcPr>
            <w:tcW w:type="dxa" w:w="175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G01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36.12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43.14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41.43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G02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41.28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49.97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47.05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G03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 + AWT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43.09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51.06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48.56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G04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DKD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34.32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40.46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37.93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G05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49.09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48.20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48.77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G06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47.38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51.96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49.05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G07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49.17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23.53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41.67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G08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17.85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24.63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23.20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G09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 + AWT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31.55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25.61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31.89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G10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DKD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44.64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30.38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41.53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G11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46.15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20.88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35.81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G12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51.48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26.56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42.69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G13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50.98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16.10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29.27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G14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50.51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44.06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46.49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G15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 + AWT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51.26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48.12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49.31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G16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DKD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50.53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29.91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37.69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G17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57.82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44.91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49.79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G18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59.83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44.30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50.16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3005"/>
        <w:gridCol w:w="2268"/>
        <w:gridCol w:w="2268"/>
        <w:gridCol w:w="2324"/>
      </w:tblGrid>
      <w:tr>
        <w:trPr>
          <w:cantSplit/>
          <w:tblHeader/>
        </w:trPr>
        <w:tc>
          <w:tcPr>
            <w:tcW w:type="dxa" w:w="300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2268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 base 表头</w:t>
            </w:r>
          </w:p>
        </w:tc>
        <w:tc>
          <w:tcPr>
            <w:tcW w:type="dxa" w:w="2268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 novel 表头</w:t>
            </w:r>
          </w:p>
        </w:tc>
        <w:tc>
          <w:tcPr>
            <w:tcW w:type="dxa" w:w="232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 all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P1 Endovis18 8-1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1–8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8–12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P2 MM-OR 11-1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1–11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11–18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P3 Syn-Mediverse 55-44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1–55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55–144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all</w:t>
            </w:r>
          </w:p>
        </w:tc>
      </w:tr>
    </w:tbl>
    <w:p>
      <w:r>
        <w:t>结果解读：TOPICS+ 的 all 分别为 49.05、42.69、50.16，相对 TOPICS 为 +0.28、+6.88、+0.37 pp。Endovis18 的 base 从 49.09 降至 47.38（−1.71 pp）；Syn-Mediverse 的 novel 从 44.91 降至 44.30（−0.61 pp）。因此“六协议总指标更好”不能改写为“所有旧类与新类指标均更好”。</w:t>
      </w:r>
    </w:p>
    <w:p>
      <w:r>
        <w:t>表头中的端点重叠按原样保留。它们究竟是 ID 区间、含背景的类别数，还是另一种标号方式，正文不足以消除歧义；本报告不据此自行计算类别加权平均。</w:t>
      </w:r>
    </w:p>
    <w:p>
      <w:r>
        <w:br w:type="page"/>
      </w:r>
    </w:p>
    <w:p>
      <w:pPr>
        <w:pStyle w:val="Heading1"/>
      </w:pPr>
      <w:r>
        <w:t>7 层次细化结果</w:t>
      </w:r>
    </w:p>
    <w:p>
      <w:r>
        <w:t>以下逐项保留表 2 的最终阶段测试 mIoU（%，↑）。层次细化会改变粗细类别关系；不要把协议数字相加直接当成最终互斥叶类别数。[p.8，表 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680"/>
        <w:gridCol w:w="1304"/>
        <w:gridCol w:w="2835"/>
        <w:gridCol w:w="1644"/>
        <w:gridCol w:w="1644"/>
        <w:gridCol w:w="1757"/>
      </w:tblGrid>
      <w:tr>
        <w:trPr>
          <w:cantSplit/>
          <w:tblHeader/>
        </w:trPr>
        <w:tc>
          <w:tcPr>
            <w:tcW w:type="dxa" w:w="680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130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数据／协议</w:t>
            </w:r>
          </w:p>
        </w:tc>
        <w:tc>
          <w:tcPr>
            <w:tcW w:type="dxa" w:w="283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64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164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novel</w:t>
            </w:r>
          </w:p>
        </w:tc>
        <w:tc>
          <w:tcPr>
            <w:tcW w:type="dxa" w:w="175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G19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44.28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15.40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28.05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G20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35.38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26.95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32.80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G21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 + AWT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36.96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26.17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32.69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G22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DKD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38.36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1.61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16.29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G23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44.72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27.61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33.83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G24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44.12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29.99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35.13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G25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40.63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32.78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38.40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G26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50.54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28.19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39.84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G27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 + AWT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50.59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32.32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42.21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G28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DKD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47.92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7.06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26.69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G29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50.38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31.88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40.12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G30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50.20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38.52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45.10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G31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39.73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15.02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28.50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G32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41.03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37.15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39.27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G33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MiB + AWT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41.13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44.18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42.52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G34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DKD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50.41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6.34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30.38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G35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54.58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39.83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47.88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G36</w:t>
            </w:r>
          </w:p>
        </w:tc>
        <w:tc>
          <w:tcPr>
            <w:tcW w:type="dxa" w:w="130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TOPICS+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53.27</w:t>
            </w:r>
          </w:p>
        </w:tc>
        <w:tc>
          <w:tcPr>
            <w:tcW w:type="dxa" w:w="164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42.13</w:t>
            </w:r>
          </w:p>
        </w:tc>
        <w:tc>
          <w:tcPr>
            <w:tcW w:type="dxa" w:w="175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48.20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3005"/>
        <w:gridCol w:w="2268"/>
        <w:gridCol w:w="2268"/>
        <w:gridCol w:w="2324"/>
      </w:tblGrid>
      <w:tr>
        <w:trPr>
          <w:cantSplit/>
          <w:tblHeader/>
        </w:trPr>
        <w:tc>
          <w:tcPr>
            <w:tcW w:type="dxa" w:w="300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2268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 base 表头</w:t>
            </w:r>
          </w:p>
        </w:tc>
        <w:tc>
          <w:tcPr>
            <w:tcW w:type="dxa" w:w="2268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 novel 表头</w:t>
            </w:r>
          </w:p>
        </w:tc>
        <w:tc>
          <w:tcPr>
            <w:tcW w:type="dxa" w:w="232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原文 all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 Endovis18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5–16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 MM-OR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1–11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11–22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 Syn-Mediverse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1–83</w:t>
            </w:r>
          </w:p>
        </w:tc>
        <w:tc>
          <w:tcPr>
            <w:tcW w:type="dxa" w:w="226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84–148</w:t>
            </w:r>
          </w:p>
        </w:tc>
        <w:tc>
          <w:tcPr>
            <w:tcW w:type="dxa" w:w="232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964"/>
        <w:gridCol w:w="3685"/>
        <w:gridCol w:w="5216"/>
      </w:tblGrid>
      <w:tr>
        <w:trPr>
          <w:cantSplit/>
          <w:tblHeader/>
        </w:trPr>
        <w:tc>
          <w:tcPr>
            <w:tcW w:type="dxa" w:w="96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368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TOPICS+ − TOPICS 的 all</w:t>
            </w:r>
          </w:p>
        </w:tc>
        <w:tc>
          <w:tcPr>
            <w:tcW w:type="dxa" w:w="5216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对最佳非层次对照的 all 差值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35.13 − 33.83 = +1.30 pp</w:t>
            </w:r>
          </w:p>
        </w:tc>
        <w:tc>
          <w:tcPr>
            <w:tcW w:type="dxa" w:w="521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35.13 − 32.80（MiB）= +2.33 pp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45.10 − 40.12 = +4.98 pp</w:t>
            </w:r>
          </w:p>
        </w:tc>
        <w:tc>
          <w:tcPr>
            <w:tcW w:type="dxa" w:w="521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45.10 − 42.21（MiB + AWT）= +2.89 pp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368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48.20 − 47.88 = +0.32 pp</w:t>
            </w:r>
          </w:p>
        </w:tc>
        <w:tc>
          <w:tcPr>
            <w:tcW w:type="dxa" w:w="521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48.20 − 42.52（MiB + AWT）= +5.68 pp</w:t>
            </w:r>
          </w:p>
        </w:tc>
      </w:tr>
    </w:tbl>
    <w:p>
      <w:r>
        <w:t>分项约束：三个细化协议中，TOPICS+ 的 base 都略低于 TOPICS（−0.60／−0.18／−1.31 pp），而 novel 分别提高 +2.38／+6.64／+2.30 pp。Syn-Mediverse 的 MiB + AWT novel=44.18，高于 TOPICS+ 的 42.13。总分优势体现权衡，不能单独证明旧类遗忘更少。</w:t>
      </w:r>
    </w:p>
    <w:p>
      <w:r>
        <w:br w:type="page"/>
      </w:r>
    </w:p>
    <w:p>
      <w:pPr>
        <w:pStyle w:val="Heading1"/>
      </w:pPr>
      <w:r>
        <w:t>8 指标定义与消融证据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134"/>
        <w:gridCol w:w="4706"/>
        <w:gridCol w:w="2778"/>
        <w:gridCol w:w="1247"/>
      </w:tblGrid>
      <w:tr>
        <w:trPr>
          <w:cantSplit/>
          <w:tblHeader/>
        </w:trPr>
        <w:tc>
          <w:tcPr>
            <w:tcW w:type="dxa" w:w="113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type="dxa" w:w="4706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含义与聚合范围</w:t>
            </w:r>
          </w:p>
        </w:tc>
        <w:tc>
          <w:tcPr>
            <w:tcW w:type="dxa" w:w="2778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单位与方向／限制</w:t>
            </w:r>
          </w:p>
        </w:tc>
        <w:tc>
          <w:tcPr>
            <w:tcW w:type="dxa" w:w="124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IoU／mIoU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标准理解为逐类 TP/(TP+FP+FN) 后在指定类别集合求均值。原文报告 mIoU，但没有独立列出像素汇总、空类处理及是否纳入背景／祖先的完整规则。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% ↑；公式为解释性标准定义，精确评估实现未在本篇重列。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§3.2，p.6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base mIoU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完整序列结束后对初始 C¹ 类的 mIoU；各协议范围见第 6–7 节原表头。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% ↑；不是初始阶段分数，也不是遗忘量。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1–2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novel mIoU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完整序列结束后对 C²:ᵀ 新增类／细化类的 mIoU；计数和父子节点处理需核对。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% ↑；不是当前最后一个阶段单独的精度。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1–2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all mIoU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主表对 C¹:ᵀ 的最终整体 mIoU；图 4 为各增量步对应 all。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% ↑；主表不是各阶段均值，不能当 AUC／平均增量准确率。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§3.2；图 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pp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本报告对相同协议相同列直接相减；例如 45.10−40.12=4.98。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百分点；不是相对增长百分比，也没有显著性含义。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表 1–3；本报告计算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推理时延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原文 RTX A6000：MiB／AWT／PLOP 118 ms；DKD 130 ms；TOPICS／TOPICS+ 145 ms。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ms ↓；输入尺寸、batch 和计时范围未说明。145 ms 的倒数约 6.90 次/秒，仅为换算。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§3.2，p.6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参数量</w:t>
            </w:r>
          </w:p>
        </w:tc>
        <w:tc>
          <w:tcPr>
            <w:tcW w:type="dxa" w:w="4706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原文称所有模型 5.8M；未界定为总参数、可训练参数或部分模块。</w:t>
            </w:r>
          </w:p>
        </w:tc>
        <w:tc>
          <w:tcPr>
            <w:tcW w:type="dxa" w:w="2778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百万参数；计数范围待核实，不作已复核事实。</w:t>
            </w:r>
          </w:p>
        </w:tc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7"/>
              </w:rPr>
              <w:t>§3.2，p.6</w:t>
            </w:r>
          </w:p>
        </w:tc>
      </w:tr>
    </w:tbl>
    <w:p>
      <w:pPr>
        <w:pStyle w:val="Heading2"/>
      </w:pPr>
      <w:r>
        <w:t>8.1 MM-OR 消融结果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680"/>
        <w:gridCol w:w="3175"/>
        <w:gridCol w:w="1984"/>
        <w:gridCol w:w="1984"/>
        <w:gridCol w:w="2041"/>
      </w:tblGrid>
      <w:tr>
        <w:trPr>
          <w:cantSplit/>
          <w:tblHeader/>
        </w:trPr>
        <w:tc>
          <w:tcPr>
            <w:tcW w:type="dxa" w:w="680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175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c／L_D／P_LH</w:t>
            </w:r>
          </w:p>
        </w:tc>
        <w:tc>
          <w:tcPr>
            <w:tcW w:type="dxa" w:w="198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type="dxa" w:w="198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novel</w:t>
            </w:r>
          </w:p>
        </w:tc>
        <w:tc>
          <w:tcPr>
            <w:tcW w:type="dxa" w:w="2041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G37</w:t>
            </w:r>
          </w:p>
        </w:tc>
        <w:tc>
          <w:tcPr>
            <w:tcW w:type="dxa" w:w="317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2／无／无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50.38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31.88</w:t>
            </w:r>
          </w:p>
        </w:tc>
        <w:tc>
          <w:tcPr>
            <w:tcW w:type="dxa" w:w="204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40.12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G38</w:t>
            </w:r>
          </w:p>
        </w:tc>
        <w:tc>
          <w:tcPr>
            <w:tcW w:type="dxa" w:w="317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3／无／无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50.16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33.87</w:t>
            </w:r>
          </w:p>
        </w:tc>
        <w:tc>
          <w:tcPr>
            <w:tcW w:type="dxa" w:w="204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41.96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G39</w:t>
            </w:r>
          </w:p>
        </w:tc>
        <w:tc>
          <w:tcPr>
            <w:tcW w:type="dxa" w:w="317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3／有／无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44.13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36.22</w:t>
            </w:r>
          </w:p>
        </w:tc>
        <w:tc>
          <w:tcPr>
            <w:tcW w:type="dxa" w:w="204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40.89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G40</w:t>
            </w:r>
          </w:p>
        </w:tc>
        <w:tc>
          <w:tcPr>
            <w:tcW w:type="dxa" w:w="3175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3／有／有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50.20</w:t>
            </w:r>
          </w:p>
        </w:tc>
        <w:tc>
          <w:tcPr>
            <w:tcW w:type="dxa" w:w="198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38.52</w:t>
            </w:r>
          </w:p>
        </w:tc>
        <w:tc>
          <w:tcPr>
            <w:tcW w:type="dxa" w:w="2041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45.10</w:t>
            </w:r>
          </w:p>
        </w:tc>
      </w:tr>
    </w:tbl>
    <w:p>
      <w:pPr>
        <w:pStyle w:val="Caption"/>
      </w:pPr>
      <w:r>
        <w:t>原文表 3，p.8；协议 MM-OR 11-4-3-2-3，列标题为 base 1–14、novel 15–19，与表 2 不同；均按原数值保留。</w:t>
      </w:r>
    </w:p>
    <w:p>
      <w:r>
        <w:t>证据支持协同作用：只提高曲率，novel +1.99 pp；再加 Dice，novel +2.35 pp，但 base −6.03 pp、all −1.07 pp；再加层次伪标签，base +6.07 pp、novel +2.30 pp、all +4.21 pp。Dice 单独加入并非所有指标单调改善；表中缺“只加 P_LH”的完整因子组合，尚不能独立分解各模块主效应与交互。</w:t>
      </w:r>
    </w:p>
    <w:p>
      <w:r>
        <w:br w:type="page"/>
      </w:r>
    </w:p>
    <w:p>
      <w:pPr>
        <w:pStyle w:val="Heading1"/>
      </w:pPr>
      <w:r>
        <w:t>9 疑点及可验证的改进</w:t>
      </w:r>
    </w:p>
    <w:p>
      <w:r>
        <w:t>论文没有独立的局限性小节。以下将明确的文稿不一致与报告人提出的待核问题分开；它们不自动等同于方法失效。</w:t>
      </w:r>
    </w:p>
    <w:p>
      <w:pPr>
        <w:pStyle w:val="Heading2"/>
      </w:pPr>
      <w:r>
        <w:t>9.1 已有原文依据的报告不一致</w:t>
      </w:r>
    </w:p>
    <w:p>
      <w:r>
        <w:t>① Endovis18 任务数：§2.1 定义 X-Y（T tasks）意味着新增 Y×(T−1) 类；8-1（4 tasks）按该规则只新增 3 类，但 p.3–4 明确列 covered-kidney、kidney-parenchyma、instrument-wrist、small-intestine 四类，图 1 又展示四个步骤。影响：增量训练次数与评价类集合无法仅据文字唯一确定。验证：读取官方阶段配置和标签映射，逐步输出新增类／有效叶类／背景清单，不擅改为 5 tasks。</w:t>
      </w:r>
    </w:p>
    <w:p>
      <w:r>
        <w:t>② 同协议表头：表 2 的 MM-OR 细化列为 1–11／11–22；表 3 改为 1–14／15–19，却复用 TOPICS 的 50.38／31.88／40.12 及完整 TOPICS+ 的 50.20／38.52／45.10。影响：消融是否与主表对同一组类别评分不清楚。验证：固定预测文件，用评估脚本导出每类 IoU 及纳入列表，向作者确认表头。[p.8]</w:t>
      </w:r>
    </w:p>
    <w:p>
      <w:r>
        <w:t>③ 类别数量：Syn-Mediverse 正文为 144 细类；55+44×2=143，表 1 写 1–55／55–144；细化表 2 又写 84–148。MM-OR 18 个主要标签与细化编号也不是简单相加关系。可能涉及背景、祖先或粗类替换，原文未给统一计数表。影响：mIoU 分母不可唯一重建。验证：分别统计叶类、祖先节点、背景和忽略标签，保留阶段映射。[§2.1，p.4–5；表 1–2]</w:t>
      </w:r>
    </w:p>
    <w:p>
      <w:pPr>
        <w:pStyle w:val="Heading2"/>
      </w:pPr>
      <w:r>
        <w:t>9.2 报告人提出的待核问题</w:t>
      </w:r>
    </w:p>
    <w:p>
      <w:r>
        <w:t>④ all 的聚合口径是否一致？表 1 MM-OR 的 MiB + AWT：base=31.55、novel=25.61、all=31.89。若 all 恰由这两个不相交类集合加权平均，则应介于两者之间；当前不满足。由于可能另纳背景／祖先，证据只支持“聚合口径需澄清”，不能直接断言算错。验证：取得每类 IoU、类别权重与脚本后重算。[表 1，p.7]</w:t>
      </w:r>
    </w:p>
    <w:p>
      <w:r>
        <w:t>⑤ 小增益是否稳健？相对 TOPICS，P1／P3／P6 的 all 仅 +0.28／+0.37／+0.32 pp；原文无多 seed 置信区间、类别顺序变化或联合训练上界。影响：不能把数值差异写成统计显著性或已解决遗忘。验证：至少 3 个 seed，保持超参预算一致，报告均值／标准差、各阶段每类 IoU、旧类遗忘和不同顺序结果。[表 1–2；实验建议]</w:t>
      </w:r>
    </w:p>
    <w:p>
      <w:r>
        <w:t>⑥ 效率与公平性口径：DeepLabV3／ResNet-101 和“所有模型 5.8M 参数”之间的计数范围未说明；PLOP 的输入裁剪与其他方法不同。影响：不能确认容量和计算预算完全对齐；145 ms 也不足以直接推出机器人实时可部署。验证：逐模型统计总／可训练参数、峰值显存及同尺寸 batch=1 延迟，并固定裁剪后重比。[§3.1–3.2，p.5–6]</w:t>
      </w:r>
    </w:p>
    <w:p>
      <w:r>
        <w:br w:type="page"/>
      </w:r>
    </w:p>
    <w:p>
      <w:pPr>
        <w:pStyle w:val="Heading1"/>
      </w:pPr>
      <w:r>
        <w:t>9 疑点与改进续</w:t>
      </w:r>
    </w:p>
    <w:p>
      <w:r>
        <w:t>⑦ 树结构与未来类别信息：§2.2 使用数据集类别名生成完整层次，未明确未来类名／层次关系何时可见，也未给完整提示输出和人工调整记录。local 变体较差只验证了一个替代树。影响：树先验及人工调参的贡献难复核。验证：保存树 JSON、LLM 版本与输出、人工修改；比较完整先验树、逐步扩展树、随机树与人工固定树。[p.6；图 4，p.7]</w:t>
      </w:r>
    </w:p>
    <w:p>
      <w:r>
        <w:t>⑧ Dice 与伪标签的独立贡献：消融仅在 MM-OR 细化协议；缺少固定 c=3 时“无 Dice、仅层次伪标签”的组。影响：不能把六种主实验的提升全归因于 Dice，也无法估计模块交互。验证：固定树和阈值，补全 Dice×层次伪标签 2×2 组合，在三个数据集重复。[表 3，p.8]</w:t>
      </w:r>
    </w:p>
    <w:p>
      <w:r>
        <w:t>⑨ 场景验证边界：Endovis18 的训练／验证是否按视频隔离未在本篇交代；三个基准独立评估，没有医院／设备／天气域顺序流和在线部署。影响：泛化与实时应用的论述只得到离线类增量证据。验证：核对 video ID 划分；若研究部署，再按独立机器人平台定义延迟与更新预算。[§2.1、§3、§4，p.3–9]</w:t>
      </w:r>
    </w:p>
    <w:p>
      <w:pPr>
        <w:pStyle w:val="Heading1"/>
      </w:pPr>
      <w:r>
        <w:t>10 与本课题的关系</w:t>
      </w:r>
    </w:p>
    <w:p>
      <w:r>
        <w:t>本项目当前候选问题是天气／光照变化下道路场景的域增量持续分割，类别空间大体固定，考虑有标注数据顺序到达且无显式天气域标签、任务编号和切换提示；正式协议及基线尚未确定。以下是本项目推论，不是 TOPICS+ 已验证的结论。[00_management/PROJECT_STATE.md]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134"/>
        <w:gridCol w:w="4139"/>
        <w:gridCol w:w="4592"/>
      </w:tblGrid>
      <w:tr>
        <w:trPr>
          <w:cantSplit/>
          <w:tblHeader/>
        </w:trPr>
        <w:tc>
          <w:tcPr>
            <w:tcW w:type="dxa" w:w="1134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139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可借鉴之处</w:t>
            </w:r>
          </w:p>
        </w:tc>
        <w:tc>
          <w:tcPr>
            <w:tcW w:type="dxa" w:w="4592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直接迁移的差异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任务设定</w:t>
            </w:r>
          </w:p>
        </w:tc>
        <w:tc>
          <w:tcPr>
            <w:tcW w:type="dxa" w:w="413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当前阶段监督与旧知识保持的权衡；逐阶段评价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本文靠新增类／细化类产生增量；课题主要是同类跨天气分布变化。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类别关系</w:t>
            </w:r>
          </w:p>
        </w:tc>
        <w:tc>
          <w:tcPr>
            <w:tcW w:type="dxa" w:w="413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可尝试固定道路类别树或关系正则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固定类别没有新增树节点，双曲层次机制是否优于普通蒸馏尚无本文证据。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伪标签</w:t>
            </w:r>
          </w:p>
        </w:tc>
        <w:tc>
          <w:tcPr>
            <w:tcW w:type="dxa" w:w="413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保留可靠祖先而非强行产生细类标签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密集标注、类别固定时背景漂移机制不同；天气下阈值校准需另测。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类别不平衡</w:t>
            </w:r>
          </w:p>
        </w:tc>
        <w:tc>
          <w:tcPr>
            <w:tcW w:type="dxa" w:w="413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Dice 可作为小类／细结构的对照项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消融显示单加 Dice 会损失 base；天气小类提升不能替代旧域保持指标。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数据与指标</w:t>
            </w:r>
          </w:p>
        </w:tc>
        <w:tc>
          <w:tcPr>
            <w:tcW w:type="dxa" w:w="413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按协议、已学范围与时点明确汇报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手术／合成医院数据不是道路天气基准；base／novel 不是旧域／新域。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无回放</w:t>
            </w:r>
          </w:p>
        </w:tc>
        <w:tc>
          <w:tcPr>
            <w:tcW w:type="dxa" w:w="4139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可作缓存受限时的路线参考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本项目缓存策略未定；旧模型／树／特征也有存储开销，应纳入预算。</w:t>
            </w:r>
          </w:p>
        </w:tc>
      </w:tr>
    </w:tbl>
    <w:p>
      <w:r>
        <w:br w:type="page"/>
      </w:r>
    </w:p>
    <w:p>
      <w:pPr>
        <w:pStyle w:val="Heading1"/>
      </w:pPr>
      <w:r>
        <w:t>11 后续验证与复现准备</w:t>
      </w:r>
    </w:p>
    <w:p>
      <w:pPr>
        <w:pStyle w:val="Heading2"/>
      </w:pPr>
      <w:r>
        <w:t>11.1 对本项目可执行的验证顺序</w:t>
      </w:r>
    </w:p>
    <w:p>
      <w:r>
        <w:t>第一步，先在已确定的道路天气域增量协议上建立顺序微调、普通旧模型蒸馏与可用回放对照，固定网络、预训练、数据顺序和更新预算；若协议尚未确定，先完成这一决策，不把本篇的类别协议改名为域增量。[项目建议；现有课题状态]</w:t>
      </w:r>
    </w:p>
    <w:p>
      <w:r>
        <w:t>第二步，在同一对照上比较普通交叉熵、交叉熵 + Dice、固定类别关系约束及二者组合，输出每一步所有天气域的 mIoU 矩阵。分析最终已见域平均 mIoU、旧域遗忘和小类 IoU，并给出独立指标定义；这些是建议的项目指标，不是本文已报告的量。</w:t>
      </w:r>
    </w:p>
    <w:p>
      <w:r>
        <w:t>第三步，仅在置信度退化确实构成错误来源时，测试按层级的伪标签与普通置信度阈值，比较伪标签精度、覆盖率、旧域保持和计算开销。双曲头另设消融，保持树不变，避免同时改变几何、损失、阈值而无法归因。</w:t>
      </w:r>
    </w:p>
    <w:p>
      <w:pPr>
        <w:pStyle w:val="Heading2"/>
      </w:pPr>
      <w:r>
        <w:t>11.2 若复现原论文须先补齐的材料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7CDD3"/>
          <w:left w:val="single" w:sz="4" w:color="C7CDD3"/>
          <w:bottom w:val="single" w:sz="4" w:color="C7CDD3"/>
          <w:right w:val="single" w:sz="4" w:color="C7CDD3"/>
          <w:insideH w:val="single" w:sz="4" w:color="C7CDD3"/>
          <w:insideV w:val="single" w:sz="4" w:color="C7CDD3"/>
        </w:tblBorders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617"/>
            <w:vAlign w:val="center"/>
            <w:shd w:fill="E9EDF1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当前核实状态与待补项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官方资源</w:t>
            </w:r>
          </w:p>
        </w:tc>
        <w:tc>
          <w:tcPr>
            <w:tcW w:type="dxa" w:w="861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作者项目页和 GitHub README 已打开核对，README 明确包含 TOPICS 与 TOPICS+；本次没有下载或执行训练代码。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环境</w:t>
            </w:r>
          </w:p>
        </w:tc>
        <w:tc>
          <w:tcPr>
            <w:tcW w:type="dxa" w:w="861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README 标示 Ubuntu 20.04、Python 3.8、PyTorch 2.1.0+cu118；依赖另见 install.sh。这里是作者测试环境，不代表本项目已安装。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预训练</w:t>
            </w:r>
          </w:p>
        </w:tc>
        <w:tc>
          <w:tcPr>
            <w:tcW w:type="dxa" w:w="861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README 提供 ImageNet 预训练权重入口；须锁定实际文件 SHA-256、加载层和每个对照的一致性。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配置</w:t>
            </w:r>
          </w:p>
        </w:tc>
        <w:tc>
          <w:tcPr>
            <w:tcW w:type="dxa" w:w="861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README 指向 scripts／configs，新增设定需 CSV 与过滤文件。须锁定 commit、数据分割、完整类别树、每阶段映射及评估集合，先解释第 9 节疑点。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数据</w:t>
            </w:r>
          </w:p>
        </w:tc>
        <w:tc>
          <w:tcPr>
            <w:tcW w:type="dxa" w:w="861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按许可获取 Endovis18／MM-OR／Syn-Mediverse；核验细化标签与线上评估接口，并保存验证集选择阈值的过程。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最小复现</w:t>
            </w:r>
          </w:p>
        </w:tc>
        <w:tc>
          <w:tcPr>
            <w:tcW w:type="dxa" w:w="8617"/>
            <w:vAlign w:val="center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优先 MM-OR P5 的 TOPICS 与 TOPICS+，再补全 2×2 消融；若算力不足先做可运行性检查，不将其记录为完成正式复现。</w:t>
            </w:r>
          </w:p>
        </w:tc>
      </w:tr>
    </w:tbl>
    <w:p>
      <w:pPr>
        <w:pStyle w:val="Heading2"/>
      </w:pPr>
      <w:r>
        <w:t>11.3 定性证据与阅读范围</w:t>
      </w:r>
    </w:p>
    <w:p>
      <w:r>
        <w:t>图 5（p.8）比较 TOPICS 与 TOPICS+：组织、工具杆、轮椅细结构及人物／帘幕区域有改进示例；绿色表示只被 TOPICS+ 修正，蓝色表示相反，红色表示两者都错。图 4（p.7）显示 MM-OR 各阶段性能及 local 变体，未提供完整机器可读逐步分数，本报告只作定性解读。</w:t>
      </w:r>
    </w:p>
    <w:p>
      <w:r>
        <w:t>本次覆盖本地 11 页正文、图 1–5、表 1–3 及参考文献列表，逐页定位关键依据；未核验所有被引文献全文，未开展训练复现。报告由 AI 辅助提取、核对和撰写，文献索引“已精读”记录本次 Agent 阅读完成，不代表用户已亲自阅读。</w:t>
      </w:r>
    </w:p>
    <w:p>
      <w:r>
        <w:br w:type="page"/>
      </w:r>
    </w:p>
    <w:p>
      <w:pPr>
        <w:pStyle w:val="Heading1"/>
      </w:pPr>
      <w:r>
        <w:t>12 参考来源与可追溯信息</w:t>
      </w:r>
    </w:p>
    <w:p>
      <w:r>
        <w:t>[1] Hindel, J., Mekic, E., Naga Karthik, E., Mohan, R., Cattaneo, D., Kalweit, M., &amp; Valada, A. (2025). Dynamic Robot-Assisted Surgery with Hierarchical Class-Incremental Semantic Segmentation. arXiv:2508.01713v2. 本地全文分析来源：师姐推荐文献/TOPICS+.pdf。</w:t>
      </w:r>
    </w:p>
    <w:p>
      <w:r>
        <w:t>[2] Hindel et al. (2026). 同题正式章节，Applications of Medical Artificial Intelligence (AMAI 2025), LNCS 16206, pp.246–257. 正式章页面核实首次在线日期为 2026-01-02；本报告实验数值来自 [1]，未将付费正式章节视为已读全文。</w:t>
      </w:r>
    </w:p>
    <w:p>
      <w:r>
        <w:t>正式发表页：https://link.springer.com/chapter/10.1007/978-3-032-09569-5_25</w:t>
      </w:r>
    </w:p>
    <w:p>
      <w:r>
        <w:t>预印本及版本记录：https://arxiv.org/abs/2508.01713</w:t>
      </w:r>
    </w:p>
    <w:p>
      <w:r>
        <w:t>作者项目页：https://topics.cs.uni-freiburg.de/</w:t>
      </w:r>
    </w:p>
    <w:p>
      <w:r>
        <w:t>官方仓库及 README：https://github.com/robot-learning-freiburg/TOPICS</w:t>
      </w:r>
    </w:p>
    <w:p>
      <w:r>
        <w:t>外部页面核对日期：2026-10-21（Asia/Shanghai）。项目页以 AMAI／MICCAI 2025 标记会期，Springer 首次在线为 2026 年；两个年份分别说明，引用正式章节时使用出版社信息。</w:t>
      </w:r>
    </w:p>
    <w:p>
      <w:pPr>
        <w:pStyle w:val="Heading2"/>
      </w:pPr>
      <w:r>
        <w:t>12.1 TOPICS 原方法的定位</w:t>
      </w:r>
    </w:p>
    <w:p>
      <w:r>
        <w:t>原文参考文献 10 为 Hindel、Cattaneo、Valada 的 Taxonomy-Aware Continual Semantic Segmentation in Hyperbolic Spaces for Open-World Perception，IEEE Robotics and Automation Letters 10(2):1904–1911，2025。本次用它说明 TOPICS+ 的继承关系，书目信息与作者项目页核对；未在本报告中假定已精读其道路实验或重新录入其结果。</w:t>
      </w:r>
    </w:p>
    <w:p>
      <w:pPr>
        <w:pStyle w:val="Heading2"/>
      </w:pPr>
      <w:r>
        <w:t>12.2 本地文件完整性</w:t>
      </w:r>
    </w:p>
    <w:p>
      <w:r>
        <w:t>原始 PDF SHA-256：</w:t>
      </w:r>
    </w:p>
    <w:p>
      <w:r>
        <w:rPr>
          <w:rFonts w:ascii="Consolas" w:hAnsi="Consolas"/>
          <w:sz w:val="16"/>
        </w:rPr>
        <w:t>fe24a8adef9ac5c7967ef71a184df5d9e4042ae5506c2334e3bf7dc013180723</w:t>
      </w:r>
    </w:p>
    <w:p>
      <w:r>
        <w:t>正式报告：01_literature/paper_reports/LIT-013_topics_plus_hierarchical_ciss.docx。</w:t>
      </w:r>
    </w:p>
    <w:p>
      <w:r>
        <w:t>文献进度与定位：01_literature/LITERATURE_INDEX.md。报告内容要求：01_literature/REPORT_STANDARD.md。课题边界依据：00_management/PROJECT_STATE.md。</w:t>
      </w:r>
    </w:p>
    <w:p>
      <w:r>
        <w:t>本报告保留全部 36 组主实验的 108 个 mIoU 数值及 4 组消融的 12 个数值。数值差异均由同协议同指标相减得到；所有计数／指标口径疑点均保留原文记录，待代码或作者确认。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LIT-013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283" w:lineRule="auto"/>
      <w:outlineLvl w:val="0"/>
    </w:pPr>
    <w:rPr>
      <w:rFonts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83" w:lineRule="auto"/>
      <w:outlineLvl w:val="1"/>
    </w:pPr>
    <w:rPr>
      <w:rFonts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="Calibri" w:hAnsi="Calibri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20"/>
    </w:pPr>
    <w:rPr>
      <w:rFonts w:ascii="Calibri" w:hAnsi="Calibr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TOPICS+ 层次化类增量语义分割精读报告</dc:title>
  <dc:subject>LIT-013 研究设定 实验结果 指标 疑点及课题关系</dc:subject>
  <dc:creator>本科毕业论文研究项目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