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UCB 持续语义分割文献阅读报告</w:t>
      </w:r>
    </w:p>
    <w:p>
      <w:pPr>
        <w:pStyle w:val="Subtitle"/>
      </w:pPr>
      <w:r>
        <w:t>LIT-014  阅读日期 2026-10-21  原始论文 IEEE TIP 2025</w:t>
      </w:r>
    </w:p>
    <w:p>
      <w:pPr>
        <w:pStyle w:val="Heading1"/>
      </w:pPr>
      <w:r>
        <w:t>0 阅读价值判断</w:t>
      </w:r>
    </w:p>
    <w:p>
      <w:r>
        <w:t>一句话结论：值得重点阅读其像素损失加权机制，现阶段不宜直接选作天气域增量基线。初评等级 B；最终等级 B；实际阅读方式为通读正文，重点精读设定、式（1）至（12）、图 1 至 8 和表 I 至 X，并对照官方核心加权代码。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32"/>
        <w:gridCol w:w="6236"/>
        <w:gridCol w:w="2296"/>
      </w:tblGrid>
      <w:tr>
        <w:trPr>
          <w:cantSplit/>
          <w:tblHeader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判断维度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结论及具体理由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研究相关性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有方法层联系，但研究的是新增类别及背景标注漂移；未测试固定类别的天气域顺序变化。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§III-A、§V-A，p.3–7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降低旧类错误伪标签的梯度影响，同时处理旧类内部及新旧类之间的像素占比失衡。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图 1、3；§IV，p.2、4–6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实际创新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把指数不确定性权重与累计类别占比的逆频率权重相乘，再按均值归一化，附着于既有伪标签方法。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图 2；式（2）至（7）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突破程度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属于损失设计的增量改进。伪标签、熵筛选及新类降权均有前作；本文优势是更细的像素与逐类组合。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§II-C；表 IV、VII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方法借鉴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值得学习可靠性与类别均衡的联动，特别是“只删错标可能扩大类别失衡”的对照。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表 IV、VIII，p.11–12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Baseline 适配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可作为后续消融模块候选，不能直接充当天气域增量完整基线；其公式依赖旧／新类别数量与阶段边界。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§III；式（7）；算法 1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复现价值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适合先做小规模模块复现。已有三套承载方法的公开代码；论文与代码的熵、类别统计及归一化细节须先对齐。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§V-A；官方代码，见第 7 节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实验可信度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两个数据集、三种承载方法及多组消融支持最终整体 mIoU 增益；未报告重复运行方差、类顺序稳健性及天气迁移。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表 I 至 X；§V，p.6–12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主要不足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低熵错标仍可能被强化；伪标签统计会反馈到类别权重。公式及表间存在可复查的不一致。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§VI；第 5 节核查项</w:t>
            </w:r>
          </w:p>
        </w:tc>
      </w:tr>
      <w:tr>
        <w:trPr>
          <w:cantSplit/>
        </w:trPr>
        <w:tc>
          <w:tcPr>
            <w:tcW w:type="dxa" w:w="13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本课题帮助</w:t>
            </w:r>
          </w:p>
        </w:tc>
        <w:tc>
          <w:tcPr>
            <w:tcW w:type="dxa" w:w="62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主要帮助方法学习与实验设计。若采用完整真值监督，旧类伪标签缺失这一主要动机不再直接成立。</w:t>
            </w:r>
          </w:p>
        </w:tc>
        <w:tc>
          <w:tcPr>
            <w:tcW w:type="dxa" w:w="229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项目状态与§III-B 对照</w:t>
            </w:r>
          </w:p>
        </w:tc>
      </w:tr>
    </w:tbl>
    <w:p>
      <w:pPr>
        <w:spacing w:after="0"/>
      </w:pPr>
      <w:r/>
    </w:p>
    <w:p>
      <w:r>
        <w:t>等级复核：保留 B 级。跨框架实验与错误伪标签诊断有明确价值；任务边界不匹配和复现细节差异使其不足以升级为当前课题的 A 级直接复现对象。等级只表示本项目阅读优先级。</w:t>
      </w:r>
    </w:p>
    <w:p>
      <w:pPr>
        <w:pStyle w:val="Heading2"/>
      </w:pPr>
      <w:r>
        <w:t>30 分钟阅读路线</w:t>
      </w:r>
    </w:p>
    <w:p>
      <w:r>
        <w:t>按顺序阅读：① §III-A、III-B 与式（1）（5 分钟），确认旧／未来类为什么变成背景；② 图 1、图 3（5 分钟），核对熵与错误率、类别占比的经验关系；③ 图 2 与式（2）至（7）（10 分钟），画出权重如何进入分类损失；④ 表 I 的 10-1、表 IV 和 VIII（7 分钟），区分主表基线、消融基线与使用真值的诊断；⑤ §VI（3 分钟），确认它没有纠正错标，也没有验证天气域增量。</w:t>
      </w:r>
    </w:p>
    <w:p>
      <w:pPr>
        <w:pStyle w:val="Heading2"/>
      </w:pPr>
      <w:r>
        <w:t>2 小时阅读路线</w:t>
      </w:r>
    </w:p>
    <w:p>
      <w:r>
        <w:t>前 15 分钟读 §I 至 III，明确标注空间与数据流；随后 30 分钟推敲式（2）至（7）和算法 1，检查筛选、归一化与统计重置；再用 15 分钟读 §IV-C，检查高斯二分类及准确率指数假设；接着 30 分钟对照表 I 至 IV、VII、VIII，验证收益与旧／新类权衡；用 20 分钟看表 V、VI、IX、X 和官方三份 utils/entropy.py，确认参数与实现差异；最后 10 分钟读 §VI，并把可迁移机制与本课题设定逐项对齐。</w:t>
      </w:r>
    </w:p>
    <w:p>
      <w:r>
        <w:t>主要用途：方法学习、实验设计。次要用途：文献综述、寻找创新点。Baseline 用途仅限条件对齐后的模块消融，尚未作选型决定。</w:t>
      </w:r>
    </w:p>
    <w:p>
      <w:pPr>
        <w:pStyle w:val="Heading1"/>
      </w:pPr>
      <w:r>
        <w:t>1 文献信息与研究设定</w:t>
      </w:r>
    </w:p>
    <w:p>
      <w:r>
        <w:t>完整标题：Enhancing Continual Semantic Segmentation via Uncertainty and Class Balance Re-Weighting。作者：Zichen Liang、Yusong Hu、Fei Yang、Xialei Liu。IEEE Transactions on Image Processing，34：3689–3702，2025；DOI：10.1109/TIP.2025.3576477。首页记载 2025-06-10 正式公开发表，当前版本日期为 2025-06-16。</w:t>
      </w:r>
    </w:p>
    <w:p>
      <w:hyperlink r:id="rId10">
        <w:r>
          <w:rPr>
            <w:color w:val="235A81"/>
          </w:rPr>
          <w:t>本地原始论文 UCB.pdf</w:t>
        </w:r>
      </w:hyperlink>
    </w:p>
    <w:p>
      <w:r>
        <w:t>定位约定：p.N 均指本地 PDF 从 1 开始的文件页码；期刊页码等于 3688+N。本地文件共 14 页，p.1–12 为正文，p.13–14 含结论后续、参考文献和作者简介；没有独立附录。发表信息据首页与 DOI 元数据核对；不以 JIF、未经核实的被引量或仓库星数判断论文质量。</w:t>
      </w:r>
    </w:p>
    <w:p>
      <w:r>
        <w:t>论文问题：新类别逐阶段加入，当前数据仅标注本阶段新增类，旧类与未来类被当作背景。旧模型补出的伪标签既可能出错，又存在类别占比差异，因而影响旧知识保持与新类学习。作者通过改变每个像素的训练权重缓解这两种影响。[§III–IV，p.3–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816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实际协议及约束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任务与输出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语义分割；每个像素预测一个已见类别，包含背景；类别集合随阶段扩展。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在线程度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阶段内可重复训练：PLOP 每任务 30 epochs，SSUL 75，CoinSeg 50；不是单遍在线数据流。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持续学习与增量类型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类增量 CIL／CISS。VOC 与 ADE20K 分阶段引入新类；不是域增量、域泛化或天气目标域适应实验。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监督信息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新类有像素真值；旧／未来类在当前标签中归为背景；旧模型在当前图像生成伪标签。GT／DW 仅是使用真实旧类信息的诊断。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训练任务边界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已知阶段编号、旧／新类别划分与类别数量；算法 1 每阶段初始化类别比例统计，模型随任务扩展。未提供自动边界检测。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测试任务边界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对所有已学类别联合评价；正文未给出按测试 task ID 选择模型的机制，也未单列 task-ID 开关。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数据访问与存储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UCB 本身不增加历史图像缓存，使用旧模型、当前图像和按类统计向量。主表承载版本是否另有缓存须据各方法配置核对，正文未统一列缓存预算。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overlapped 含义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当前图像可包含旧类或尚未学习的新类，背景含二者；它不等于主动回放旧训练集，也不保证图像跨阶段完全不重叠。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评价范围与时点</w:t>
            </w:r>
          </w:p>
        </w:tc>
        <w:tc>
          <w:tcPr>
            <w:tcW w:type="dxa" w:w="816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主表是所有任务训练完后的 base／new／all mIoU；图 4 提供逐阶段曲线。没有跨天气、机器人或无边界提示实验。</w:t>
            </w:r>
          </w:p>
        </w:tc>
      </w:tr>
    </w:tbl>
    <w:p>
      <w:pPr>
        <w:spacing w:after="0"/>
      </w:pPr>
      <w:r/>
    </w:p>
    <w:p>
      <w:r>
        <w:t>上述设定依据为 §III-A、III-B、算法 1 及 §V-A（p.3–7）。不能将“没有旧类真值”解释成“当前数据完全无标注”，也不能把多轮阶段训练称为在线更新。</w:t>
      </w:r>
    </w:p>
    <w:p>
      <w:pPr>
        <w:pStyle w:val="Heading1"/>
      </w:pPr>
      <w:r>
        <w:t>2 方法机制及理论证据</w:t>
      </w:r>
    </w:p>
    <w:p>
      <w:pPr>
        <w:pStyle w:val="Heading2"/>
      </w:pPr>
      <w:r>
        <w:t>2 1 两种权重如何进入损失</w:t>
      </w:r>
    </w:p>
    <w:p>
      <w:r>
        <w:t>第一步生成训练目标：新类像素保留当前真值；当前背景区域用上一阶段模型的预测替换。实际仍沿用承载方法自身的伪标签筛选与蒸馏机制，UCB 只在像素分类损失上加权。[式（1），§III-B；§IV，p.4]</w:t>
      </w:r>
    </w:p>
    <w:p>
      <w:r>
        <w:t>第二步估计可靠性：作者以旧模型输出的熵衡量伪标签不确定性，新类真值像素的熵设为 0。式（5）的指数权重为 exp[−λ(E−E₀)/E₀]·1{E&lt;E₀}；熵越小，未归一化权重越高；达到阈值及以上的像素被过滤。因此 UCB 同时包含连续降权和硬筛选。[§IV-A，p.4–5]</w:t>
      </w:r>
    </w:p>
    <w:p>
      <w:r>
        <w:t>第三步估计类别占比：由混合标签在当前 batch 的像素直方图取得 pᵗ，用 bᵗ←N/(N+B)·bᵗ+B/(N+B)·pᵗ 累计更新。它是按已处理样本数加权的累计平均，较早 batch 的影响随 N 增大而衰减；不是固定系数的指数滑动平均。算法 1 在每个已知阶段重新初始化。[式（6），p.5；算法 1，p.6]</w:t>
      </w:r>
    </w:p>
    <w:p>
      <w:r>
        <w:t>第四步计算类别权重：理想上按已见类别均衡，αc=clamp[1/(K·bc), min, max]；稀少类增权，常见类降权，并限幅。VOC 默认限幅依赖新增类数／旧类数的平方根比值；ADE20K 改为 [0.8,1.25]；背景类别权重在实验实现说明中固定为 1。[式（7），p.5；§V-A.3，p.7]</w:t>
      </w:r>
    </w:p>
    <w:p>
      <w:r>
        <w:t>第五步优化：逐像素权重 w=wᵘᵃ·wᶜᵇ，再除以均值，计算 Lclf=mean[(w/mean(w))·Lpixel]。均值归一化旨在保持分类项相对其他损失的尺度，但会使各像素有效权重相互依赖。UCB 不替代 PLOP、SSUL 或 CoinSeg 的主体结构。[式（2）、（3），p.4]</w:t>
      </w:r>
    </w:p>
    <w:p>
      <w:pPr>
        <w:pStyle w:val="Heading2"/>
      </w:pPr>
      <w:r>
        <w:t>2 2 相对既有工作的贡献边界</w:t>
      </w:r>
    </w:p>
    <w:p>
      <w:r>
        <w:t>PLOP 已使用熵相关伪标签筛选；论文相关工作还列举类别阈值、Gaussian／CRF 不确定性方法及已有新类降权策略。UCB 的特征是筛选后进一步按可靠性连续加权，并按每个类别的统计占比调整，而非只按“旧类／新类”两组分配系数。[§II-C，p.3；表 IV、VII]</w:t>
      </w:r>
    </w:p>
    <w:p>
      <w:r>
        <w:t>这一组合较简单，但可与三种既有方法结合，是本文最明确的实证贡献。它没有证明“不确定性首次用于持续分割”，也不能由表 I、II 中不同骨干的成绩推出损失设计全面优于所有已有方法。相关工作未逐篇扩展核验，不作全领域首创性判断。</w:t>
      </w:r>
    </w:p>
    <w:p>
      <w:pPr>
        <w:pStyle w:val="Heading2"/>
      </w:pPr>
      <w:r>
        <w:t>2 3 理论部分能支持什么</w:t>
      </w:r>
    </w:p>
    <w:p>
      <w:r>
        <w:t>§IV-C（p.6）把像素特征简化为一维、同方差的两类高斯分布，通过式（10）、（11）说明错误预测可能使估计均值偏向另一类，并假设正确率随熵指数衰减，从而解释指数权重的动机。图 1 的证据仅是 PLOP／VOC 15-1 的经验关系；它没有证明任意模型、天气条件下熵都已校准。</w:t>
      </w:r>
    </w:p>
    <w:p>
      <w:r>
        <w:t>类别均衡部分以估计分类阈值的集中界作为动机；等类样本数在固定总样本数下有利于该界。把损失重加权进一步解释为“等效增加独立样本数”仍需额外条件，不能由此推出深度分割网络一定抗遗忘。报告将该部分视为简化模型下的解释，不作为天气域增量的理论保证。[式（8）至（12）]</w:t>
      </w:r>
    </w:p>
    <w:p>
      <w:pPr>
        <w:pStyle w:val="Heading1"/>
      </w:pPr>
      <w:r>
        <w:t>3 网络配置与实验分组</w:t>
      </w:r>
    </w:p>
    <w:p>
      <w:r>
        <w:t>分组约定：每个 G 编号对应一个确定的“方法×数据集×增量协议”。以下主结果登记三种承载方法及各自 +UCB 的完整配对，未抄录表 I、II 中所有外部方法排行。两种不同骨干的结果不作受控横向消融。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2891"/>
        <w:gridCol w:w="3515"/>
        <w:gridCol w:w="2778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分割网络与骨干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训练细节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预训练及资源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PLOP；DeepLabV3／ResNet-101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batch 12；每任务 30 epochs；base lr 0.01，incremental lr 0.001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预训练来源正文未报告；继承原框架其余配置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SSUL；DeepLabV3／ResNet-101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batch 16；75 epochs；lr 0.01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预训练来源正文未报告；需额外 saliency map 等承载方法数据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CoinSeg；DeepLabV3／Swin-B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VOC batch 12，ADE batch 6；50 epochs；lr 0.0001</w:t>
            </w:r>
          </w:p>
        </w:tc>
        <w:tc>
          <w:tcPr>
            <w:tcW w:type="dxa" w:w="277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预训练来源正文未报告；官方说明另需 proposal 数据</w:t>
            </w:r>
          </w:p>
        </w:tc>
      </w:tr>
    </w:tbl>
    <w:p>
      <w:pPr>
        <w:spacing w:after="0"/>
      </w:pPr>
      <w:r/>
    </w:p>
    <w:p>
      <w:r>
        <w:t>依据：§V-A.3，p.7，及官方 README 的数据准备部分。论文称其余优化器、学习率等保持承载代码默认，但没有给出全部版本与权重来源；所有实验使用两块 GeForce RTX 3090。不能由此声称本科复现必须使用双卡。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624"/>
        <w:gridCol w:w="1871"/>
        <w:gridCol w:w="737"/>
        <w:gridCol w:w="850"/>
        <w:gridCol w:w="351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7"/>
              </w:rPr>
              <w:t>组号按右列协议依次对应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网络配置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数据集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增量协议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G01, G07, G13, G19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PLOP†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VOC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19-1；15-5；15-1；10-1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G02, G08, G14, G20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PLOP+UCB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VOC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19-1；15-5；15-1；10-1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G03, G09, G15, G21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SSUL†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VOC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19-1；15-5；15-1；10-1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G04, G10, G16, G22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SSUL+UCB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VOC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19-1；15-5；15-1；10-1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G05, G11, G17, G23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CoinSeg†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VOC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19-1；15-5；15-1；10-1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G06, G12, G18, G24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CoinSeg+UCB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VOC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19-1；15-5；15-1；10-1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G25, G31, G37, G43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PLOP†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ADE20K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100-50；100-10；100-5；50-50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G26, G32, G38, G44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PLOP+UCB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ADE20K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100-50；100-10；100-5；50-50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G27, G33, G39, G45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SSUL†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ADE20K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100-50；100-10；100-5；50-50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G28, G34, G40, G46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SSUL+UCB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S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ADE20K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100-50；100-10；100-5；50-50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G29, G35, G41, G47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对照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CoinSeg†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ADE20K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100-50；100-10；100-5；50-50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G30, G36, G42, G48</w:t>
            </w:r>
          </w:p>
        </w:tc>
        <w:tc>
          <w:tcPr>
            <w:tcW w:type="dxa" w:w="6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本文</w:t>
            </w:r>
          </w:p>
        </w:tc>
        <w:tc>
          <w:tcPr>
            <w:tcW w:type="dxa" w:w="187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CoinSeg+UCB</w:t>
            </w:r>
          </w:p>
        </w:tc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ADE20K</w:t>
            </w:r>
          </w:p>
        </w:tc>
        <w:tc>
          <w:tcPr>
            <w:tcW w:type="dxa" w:w="351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7"/>
              </w:rPr>
              <w:t>100-50；100-10；100-5；50-50</w:t>
            </w:r>
          </w:p>
        </w:tc>
      </w:tr>
    </w:tbl>
    <w:p>
      <w:pPr>
        <w:spacing w:after="0"/>
      </w:pPr>
      <w:r/>
    </w:p>
    <w:p>
      <w:r>
        <w:t>G01–24：表 I，p.7；G25–48：表 II，p.8。共同采用 overlapped 设置、相同数据集的类别分阶段训练，主结果在最终阶段评价。† 是作者在本文重跑的结果；* 是原论文报告值。VOC：10,582 张训练图、1,449 张评价图、20 个前景类；ADE20K：20,210 张训练图、2,000 张评价图、150 类。正文称后两者为 test，实际下载划分及类别顺序仍应按承载代码核对。[§V-A.1–2]</w:t>
      </w:r>
    </w:p>
    <w:p>
      <w:r>
        <w:t>附加实验分组：G49–54 为 VOC 5-3 的三种方法及 +UCB；G55–56 为 VOC 15-1、10-1 的 PLOP+NeST；A01–08 为 VOC 15-1 组件消融；O01–06 为 VOC 10-1 错标诊断；U01–20 为 CoinSeg 四协议不确定性对照；L01–20、E01–16、B01–20 分别为 λ、E₀、β 扫描。各表明确列出配置，未交代的附加参数保持“未报告”，不默认它们与主表完全相同。</w:t>
      </w:r>
    </w:p>
    <w:p>
      <w:pPr>
        <w:pStyle w:val="Heading1"/>
      </w:pPr>
      <w:r>
        <w:t>4 实验结果与指标含义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5669"/>
        <w:gridCol w:w="1361"/>
        <w:gridCol w:w="1701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含义与聚合范围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单位及方向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IoU／mIoU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IoUc=TPc/(TPc+FPc+FNc)；mIoU 是指定类别集合的算术平均。本文未另给公式，按通用定义解释。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%；越大越好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§V-A.1，p.7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old／base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最终阶段在初始类别集合 C¹∪{背景} 上的 mIoU。不是“所有此前阶段类别”随时间变化的集合。ADE 背景／ignore 的具体计分规则须由评估脚本核对。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%；越大越好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§V-A.1；表 I、II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new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最终阶段在所有增量阶段新增类 C²:ᵀ 上的 mIoU；不只指最后一批新类。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%；越大越好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最终所有评价类别的 mIoU，按类数汇总，不是 (old+new)/2，也不是各阶段 mIoU 的均值。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%；越大越好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表 I 至 X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Avg.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表 V、VI：同一方法在 15-1 与 10-1 两个协议的最终 all mIoU 算术平均。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%；越大越好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表 V、VI，p.11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图 4 mIoU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VOC 10-1／15-1 各训练阶段的分割表现曲线；正文没有给全部精确数值。报告不从曲线估读精确点值。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%；越大越好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图 4，p.8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Training Cost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表 VII：两块 3090 上 VOC 15-1 所有增量阶段的总训练时间；不是单图推理时延。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h；越小越好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表 VII，p.12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GFLOPS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原文用该记号报告一次模型前向及加权模块的计算量，本文按其数值保留；输入尺寸、统计工具未报告。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计算量；越小越省</w:t>
            </w:r>
          </w:p>
        </w:tc>
        <w:tc>
          <w:tcPr>
            <w:tcW w:type="dxa" w:w="1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§V-D，p.11</w:t>
            </w:r>
          </w:p>
        </w:tc>
      </w:tr>
    </w:tbl>
    <w:p>
      <w:pPr>
        <w:spacing w:after="0"/>
      </w:pPr>
      <w:r/>
    </w:p>
    <w:p>
      <w:r>
        <w:t>old 的最终 mIoU 只是旧知识保留的代理，不能替代“初始性能减去当前性能”的显式遗忘量。正文未报告 BWT、FWT、平均遗忘或跨运行标准差。以下所有主表值均为论文结果，本项目未执行训练。</w:t>
      </w:r>
    </w:p>
    <w:p>
      <w:pPr>
        <w:pStyle w:val="Heading2"/>
      </w:pPr>
      <w:r>
        <w:t>Pascal VOC 主结果</w:t>
      </w:r>
    </w:p>
    <w:p>
      <w:pPr>
        <w:pStyle w:val="Caption"/>
        <w:keepNext/>
      </w:pPr>
      <w:r>
        <w:t>最终阶段 mIoU（%），均为 ↑；表 I，p.7。old、new、all 按本节口径。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191"/>
        <w:gridCol w:w="2891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协议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old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new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all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G01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76.36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29.47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74.12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G02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76.76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32.48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74.65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G03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77.71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29.58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75.42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G04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78.05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39.32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76.20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G05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81.14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37.70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79.07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G06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81.69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60.43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80.68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G07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75.13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47.84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68.63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G08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76.33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51.09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70.32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G09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77.41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50.42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70.97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G10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78.59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51.73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72.20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G11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83.29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67.00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79.41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G12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83.27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70.18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80.15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G13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67.30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13.11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54.40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G14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71.83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15.43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58.40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G15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76.39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39.74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67.66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G16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78.57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43.14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70.13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G17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81.73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55.30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75.44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G18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83.28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57.45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77.14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G19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44.03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15.51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30.45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G20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50.76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20.36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36.28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G21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72.17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45.89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59.66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G22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75.18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45.46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61.03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G23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77.98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61.48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70.13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G24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79.72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65.28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72.84</w:t>
            </w:r>
          </w:p>
        </w:tc>
      </w:tr>
    </w:tbl>
    <w:p>
      <w:pPr>
        <w:spacing w:after="0"/>
      </w:pPr>
      <w:r/>
    </w:p>
    <w:p>
      <w:r>
        <w:t>配对 all 增益（本文计算，单位 pp）：PLOP 依次 +0.53、+1.69、+4.00、+5.83；SSUL +0.78、+1.23、+2.47、+1.37；CoinSeg +1.61、+0.74、+1.70、+2.71。长序列 PLOP 的收益较大，但 SSUL 10-1 的 new 从 45.89 降至 45.46，CoinSeg 15-5 的 old 从 83.29 降至 83.27，不能写成所有分项都提高。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3288"/>
        <w:gridCol w:w="1247"/>
        <w:gridCol w:w="1531"/>
        <w:gridCol w:w="1531"/>
        <w:gridCol w:w="1531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方法与网络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VOC 协议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old ↑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new ↑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all ↑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G55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PLOP+NeST；ResNet-101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72.2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33.7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63.1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G56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PLOP+NeST；ResNet-101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54.2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17.8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36.9</w:t>
            </w:r>
          </w:p>
        </w:tc>
      </w:tr>
    </w:tbl>
    <w:p>
      <w:pPr>
        <w:spacing w:after="0"/>
      </w:pPr>
      <w:r/>
    </w:p>
    <w:p>
      <w:r>
        <w:t>表 I 的 NeST 行无 † 重跑标记，其运行版本与完整配置未报告。在 PLOP 上，UCB 的 15-1 all 为 58.40，低于 NeST 的 63.10；10-1 为 36.28，亦低于 36.90。UCB 的优势在于较小附加开销与跨框架适用性，不能写成“精度始终优于 NeST”。NeST 预调分类器额外 5 epochs 的说法来自 §V-B.1（p.8），未由本项目实测。</w:t>
      </w:r>
    </w:p>
    <w:p>
      <w:pPr>
        <w:pStyle w:val="Heading2"/>
      </w:pPr>
      <w:r>
        <w:t>ADE20K 主结果</w:t>
      </w:r>
    </w:p>
    <w:p>
      <w:pPr>
        <w:pStyle w:val="Caption"/>
        <w:keepNext/>
      </w:pPr>
      <w:r>
        <w:t>最终阶段 mIoU（%），均为 ↑；表 II，p.8。old、new、all 按本节口径。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191"/>
        <w:gridCol w:w="2891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协议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old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new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all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G25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41.66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15.42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32.97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G26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41.95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21.13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35.05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G27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40.25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19.85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33.49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G28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40.70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21.74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34.42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G29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41.60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26.70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36.60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G30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43.09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26.43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37.58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G31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100-10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38.95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14.98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30.93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G32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100-10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38.47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19.47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32.18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G33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100-10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39.50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19.90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33.01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G34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100-10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39.96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20.80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33.62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G35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100-10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42.29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24.77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36.49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G36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100-10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42.94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25.14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37.05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G37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35.88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8.24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26.73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G38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35.54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13.14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28.13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G39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39.17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18.30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32.27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G40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39.77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19.22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32.96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G41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42.48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24.20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36.43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G42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100-5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43.07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23.59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36.63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G43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47.31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20.83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29.80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G44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47.32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24.60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32.27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G45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46.20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19.96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28.82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G46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46.67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23.21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31.13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G47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CoinSeg†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48.49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29.15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35.59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G48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50-50</w:t>
            </w:r>
          </w:p>
        </w:tc>
        <w:tc>
          <w:tcPr>
            <w:tcW w:type="dxa" w:w="28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CoinSeg+UCB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49.32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29.89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36.45</w:t>
            </w:r>
          </w:p>
        </w:tc>
      </w:tr>
    </w:tbl>
    <w:p>
      <w:pPr>
        <w:spacing w:after="0"/>
      </w:pPr>
      <w:r/>
    </w:p>
    <w:p>
      <w:r>
        <w:t>配对 all 增益（本文计算，pp）：PLOP +2.08、+1.25、+1.40、+2.47；SSUL +0.93、+0.61、+0.69、+2.31；CoinSeg +0.98、+0.56、+0.20、+0.86。24 个数据集／协议／承载方法配对的 all 均提高，范围为 +0.20 至 +5.83 pp；没有重复运行方差，不能证明每个小幅增益均具有统计稳定性。</w:t>
      </w:r>
    </w:p>
    <w:p>
      <w:r>
        <w:t>保持与可塑性并不总同时改善：PLOP 的 ADE 100-10 old 从 38.95 降至 38.47，100-5 从 35.88 降至 35.54；CoinSeg 的 ADE 100-50 new 从 26.70 降至 26.43，100-5 从 24.20 降至 23.59。跨骨干比较还混入预训练及网络容量差异。</w:t>
      </w:r>
    </w:p>
    <w:p>
      <w:pPr>
        <w:pStyle w:val="Heading2"/>
      </w:pPr>
      <w:r>
        <w:t>VOC 5 3 及组件消融</w:t>
      </w:r>
    </w:p>
    <w:p>
      <w:pPr>
        <w:pStyle w:val="Caption"/>
        <w:keepNext/>
      </w:pPr>
      <w:r>
        <w:t>表 III，p.11；VOC overlapped 5-3，共 6 阶段（由 5+5×3=20 推得）；final mIoU（%）。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2948"/>
        <w:gridCol w:w="1191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网络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old ↑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new ↑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all ↑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G49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25.70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30.00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28.77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G50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PLOP+UCB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38.82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35.36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36.35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G51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72.44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50.67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56.89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G52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SSUL+UCB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72.54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52.42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58.17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G53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78.15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70.51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72.69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G54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CoinSeg+UCB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78.52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71.64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73.61</w:t>
            </w:r>
          </w:p>
        </w:tc>
      </w:tr>
    </w:tbl>
    <w:p>
      <w:pPr>
        <w:spacing w:after="0"/>
      </w:pPr>
      <w:r/>
    </w:p>
    <w:p>
      <w:r>
        <w:t>相对承载方法的 all 增益分别为 +7.58、+1.28、+0.92 pp。该协议不在前述 24 个配对统计中；与 10-1、15-1 不是同一实验配置。表 III 的原始 PLOP／SSUL／CoinSeg 行未带 †，故不能补写为确定的作者重跑标记。</w:t>
      </w:r>
    </w:p>
    <w:p>
      <w:pPr>
        <w:pStyle w:val="Caption"/>
        <w:keepNext/>
      </w:pPr>
      <w:r>
        <w:t>表 IV，p.11；A01–08 均为 VOC 15-1，网络沿用 P／C；基线已经包含已有新类降权及不确定像素筛选。UA 为不确定性加权，CB 为类别平衡。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1531"/>
        <w:gridCol w:w="2608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承载方法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old ↑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new ↑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all ↑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69.16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6.85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54.32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仅 UA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70.31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15.03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57.15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仅 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71.56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8.87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56.64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UA+CB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71.83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15.43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58.4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82.72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52.09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75.43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仅 UA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83.59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53.51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76.42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仅 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83.19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55.66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76.64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153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</w:t>
            </w:r>
          </w:p>
        </w:tc>
        <w:tc>
          <w:tcPr>
            <w:tcW w:type="dxa" w:w="26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UA+CB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83.28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57.45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77.14</w:t>
            </w:r>
          </w:p>
        </w:tc>
      </w:tr>
    </w:tbl>
    <w:p>
      <w:pPr>
        <w:spacing w:after="0"/>
      </w:pPr>
      <w:r/>
    </w:p>
    <w:p>
      <w:r>
        <w:t>PLOP 的 UA 与 CB 分别提高 all 2.83、2.32 pp，组合提高 4.08 pp；CoinSeg 分别 +0.99、+1.21、+1.71 pp。组合优于单项，支持二者互补；但该消融 baseline 与表 I 的原始 baseline 不是同一数值，不能混用增益。</w:t>
      </w:r>
    </w:p>
    <w:p>
      <w:pPr>
        <w:pStyle w:val="Heading2"/>
      </w:pPr>
      <w:r>
        <w:t>错误伪标签的诊断与不确定性方法比较</w:t>
      </w:r>
    </w:p>
    <w:p>
      <w:pPr>
        <w:pStyle w:val="Caption"/>
        <w:keepNext/>
      </w:pPr>
      <w:r>
        <w:t>表 VIII，p.12；O01–06 为 VOC 10-1。数值对应 PLOP 主表，但该小节未在表头明确标出承载方法，按“数值对应 PLOP，待脚本确认”记录。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3685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诊断配置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old ↑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new ↑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all ↑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O01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44.03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15.51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30.45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O02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GT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50.24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25.66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38.54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O03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GT+CB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57.04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31.01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44.65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O04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DW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20.79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10.47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15.88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O05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DW+CB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55.11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20.82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38.78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O06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UCB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50.76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20.36</w:t>
            </w:r>
          </w:p>
        </w:tc>
        <w:tc>
          <w:tcPr>
            <w:tcW w:type="dxa" w:w="175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36.28</w:t>
            </w:r>
          </w:p>
        </w:tc>
      </w:tr>
    </w:tbl>
    <w:p>
      <w:pPr>
        <w:spacing w:after="0"/>
      </w:pPr>
      <w:r/>
    </w:p>
    <w:p>
      <w:r>
        <w:t>GT 以真实标签替代错误伪标签；DW 利用真值识别并删除错标；两者均需要标准 CSS 训练中不可用的旧类真值，属于机制诊断，不是可部署方法。单独 DW 的 all 比 baseline 低 14.57 pp，而 DW+CB 达 38.78，支持“可靠性选择会改变类别分布，筛选后仍需考虑平衡”。UCB 的 36.28 仍低于 GT+CB 的 44.65，不能把加权解释为已消除错标影响。</w:t>
      </w:r>
    </w:p>
    <w:p>
      <w:pPr>
        <w:pStyle w:val="Caption"/>
        <w:keepNext/>
      </w:pPr>
      <w:r>
        <w:t>表 VII，p.12；U01–20：CoinSeg／DeepLabV3／Swin-B，VOC 四种协议；Ours 的完整组件开关未在该表另列，不与主表合并。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1191"/>
        <w:gridCol w:w="2948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协议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old ↑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new ↑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all ↑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U01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81.14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37.70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79.07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U02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+ST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82.29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19.62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79.31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U03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+URN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81.49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27.42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78.91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U04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+MBS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82.49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21.28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79.57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U05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+Ours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82.82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56.73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81.58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U06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83.29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67.00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79.41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U07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+ST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83.09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67.67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79.42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U08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+URN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83.19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67.98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79.57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U09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+MBS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83.04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67.88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79.43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U10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15-5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+Ours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83.37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68.91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79.92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U11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81.73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55.30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75.44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U12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+ST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82.45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51.64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75.00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U13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+URN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82.68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52.34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75.46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U14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+MBS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82.19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49.90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74.51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U15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+Ours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83.47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54.73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76.63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U16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Baseline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77.98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61.48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70.13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U17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+ST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79.65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60.68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70.61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U18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+URN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79.72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62.86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71.69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U19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+MBS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78.38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63.61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71.34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U20</w:t>
            </w:r>
          </w:p>
        </w:tc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10-1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+Ours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79.90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63.51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72.09</w:t>
            </w:r>
          </w:p>
        </w:tc>
      </w:tr>
    </w:tbl>
    <w:p>
      <w:pPr>
        <w:spacing w:after="0"/>
      </w:pPr>
      <w:r/>
    </w:p>
    <w:p>
      <w:r>
        <w:t>该表的最终 all 中，Ours 在四协议均高于表内其余行；但其他方法并非在所有分项优于 baseline。例如 ST 的 19-1 new 由 37.70 降至 19.62。VOC 15-1 总训练时间依次为 baseline 3.5 h、ST 14.5 h、URN 20 h、MBS 3.5 h、Ours 3.5 h。该粗粒度计时不能证明实际运行时完全没有额外成本。</w:t>
      </w:r>
    </w:p>
    <w:p>
      <w:pPr>
        <w:pStyle w:val="Heading2"/>
      </w:pPr>
      <w:r>
        <w:t>超参数敏感性</w:t>
      </w:r>
    </w:p>
    <w:p>
      <w:r>
        <w:t>L／E 表中的每行组号按参数列从左至右一一对应；各单元格均为相应协议最终 all mIoU（%），不是阶段均值。底部 Avg. 是作者报告的两协议平均，仅作辅助核对，不另视为训练配置。VOC 训练及网络沿用 P／C；其余参数以作者扫描时设置为准，正文未给完整独立运行配置。</w:t>
      </w:r>
    </w:p>
    <w:p>
      <w:pPr>
        <w:pStyle w:val="Caption"/>
        <w:keepNext/>
      </w:pPr>
      <w:r>
        <w:t>表 V，p.11；λ 扫描，固定其余作者设置。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1928"/>
        <w:gridCol w:w="1361"/>
        <w:gridCol w:w="1361"/>
        <w:gridCol w:w="1361"/>
        <w:gridCol w:w="1361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7"/>
              </w:rPr>
              <w:t>组号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方法与协议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0.5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0.75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1.5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L01–05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PLOP 15-1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56.27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56.61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58.40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57.71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58.34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L06–10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PLOP 10-1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37.38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37.52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36.28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36.81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36.23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L11–15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CoinSeg 15-1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76.12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76.49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77.14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76.44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75.35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L16–20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CoinSeg 10-1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72.93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72.84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72.84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73.42</w:t>
            </w:r>
          </w:p>
        </w:tc>
        <w:tc>
          <w:tcPr>
            <w:tcW w:type="dxa" w:w="136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7"/>
              </w:rPr>
              <w:t>72.79</w:t>
            </w:r>
          </w:p>
        </w:tc>
      </w:tr>
    </w:tbl>
    <w:p>
      <w:pPr>
        <w:spacing w:after="0"/>
      </w:pPr>
      <w:r/>
    </w:p>
    <w:p>
      <w:r>
        <w:t>原表 PLOP Avg.：46.83／47.07／47.34／47.26／47.28；CoinSeg Avg.：74.53／74.67／74.99／74.93／74.07。作者选 λ=1。它在两协议平均上较好，不是每个单独协议的最优值。</w:t>
      </w:r>
    </w:p>
    <w:p>
      <w:pPr>
        <w:pStyle w:val="Caption"/>
        <w:keepNext/>
      </w:pPr>
      <w:r>
        <w:t>表 VI，p.11；E₀ 扫描。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2098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方法与协议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0.3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0.5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0.8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E01–04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15-1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56.27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58.27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58.40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56.74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E05–08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10-1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29.67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34.17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36.28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37.81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E09–12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15-1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76.12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77.14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76.58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76.42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E13–16</w:t>
            </w:r>
          </w:p>
        </w:tc>
        <w:tc>
          <w:tcPr>
            <w:tcW w:type="dxa" w:w="209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10-1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72.80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72.84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72.67</w:t>
            </w:r>
          </w:p>
        </w:tc>
        <w:tc>
          <w:tcPr>
            <w:tcW w:type="dxa" w:w="164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72.75</w:t>
            </w:r>
          </w:p>
        </w:tc>
      </w:tr>
    </w:tbl>
    <w:p>
      <w:pPr>
        <w:spacing w:after="0"/>
      </w:pPr>
      <w:r/>
    </w:p>
    <w:p>
      <w:r>
        <w:t>原表 PLOP Avg.：42.97／46.22／47.34／46.99；CoinSeg Avg.：74.46／74.99／74.63／74.59。最终 E₀ 取 PLOP 0.8、SSUL 与 CoinSeg 0.5。表 VI 未提供 SSUL 参数扫描；正文称“三个实验平均”，表内实际仅列 15-1 与 10-1 两项，应按表核对。</w:t>
      </w:r>
    </w:p>
    <w:p>
      <w:pPr>
        <w:pStyle w:val="Caption"/>
        <w:keepNext/>
      </w:pPr>
      <w:r>
        <w:t>表 IX、X，p.12；β 改变类别限幅范围，依次为 PLOP 15-1、CoinSeg 15-1、PLOP 10-1、CoinSeg 10-1。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2324"/>
        <w:gridCol w:w="907"/>
        <w:gridCol w:w="1928"/>
        <w:gridCol w:w="1928"/>
        <w:gridCol w:w="1984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方法与协议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β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old ↑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new ↑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all ↑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15-1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71.27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18.83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58.79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15-1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71.72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17.96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58.92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15-1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71.83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15.43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58.40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15-1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72.37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8.06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57.06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15-1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72.64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5.14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56.57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B06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15-1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82.78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55.13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76.20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B07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15-1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83.25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56.07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76.67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B08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15-1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83.28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57.45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77.14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B09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15-1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82.90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54.54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76.20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B10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15-1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82.71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51.46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75.27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B11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10-1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39.23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12.18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26.35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B12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10-1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46.79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19.12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33.61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B13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10-1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50.76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20.36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36.28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B14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10-1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54.69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19.88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38.11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B15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PLOP 10-1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54.82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16.37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36.52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B16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10-1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80.07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65.15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72.96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B17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10-1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80.35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66.22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73.63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B18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10-1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79.72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65.28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72.84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B19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10-1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78.92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64.07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71.84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B20</w:t>
            </w:r>
          </w:p>
        </w:tc>
        <w:tc>
          <w:tcPr>
            <w:tcW w:type="dxa" w:w="232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CoinSeg 10-1</w:t>
            </w:r>
          </w:p>
        </w:tc>
        <w:tc>
          <w:tcPr>
            <w:tcW w:type="dxa" w:w="90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77.91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63.45</w:t>
            </w:r>
          </w:p>
        </w:tc>
        <w:tc>
          <w:tcPr>
            <w:tcW w:type="dxa" w:w="198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71.03</w:t>
            </w:r>
          </w:p>
        </w:tc>
      </w:tr>
    </w:tbl>
    <w:p>
      <w:pPr>
        <w:spacing w:after="0"/>
      </w:pPr>
      <w:r/>
    </w:p>
    <w:p>
      <w:r>
        <w:t>β 越大，允许的权重范围越宽，并不保证更好。PLOP 15-1 在 β=4 时 old 升到 72.64，但 new 仅 5.14；10-1 的 β=2 则比默认 β=1 的 all 高 1.83 pp。默认 β=1 是折中选择，不能直接移植到所有数据或固定类别流。</w:t>
      </w:r>
    </w:p>
    <w:p>
      <w:pPr>
        <w:pStyle w:val="Heading2"/>
      </w:pPr>
      <w:r>
        <w:t>计算成本与定性证据</w:t>
      </w:r>
    </w:p>
    <w:p>
      <w:r>
        <w:t>§V-D 报告模型前向 94.938 GFLOPS、UCB 额外 0.024 GFLOPS；两者相除约 0.0253%（本文计算）。新增可训练参数为零，推理不增加 UCB 分支；持久统计向量规模为 O(K)。训练仍需旧模型前向、像素权重图等承载成本；不能把 O(K) 统计量等同于全部训练显存。输入尺寸、FLOP 工具、峰值显存及端侧运行时未报告。</w:t>
      </w:r>
    </w:p>
    <w:p>
      <w:r>
        <w:t>图 4 表明若干长序列后期表现更稳定；图 5 至 7 给出 VOC 15-1 的逐阶段可视化；图 8 给出 cow／cat 与 dog、bus 与 train 混淆。可视化支持存在这些失败样本，没有报告失败比例，不足以证明类似混淆普遍消除。[p.8–10]</w:t>
      </w:r>
    </w:p>
    <w:p>
      <w:pPr>
        <w:pStyle w:val="Heading1"/>
      </w:pPr>
      <w:r>
        <w:t>5 结果核查与内部一致性</w:t>
      </w:r>
    </w:p>
    <w:p>
      <w:r>
        <w:t>本节把可复查的书写／数值差异与尚未验证的机制疑问分开。所有原表值均保留，不静默改成推测值；差异本身不等于整篇实验无效。</w:t>
      </w:r>
    </w:p>
    <w:p>
      <w:pPr>
        <w:pStyle w:val="Heading2"/>
      </w:pPr>
      <w:r>
        <w:t>公式与实现差异</w:t>
      </w:r>
    </w:p>
    <w:p>
      <w:r>
        <w:t>式（4）缺少标准熵的负号，并以 1/Nold 归一化；前文还把 ô 称为 logits。若直接按字面作用于概率，E≤0，与“高正熵筛选”解释不一致。官方代码先 softmax，再计算 −Σp log p/log K；PLOP 另加 batch min-max。</w:t>
      </w:r>
    </w:p>
    <w:p>
      <w:r>
        <w:t>依据与处理：式（4），p.5；三套 utils/entropy.py 的 entropy／get_entropy_weight。复现应明确选论文式或代码式，不能假称相同。</w:t>
      </w:r>
    </w:p>
    <w:p>
      <w:pPr>
        <w:pStyle w:val="Heading2"/>
      </w:pPr>
      <w:r>
        <w:t>阈值端点</w:t>
      </w:r>
    </w:p>
    <w:p>
      <w:r>
        <w:t>式（5）使用严格 E&lt;E₀，故 E=E₀ 的实际权重是 0；正文又说此时为 1。1 仅是未乘指示项的指数值／左侧极限。</w:t>
      </w:r>
    </w:p>
    <w:p>
      <w:r>
        <w:t>依据与处理：式（5）及其后解释，p.5；代码对 E≥E₀ 置零。主要是边界书写不严谨。</w:t>
      </w:r>
    </w:p>
    <w:p>
      <w:pPr>
        <w:pStyle w:val="Heading2"/>
      </w:pPr>
      <w:r>
        <w:t>消融基线不同</w:t>
      </w:r>
    </w:p>
    <w:p>
      <w:r>
        <w:t>PLOP 在表 I 的 15-1 为 67.30／13.11／54.40；表 IV 为 69.16／6.85／54.32。CoinSeg 分别为 81.73／55.30／75.44 与 82.72／52.09／75.43。</w:t>
      </w:r>
    </w:p>
    <w:p>
      <w:r>
        <w:t>依据与处理：表 IV 明确另含已有新类降权。应在各表内配对，不把两种 baseline 当作同一运行。</w:t>
      </w:r>
    </w:p>
    <w:p>
      <w:pPr>
        <w:pStyle w:val="Heading2"/>
      </w:pPr>
      <w:r>
        <w:t>表 I 与 VII 的 Ours</w:t>
      </w:r>
    </w:p>
    <w:p>
      <w:r>
        <w:t>CoinSeg 四协议主表 all 为 80.68／80.15／77.14／72.84；表 VII 为 81.58／79.92／76.63／72.09。正文未说明足以区分这两套 Ours 的完整组件配置。</w:t>
      </w:r>
    </w:p>
    <w:p>
      <w:r>
        <w:t>依据与处理：p.7 表 I、p.12 表 VII。可能为不确定性对照的开关不同，但尚无证据确认；复现须查脚本、配置及日志。</w:t>
      </w:r>
    </w:p>
    <w:p>
      <w:pPr>
        <w:pStyle w:val="Heading2"/>
      </w:pPr>
      <w:r>
        <w:t>表 VI 平均值不符</w:t>
      </w:r>
    </w:p>
    <w:p>
      <w:r>
        <w:t>PLOP 在 E₀=1 时，15-1 为 56.74、10-1 为 37.81，两数平均为 47.275，约 47.28；原表 Avg. 为 46.99，差约 0.285 pp，超过两位小数舍入误差。</w:t>
      </w:r>
    </w:p>
    <w:p>
      <w:r>
        <w:t>依据与处理：表 VI，p.11。即使按 47.28 复算，仍略低于 E₀=0.8 的 47.34，故不改变该表内默认选值。保留原表并标明复算。</w:t>
      </w:r>
    </w:p>
    <w:p>
      <w:pPr>
        <w:pStyle w:val="Heading2"/>
      </w:pPr>
      <w:r>
        <w:t>平均口径披露不足</w:t>
      </w:r>
    </w:p>
    <w:p>
      <w:r>
        <w:t>正文 E₀ 扫描段称“三个实验平均”，表 VI 实际只列 15-1 与 10-1 两项。λ 与 E₀ 的两张扫描表也未给出每次运行的全部固定参数及随机种子。</w:t>
      </w:r>
    </w:p>
    <w:p>
      <w:r>
        <w:t>依据与处理：§V-C.2–3，p.11。应引用实际列出的统计范围，不从同一数值或交叉差异推断必然共用某次运行。</w:t>
      </w:r>
    </w:p>
    <w:p>
      <w:pPr>
        <w:pStyle w:val="Heading2"/>
      </w:pPr>
      <w:r>
        <w:t>表 VIII 承载配置缺项</w:t>
      </w:r>
    </w:p>
    <w:p>
      <w:r>
        <w:t>该表 baseline／UCB 与 PLOP 10-1 主表完全相同，但标题未写 PLOP；GT 与 DW 的详细标签替换范围及运行配置也未完整列出。</w:t>
      </w:r>
    </w:p>
    <w:p>
      <w:r>
        <w:t>依据与处理：§V-F，p.11–12。仅标记“数值对应 PLOP”；不把 GT／DW 当标准同监督对照。</w:t>
      </w:r>
    </w:p>
    <w:p>
      <w:r>
        <w:t>all 聚合抽查：VOC 15-1 PLOP+UCB 为 (16×71.83+5×15.43)/21≈58.40；VOC 10-1 CoinSeg+UCB 为 (11×79.72+10×65.28)/21≈72.84。ADE 100-50 PLOP+UCB 若把背景计入初始组，用 (101×41.95+50×21.13)/151≈35.06，可在原始分项舍入误差内对应 all=35.05。</w:t>
      </w:r>
    </w:p>
    <w:p>
      <w:r>
        <w:t>仍有不能由该类数加权解释的行：ADE 100-10 PLOP 基线按 101／50 类加权约为 31.01，原表为 30.93；ADE 100-50 CoinSeg 基线约 36.67，原表 36.60；ADE 50-50 CoinSeg 基线按 51／100 类加权约 35.68，原表 35.59。差异超过约 0.01 pp 的分项舍入范围。可能涉及不同聚合或误植，正文未说明；保留原值，需核对评价脚本与日志，不能直接修成复算值。[表 II，p.8；本文计算]</w:t>
      </w:r>
    </w:p>
    <w:p>
      <w:pPr>
        <w:pStyle w:val="Heading1"/>
      </w:pPr>
      <w:r>
        <w:t>6 局限与可验证的改进问题</w:t>
      </w:r>
    </w:p>
    <w:p>
      <w:pPr>
        <w:pStyle w:val="Heading2"/>
      </w:pPr>
      <w:r>
        <w:t>作者明确承认的局限</w:t>
      </w:r>
    </w:p>
    <w:p>
      <w:r>
        <w:t>类别统计来自伪标签，错标可能导致错误类别权重，并反过来提高错标像素的影响；不确定性权重只能缓解，无法直接纠正分类错误。作者还给出相似类混淆的失败例。[§VI，p.12–13；图 8，p.10]</w:t>
      </w:r>
    </w:p>
    <w:p>
      <w:pPr>
        <w:pStyle w:val="Heading2"/>
      </w:pPr>
      <w:r>
        <w:t>报告提出的机制疑问</w:t>
      </w:r>
    </w:p>
    <w:p>
      <w:r>
        <w:t>第一，低熵是否在天气漂移下仍表示高可靠性？图 1 只覆盖一个承载方法及一个 VOC 协议。若旧模型在雪／雾场景产生高置信错标，UCB 可能给它们较大权重。这是待验证假设；可在有隐藏真值的域流上统计熵分箱准确率、每类伪标签精度与被保留像素占比。</w:t>
      </w:r>
    </w:p>
    <w:p>
      <w:r>
        <w:t>第二，累计占比是否跟得上快速变化的数据流？式（6）在 N 较大时给新 batch 更小权重，而且算法依赖已知阶段重置。对无天气标签流，重置时机不明确。可在相同预算下比较累计平均、固定 EMA 与有限窗口，同时记录不同天气及稀少类的权重漂移。该建议属于项目推论，本文未验证。</w:t>
      </w:r>
    </w:p>
    <w:p>
      <w:r>
        <w:t>第三，稀少类增权会不会放大噪声？占比低既可能是真正稀少，也可能是教师漏检或选择性筛选造成。应分别报告真值频率、伪标签频率、筛选后频率及各类梯度贡献，避免只看最终 all。表 VIII 说明筛选与平衡相互作用，但没有唯一识别所有误差来源。</w:t>
      </w:r>
    </w:p>
    <w:p>
      <w:r>
        <w:t>第四，对照是否足以支持小幅普适增益？表 I、II 包含原文引用值与本文重跑值；未见主结果的多随机种子方差、类别顺序重复或等训练预算全套重跑。可先重复一组长序列及一组小增益协议，控制骨干、预训练、数据与参数搜索次数，再判断收益稳定性。</w:t>
      </w:r>
    </w:p>
    <w:p>
      <w:r>
        <w:t>第五，参数是否经过独立验证集选择？§V-C 给出经验选值，但未完整交代调参与最终评估数据的隔离。应在复现前固定开发划分，避免依据最终测试表现选择 λ、E₀ 或 β。这里提出疑问，不把未披露直接写成已证实的数据泄漏。</w:t>
      </w:r>
    </w:p>
    <w:p>
      <w:pPr>
        <w:pStyle w:val="Heading1"/>
      </w:pPr>
      <w:r>
        <w:t>7 官方代码与复现条件</w:t>
      </w:r>
    </w:p>
    <w:p>
      <w:r>
        <w:t>核查日期：2026-10-21（Asia/Shanghai）。官方仓库已公开，不能继续沿用摘要的“代码将发布”表述。本次固定检查 main 对应提交 651c650c1eb3d226968be56c143e01896500a79d（提交时间 2025-08-02 UTC），仅静态阅读 README、根目录 entropy.py、三套 utils/entropy.py 及 PLOP 训练接入片段；没有安装训练环境、下载数据、运行模型或验证论文分数。</w:t>
      </w:r>
    </w:p>
    <w:p>
      <w:hyperlink r:id="rId11">
        <w:r>
          <w:rPr>
            <w:color w:val="235A81"/>
          </w:rPr>
          <w:t>官方仓库及本次核查提交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4309"/>
        <w:gridCol w:w="4082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核查点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实际观察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复现含义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熵与阈值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三套均先 softmax，采用标准非负归一化熵；PLOP E₀=0.8，另做 min-max；SSUL／CoinSeg E₀=0.5，未做同样 min-max。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三套 E₀ 不处在完全相同的熵标尺；先复核实现再移植参数。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类别比例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代码按出现过的前景类数量与前景像素质量计算权重；CoinSeg 特别处理前两个通道；不完全等于纸面 K 全类公式。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类别编号、背景与 unknown 的含义要按承载方法分别对齐。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归一化范围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get_weight 中 weight/weight.mean() 是当前张量整体均值，通常包含 batch；纸面式（3）以单图 x 描述。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需明确逐图还是逐 batch；ignore 区域是否参与统计也须核对。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ADE 限幅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三份 utils/entropy.py 都保留了 ADE 0.8／1.25 的注释写法，当前默认使用 VOC 类数比值。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仓库默认状态不等于所有论文实验配置；ADE 运行前必须明确开关。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数值防护</w:t>
            </w:r>
          </w:p>
        </w:tc>
        <w:tc>
          <w:tcPr>
            <w:tcW w:type="dxa" w:w="4309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PLOP 的 min-max 分母未加 epsilon；整体权重均值也未作显式非零保护；直方图没有指定固定 min／max。</w:t>
            </w:r>
          </w:p>
        </w:tc>
        <w:tc>
          <w:tcPr>
            <w:tcW w:type="dxa" w:w="408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应验证恒定熵、空有效像素、缺失部分类别等输入，不能凭静态阅读宣称已发生训练故障。</w:t>
            </w:r>
          </w:p>
        </w:tc>
      </w:tr>
    </w:tbl>
    <w:p>
      <w:pPr>
        <w:spacing w:after="0"/>
      </w:pPr>
      <w:r/>
    </w:p>
    <w:p>
      <w:r>
        <w:t>资源与材料清单：论文给出双 3090 参考配置，但未给峰值显存、完整训练总时长或预训练权重版本；README 提供 VOC／ADE 下载脚本入口，SSUL 另需 saliency 数据，CoinSeg 另需 proposal 数据。数据与权重链接可用性、第三方依赖版本尚未逐一下载验证。代码公开使模块复现可行性提高，但不能标为“已复现”。</w:t>
      </w:r>
    </w:p>
    <w:p>
      <w:r>
        <w:t>若后续决定复现，优先顺序为：固定提交与环境；明确旧类／背景／unknown／ignore 编码；对齐一个 VOC 15-1 承载基线及其伪标签流程；逐一加入 UA、CB、UA+CB；保存相同种子、预算、逐阶段与逐类结果。ADE 和天气流适配应作为后续独立实验。此处为建议，不表示本项目已经选定 UCB 为基线。</w:t>
      </w:r>
    </w:p>
    <w:p>
      <w:pPr>
        <w:pStyle w:val="Heading1"/>
      </w:pPr>
      <w:r>
        <w:t>8 与本课题的关系及具体建议</w:t>
      </w:r>
    </w:p>
    <w:p>
      <w:pPr>
        <w:keepNext/>
      </w:pPr>
      <w:r>
        <w:t>当前项目候选方向是天气、光照变化下的道路场景域增量持续分割：考虑有标注数据顺序到达，类别集合保持不变，训练时不提供显式天气标签、任务编号或切换提示。该候选设定仍未成为最终实验协议。对照论文后，最重要的差异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3685"/>
        <w:gridCol w:w="493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sz w:val="18"/>
              </w:rPr>
              <w:t>比较项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UCB 原文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shd w:fill="E7EDF2"/>
          </w:tcPr>
          <w:p>
            <w:pPr>
              <w:keepNext/>
              <w:spacing w:after="20" w:before="20" w:line="252" w:lineRule="auto"/>
            </w:pPr>
            <w:r>
              <w:rPr>
                <w:b/>
                <w:sz w:val="18"/>
              </w:rPr>
              <w:t>当前课题候选及影响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变化来源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新增语义类别，旧／未来类标成背景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天气／光照改变输入分布；类别不扩展，不能照搬背景漂移动机。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可用监督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仅新类真值；旧类依赖教师伪标签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若当前天气图像提供完整类别真值，则没有同样的旧类标签缺失；不宜用教师错误替换真值。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边界与参数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已知阶段；使用新／旧类数量、阶段统计重置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无域边界提示，需另定义教师更新、统计更新及权重范围；Ct=空时不能直接套类增量限幅公式。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评价目标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最终 base／incremental／all 类别 mIoU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需要当前／历史天气域的逐域 mIoU、遗忘与适应速度；原文结果不能直接替代。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  <w:jc w:val="center"/>
            </w:pPr>
            <w:r>
              <w:rPr>
                <w:b w:val="0"/>
                <w:sz w:val="18"/>
              </w:rPr>
              <w:t>部署证据</w:t>
            </w:r>
          </w:p>
        </w:tc>
        <w:tc>
          <w:tcPr>
            <w:tcW w:type="dxa" w:w="3685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训练侧加权，推理结构不增加</w:t>
            </w:r>
          </w:p>
        </w:tc>
        <w:tc>
          <w:tcPr>
            <w:tcW w:type="dxa" w:w="493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after="20" w:before="20" w:line="252" w:lineRule="auto"/>
            </w:pPr>
            <w:r>
              <w:rPr>
                <w:b w:val="0"/>
                <w:sz w:val="18"/>
              </w:rPr>
              <w:t>提供低附加推理开销线索；未验证机器人吞吐、显存、能耗或在线更新稳定性。</w:t>
            </w:r>
          </w:p>
        </w:tc>
      </w:tr>
    </w:tbl>
    <w:p>
      <w:pPr>
        <w:spacing w:after="0"/>
      </w:pPr>
      <w:r/>
    </w:p>
    <w:p>
      <w:pPr>
        <w:pStyle w:val="Heading2"/>
      </w:pPr>
      <w:r>
        <w:t>建议一 先检验可靠性度量再设计权重</w:t>
      </w:r>
    </w:p>
    <w:p>
      <w:r>
        <w:t>若未来采用伪标签或教师蒸馏，可先用隐藏真值检查不同天气下熵与正确率的关系，并按类统计。只有在可靠性关系成立时，再比较统一权重、仅筛选、连续 UA、仅 CB、UA+CB；所有方法用相同数据流与计算预算。这是由本文机制推得的验证方向，不是作者已经给出的天气结论。</w:t>
      </w:r>
    </w:p>
    <w:p>
      <w:pPr>
        <w:pStyle w:val="Heading2"/>
      </w:pPr>
      <w:r>
        <w:t>建议二 完整监督时从蒸馏或类别均衡切入</w:t>
      </w:r>
    </w:p>
    <w:p>
      <w:r>
        <w:t>有完整真值时，保留真值监督；若考虑教师可靠性加权，更合理的候选作用点是蒸馏项，或直接对真值估计的类别频率作限幅加权。二者都改变了 UCB 的原始用途，应作为新适配方案验证，而不能声称复现原文即可解决本课题。</w:t>
      </w:r>
    </w:p>
    <w:p>
      <w:pPr>
        <w:pStyle w:val="Heading2"/>
      </w:pPr>
      <w:r>
        <w:t>建议三 用旧域保持和适应速度检验迁移价值</w:t>
      </w:r>
    </w:p>
    <w:p>
      <w:r>
        <w:t>在本项目已有 SimCS、Kalb 天气域遗忘等报告所区分的监督、边界、缓存及骨干条件下，先建立顺序微调／回放等同协议参照，再考虑加入 UCB 风格模块。至少报告每阶段每个天气域 mIoU、从该域历史最好值计算的遗忘、更新耗时、峰值显存与历史数据预算。当前不因这一篇阅读直接改变研究方向或确定基线。</w:t>
      </w:r>
    </w:p>
    <w:p>
      <w:r>
        <w:t>结论：UCB 为“可靠性选择与类别平衡需要联动”提供了跨承载方法证据与有价值的诊断实验；对固定类别、无边界提示的天气域流，其收益仍须独立验证。最终阅读等级为 B。</w:t>
      </w:r>
    </w:p>
    <w:p>
      <w:pPr>
        <w:pStyle w:val="Heading1"/>
      </w:pPr>
      <w:r>
        <w:t>9 来源与复核记录</w:t>
      </w:r>
    </w:p>
    <w:p>
      <w:r>
        <w:t>主要论文来源为本地 UCB.pdf；SHA-256：ec31ba837f991eae6551306fd2aff597fbdf4232eb83228b78bd6a506eb5d7a7。本报告各表注明原论文页码及表号，关键表已对照页面图像读取；图 1 至 8、式（1）至（12）均按正文检查。未另取补充材料，也未逐条核验全部 68 条参考文献。</w:t>
      </w:r>
    </w:p>
    <w:p>
      <w:hyperlink r:id="rId12">
        <w:r>
          <w:rPr>
            <w:color w:val="235A81"/>
          </w:rPr>
          <w:t>论文 DOI</w:t>
        </w:r>
      </w:hyperlink>
    </w:p>
    <w:p>
      <w:hyperlink r:id="rId13">
        <w:r>
          <w:rPr>
            <w:color w:val="235A81"/>
          </w:rPr>
          <w:t>作者提供的官方实现与说明</w:t>
        </w:r>
      </w:hyperlink>
    </w:p>
    <w:p>
      <w:hyperlink r:id="rId14">
        <w:r>
          <w:rPr>
            <w:color w:val="235A81"/>
          </w:rPr>
          <w:t>固定提交的 PLOP 加权实现</w:t>
        </w:r>
      </w:hyperlink>
    </w:p>
    <w:p>
      <w:hyperlink r:id="rId15">
        <w:r>
          <w:rPr>
            <w:color w:val="235A81"/>
          </w:rPr>
          <w:t>固定提交的 SSUL 加权实现</w:t>
        </w:r>
      </w:hyperlink>
    </w:p>
    <w:p>
      <w:hyperlink r:id="rId16">
        <w:r>
          <w:rPr>
            <w:color w:val="235A81"/>
          </w:rPr>
          <w:t>固定提交的 CoinSeg 加权实现</w:t>
        </w:r>
      </w:hyperlink>
    </w:p>
    <w:p>
      <w:hyperlink r:id="rId17">
        <w:r>
          <w:rPr>
            <w:color w:val="235A81"/>
          </w:rPr>
          <w:t>项目研究状态</w:t>
        </w:r>
      </w:hyperlink>
    </w:p>
    <w:p>
      <w:hyperlink r:id="rId18">
        <w:r>
          <w:rPr>
            <w:color w:val="235A81"/>
          </w:rPr>
          <w:t>本项目文献索引</w:t>
        </w:r>
      </w:hyperlink>
    </w:p>
    <w:p>
      <w:r>
        <w:t>书目信息由论文首页及 Crossref DOI 登记核对；IEEE 在线页面访问受限，未声称核验其在线补充材料。官方仓库内容为本次静态代码证据。报告中的配对增益、聚合抽查及成本比例为根据原表进行的计算；建议与疑问均不等同于本项目实验结论。</w:t>
      </w:r>
    </w:p>
    <w:sectPr w:rsidR="00FC693F" w:rsidRPr="0006063C" w:rsidSect="00034616">
      <w:footerReference w:type="default" r:id="rId9"/>
      <w:pgSz w:w="11906" w:h="16838"/>
      <w:pgMar w:top="935" w:right="1020" w:bottom="935" w:left="1020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LIT-014  UCB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71" w:lineRule="auto"/>
      <w:outlineLvl w:val="0"/>
    </w:pPr>
    <w:rPr>
      <w:rFonts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1" w:lineRule="auto"/>
      <w:outlineLvl w:val="1"/>
    </w:pPr>
    <w:rPr>
      <w:rFonts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="Calibri" w:hAnsi="Calibr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="Calibri" w:hAnsi="Calibri" w:eastAsia="Microsoft YaHei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1" w:lineRule="auto" w:after="120"/>
    </w:pPr>
    <w:rPr>
      <w:rFonts w:ascii="Calibri" w:hAnsi="Calibr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../&#24072;&#22992;&#25512;&#33616;&#25991;&#29486;/UCB.pdf" TargetMode="External"/><Relationship Id="rId11" Type="http://schemas.openxmlformats.org/officeDocument/2006/relationships/hyperlink" Target="https://github.com/JACK-Chen-2019/UCB/tree/651c650c1eb3d226968be56c143e01896500a79d" TargetMode="External"/><Relationship Id="rId12" Type="http://schemas.openxmlformats.org/officeDocument/2006/relationships/hyperlink" Target="https://doi.org/10.1109/TIP.2025.3576477" TargetMode="External"/><Relationship Id="rId13" Type="http://schemas.openxmlformats.org/officeDocument/2006/relationships/hyperlink" Target="https://github.com/JACK-Chen-2019/UCB" TargetMode="External"/><Relationship Id="rId14" Type="http://schemas.openxmlformats.org/officeDocument/2006/relationships/hyperlink" Target="https://github.com/JACK-Chen-2019/UCB/blob/651c650c1eb3d226968be56c143e01896500a79d/UCB_PLOP/utils/entropy.py" TargetMode="External"/><Relationship Id="rId15" Type="http://schemas.openxmlformats.org/officeDocument/2006/relationships/hyperlink" Target="https://github.com/JACK-Chen-2019/UCB/blob/651c650c1eb3d226968be56c143e01896500a79d/UCB-SSUL/utils/entropy.py" TargetMode="External"/><Relationship Id="rId16" Type="http://schemas.openxmlformats.org/officeDocument/2006/relationships/hyperlink" Target="https://github.com/JACK-Chen-2019/UCB/blob/651c650c1eb3d226968be56c143e01896500a79d/UCB-CoinSeg/utils/entropy.py" TargetMode="External"/><Relationship Id="rId17" Type="http://schemas.openxmlformats.org/officeDocument/2006/relationships/hyperlink" Target="../../00_management/PROJECT_STATE.md" TargetMode="External"/><Relationship Id="rId18" Type="http://schemas.openxmlformats.org/officeDocument/2006/relationships/hyperlink" Target="../LITERATURE_INDEX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UCB 持续语义分割文献阅读报告</dc:title>
  <dc:subject>LIT-014 阅读价值 任务边界 方法与实验核查</dc:subject>
  <dc:creator>本科毕业论文研究项目</dc:creator>
  <cp:keywords>UCB; continual semantic segmentation; uncertainty; class balance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