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EW DETR 文献阅读报告</w:t>
      </w:r>
    </w:p>
    <w:p>
      <w:pPr>
        <w:pStyle w:val="Subtitle"/>
      </w:pPr>
      <w:r>
        <w:t>LIT-015  |  阅读与核验日期 2026-10-21  |  本地 arXiv v2 含补充材料</w:t>
      </w:r>
    </w:p>
    <w:p>
      <w:pPr>
        <w:pStyle w:val="Heading1"/>
      </w:pPr>
      <w:r>
        <w:t>0 阅读价值判断</w:t>
      </w:r>
    </w:p>
    <w:p>
      <w:r>
        <w:t>一句话结论：值得重点学习双 LoRA 的稳定性与可塑性权衡，但不直接作为本课题基线；初评 B 级，最终 B 级，实际采用重点精读设定、方法及全部定量实验，并阅读本地附录 A 至 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1417"/>
        <w:gridCol w:w="6406"/>
        <w:gridCol w:w="209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判断维度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结论与理由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与研究方向的关系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天气域变化、无旧图像回放与持续更新有关；任务是目标检测，且类别随任务扩展。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§3.1；Table S1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核心问题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在类别与域同时变化、只标注当前新类且无旧样本时，保持旧类、学习新类并识别未知目标。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§3.1；§4.2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真正创新点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任务组合 EWOD；双低秩分支与数据相关合并；查询范数物体性与未知分数混合；FOGS 组合评价。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Fig.3；式(2)–(14)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突破还是增量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对 DuET 的类域双增量、既有 LoRA 与 OWOD 思路作组合和扩展；实验优势受模型与指标口径限制，不能认定全面突破。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§2；Tables 1–4；附录 F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方法借鉴价值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冻结共享参数、聚合旧适配器和当前适配器有参考价值；须同时观察新域适应，避免只追求旧知识保持。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4；Fig.S5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Baseline 适配性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不宜直接使用。检测框、新类监督、开放集、明确任务边界均不同于固定类别天气域增量分割。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§3.1、3.3；Table S1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复现价值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建议先复现适配器子机制；完整方法依赖检测工程与未明确的实现细节，官方代码本次未定位。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附录 A、F；式(3)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实验可信度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有七种对照、两类数据系列、模块消融和顺序检验；缺少独立种子误差，RF 与 D-DETR 预训练不同。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Tables 1–4、S4–S6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明显问题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 公式范围、FSS 定义、两处 FOGS 算术、总体平均和顺序标准差存在不一致；GSS 较低。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式(3)、(12)、(25)；§5；§G.2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对课题直接帮助</w:t>
            </w:r>
          </w:p>
        </w:tc>
        <w:tc>
          <w:tcPr>
            <w:tcW w:type="dxa" w:w="640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主要提供参数高效更新与拆分评价的设计启发；不构成本课题无边界多天气持续分割的有效性证据。</w:t>
            </w:r>
          </w:p>
        </w:tc>
        <w:tc>
          <w:tcPr>
            <w:tcW w:type="dxa" w:w="20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4；附录 H；项目状态</w:t>
            </w:r>
          </w:p>
        </w:tc>
      </w:tr>
    </w:tbl>
    <w:p>
      <w:pPr>
        <w:spacing w:after="0"/>
      </w:pPr>
    </w:p>
    <w:p>
      <w:r>
        <w:t>初评依据是天气、旧知识保持与参数高效更新的关联。核查后保留 B 级：方法仍有价值，但任务不匹配和可复算性疑点限制了直接复现优先级。主要用途：方法学习、实验设计；次要用途：文献综述、寻找待验证的改进切口。当前不列为已选 Baseline。</w:t>
      </w:r>
    </w:p>
    <w:p>
      <w:pPr>
        <w:pStyle w:val="Heading1"/>
        <w:pageBreakBefore/>
      </w:pPr>
      <w:r>
        <w:t>0 阅读路线与文献信息</w:t>
      </w:r>
    </w:p>
    <w:p>
      <w:pPr>
        <w:pStyle w:val="Heading2"/>
      </w:pPr>
      <w:r>
        <w:t>只有 30 分钟</w:t>
      </w:r>
    </w:p>
    <w:p>
      <w:r>
        <w:t>先用 5 分钟读 §3.1、§4.2 和 Table S1，确认类域同时增量、当前新类标注、无回放和混合域测试；再用 10 分钟看 Fig.3、§3.3 式(2)–(6)及 Table 4，重点追踪旧类 mAP 上升与新类 mAP 下降；用 10 分钟看 Tables 2–3 的天气结果及式(12)–(14)，区分 FSS、OSS、GSS；最后 5 分钟核对附录 H 和本报告疑点，避免只记住 FOGS 增益。</w:t>
      </w:r>
    </w:p>
    <w:p>
      <w:pPr>
        <w:pStyle w:val="Heading2"/>
      </w:pPr>
      <w:r>
        <w:t>有 2 小时</w:t>
      </w:r>
    </w:p>
    <w:p>
      <w:r>
        <w:t>0–20 分钟：摘要、§1–3.1、Tables S1–S3，写出每阶段训练类和测试类；20–45 分钟：Fig.3、§3.3–3.5、附录 A–C，检查合并权重、范数证据及无未知正标签时的梯度；45–75 分钟：Tables 1–4、S6，分离模型、预训练和组件贡献；75–100 分钟：附录 D、F、G 与 Fig.S5，复算 FOGS、检查 FSS 定义及计算成本；100–120 分钟：Table S5、附录 H，列出向固定类别、无边界分割迁移所缺的证据。</w:t>
      </w:r>
    </w:p>
    <w:p>
      <w:pPr>
        <w:pStyle w:val="Heading2"/>
      </w:pPr>
      <w:r>
        <w:t>基本信息与版本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1587"/>
        <w:gridCol w:w="8334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核对结果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标题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EW-DETR: Evolving World Object Detection via Incremental Low-Rank DEtection TRansformer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作者与单位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Munish Monga、Vishal Chudasama、Pankaj Wasnik、C. V. Jawahar；Sony Research India、IIIT Hyderabad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发表状态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CVPR 2026，正式会议页收录，pp.11324–11333；arXiv 页明确 Accepted at CVPR 2026。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本地版本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18 页；arXiv:2602.20985v2，2026-04-02；正文 pp.1–8，参考文献 pp.9–10，补充材料 pp.11–18。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引用标识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arXiv DOI：10.48550/arXiv.2602.20985。此 DOI 不作为 IEEE 正式会议 DOI 使用。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影响力边界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CVPR 为本领域重要会议；本次未核验被引量、引用链采用情况或单篇影响力，不以会场或 JIF 代替质量判断。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代码状态</w:t>
            </w:r>
          </w:p>
        </w:tc>
        <w:tc>
          <w:tcPr>
            <w:tcW w:type="dxa" w:w="83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本地 PDF 未给出代码链接；核查 arXiv、CVF 入口及标题加 GitHub 的检索，未定位可确认的官方训练仓库。不据此断言代码未公开。</w:t>
            </w:r>
          </w:p>
        </w:tc>
      </w:tr>
    </w:tbl>
    <w:p>
      <w:pPr>
        <w:spacing w:after="0"/>
      </w:pPr>
    </w:p>
    <w:p>
      <w:r>
        <w:t>本报告正文页码均指本地 PDF 的 1 起始页码，附录沿用本地式号；正式发表版本可能重新编号。本次分析不替代训练复现，也不登记用户本人已读。原文结构检查通过，关键公式、表格及图 S5 已回看页面图像。</w:t>
      </w:r>
    </w:p>
    <w:p>
      <w:pPr>
        <w:pStyle w:val="Heading1"/>
        <w:pageBreakBefore/>
      </w:pPr>
      <w:r>
        <w:t>1 研究问题与设定边界</w:t>
      </w:r>
    </w:p>
    <w:p>
      <w:r>
        <w:t>论文提出 Evolving World Object Detection（EWOD）：按已知任务顺序引入新类别和新域，训练时只给当前新类框标注，测试时需在已见域上识别累计已知类与未知类。关键难点是新类学习、旧类保持、跨域迁移和开放集识别同时发生。[本地 pp.3、6、12–14]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1247"/>
        <w:gridCol w:w="4819"/>
        <w:gridCol w:w="3855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论文实际设定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依据与本课题边界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任务与输出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目标检测；边界框、已知类别及一个 unknown 类。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§3.1；不是像素级语义分割。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在线性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阶段数据可多遍访问；每任务训练 100 epochs，batch size 16。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附录 F；不是单遍在线样本流。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持续序列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Pascal 两任务；天气两任务或三任务；任务间新类集合不交。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Tables 1–3、S1；不是长期连续视频更新。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增量类型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类增量与域增量同时存在，外加开放集检测。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§3.1；不是固定类别纯 DIL。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监督信息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只标当前任务新类的框；当前图像中的旧类、未来类及永久未知类不标。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§3.1、4.2；不同于各天气全类密集标注。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训练边界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任务编号、任务结束和数据规模可用；在任务切换时合并并重置 LoRA。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§3.3 式(3)–(6)；未实现自动检测天气切换。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测试边界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一个模型识别所有累计已知类及 unknown；未报告用真实任务或域标签路由适配器。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§3.1、4.2；无测试标签路由不等于训练无边界。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数据访问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不存旧图像或旧样本，不进行 exemplar replay；仍保存聚合参数及累计样本计数。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§3.3；exemplar-free 不等于零记忆或零历史信息。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未知池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天气固定扣留 truck；Pascal 固定扣留 dog、person；未来类尚未引入时也为未知。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§4.2；Tables S1–S3。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测试范围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每阶段在已见域并集上，测试累计已知类及未知；包含未训练过的类与域组合。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§4.2、附录 D；并非只测试当前域。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泛化边界</w:t>
            </w:r>
          </w:p>
        </w:tc>
        <w:tc>
          <w:tcPr>
            <w:tcW w:type="dxa" w:w="481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新类在旧域上的检测构成跨域迁移；已训练域并集指标含当前域。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式(14)、(27)；不同于从未见过天气的单独 DG 测试。</w:t>
            </w:r>
          </w:p>
        </w:tc>
      </w:tr>
    </w:tbl>
    <w:p>
      <w:pPr>
        <w:spacing w:after="0"/>
      </w:pPr>
    </w:p>
    <w:p>
      <w:pPr>
        <w:pStyle w:val="Heading2"/>
      </w:pPr>
      <w:r>
        <w:t>一个可复查的天气序列</w:t>
      </w:r>
    </w:p>
    <w:p>
      <w:r>
        <w:t>Table S1 的三阶段是 Daytime Sunny 的 bike、bus → Night Sunny 的 car、motor → Night Rainy 的 person、rider。truck 始终不参与训练。第二阶段图像中的 bike、bus 不给旧类标签，评估却覆盖两域的四个已知类及未知；第三阶段评估覆盖三域六个已知类及未知。Table S1 以红色删除线排除了 truck，不应把它当作第三阶段新已知类。</w:t>
      </w:r>
    </w:p>
    <w:p>
      <w:pPr>
        <w:pStyle w:val="Heading1"/>
        <w:pageBreakBefore/>
      </w:pPr>
      <w:r>
        <w:t>2 方法机制与网络基线</w:t>
      </w:r>
    </w:p>
    <w:p>
      <w:pPr>
        <w:pStyle w:val="Heading2"/>
      </w:pPr>
      <w:r>
        <w:t>2.1 双 LoRA 保存历史并限制当前更新</w:t>
      </w:r>
    </w:p>
    <w:p>
      <w:r>
        <w:t>底座是 DETR 检测器；论文在 transformer 编码器、解码器的线性层接入两条低秩分支。聚合分支保存旧任务压缩更新，当前分支学习本阶段变化。底座骨干、编码器和解码器以及旧聚合分支冻结；当前 LoRA、检测头和开放集参数接收梯度。LoRA 是参数更新方式，RF-DETR 与 Deformable DETR 是网络基线，二者不能混称为对照算法。[Fig.3；§3.2–3.3；附录 F]</w:t>
      </w:r>
    </w:p>
    <w:p>
      <w:pPr>
        <w:jc w:val="center"/>
      </w:pPr>
      <m:oMath>
        <m:r>
          <m:t>ΔW_task = B_task A_task，  ΔW_agg = B_agg A_agg   [式 2]</m:t>
        </m:r>
      </m:oMath>
    </w:p>
    <w:p>
      <w:r>
        <w:t>任务结束后，将旧聚合更新与当前更新按 β 混合，再作截断奇异值分解（SVD）投影回秩 r。保留 UᵣΣᵣVᵣᵀ，以 B_agg=UᵣΣᵣ、A_agg=Vᵣᵀ 保存；当前更新重置后进入下一任务。默认 r=16。它限制适配器随任务数增长，但检测类别头随已知类别扩展，不能称总模型永久定长。[式(4)–(6)；附录 F]</w:t>
      </w:r>
    </w:p>
    <w:p>
      <w:pPr>
        <w:jc w:val="center"/>
      </w:pPr>
      <m:oMath>
        <m:r>
          <m:t>ΔW_merged = (1 − β) ΔW_agg + β ΔW_task   [式 4]</m:t>
        </m:r>
      </m:oMath>
    </w:p>
    <w:p>
      <w:pPr>
        <w:pStyle w:val="Heading2"/>
      </w:pPr>
      <w:r>
        <w:t>2.2 数据相关合并权重存在实现缺口</w:t>
      </w:r>
    </w:p>
    <w:p>
      <w:r>
        <w:t>作者希望小样本任务有更大合并权重，并称 β 在 βmin 与 βmax 之间。正文给出 t=1 时 β=1；其余任务使用下式，默认上下界为 0.2 与 0.8。[式(3)；附录 B、F]</w:t>
      </w:r>
    </w:p>
    <w:p>
      <w:pPr>
        <w:jc w:val="center"/>
      </w:pPr>
      <m:oMath>
        <m:r>
          <m:t>β = βmax − (βmax − βmin) N_current / N_previous   [式 3]</m:t>
        </m:r>
      </m:oMath>
    </w:p>
    <w:p>
      <w:r>
        <w:t>其中 N_previous 按正文定义是此前累计样本数。Table S2 给出 T1=4709、T2=18459 张图像，直接代入得 β2≈−1.552，既不在 [0.2,0.8] 内，也不同于附录 B 所称 0.317。原式未显示 clip；将分母改成包含当前任务的总数只是可能的修正，不能当成作者实现。复现前必须确认分母、计数单位和裁剪方式。</w:t>
      </w:r>
    </w:p>
    <w:p>
      <w:pPr>
        <w:pStyle w:val="Heading2"/>
      </w:pPr>
      <w:r>
        <w:t>2.3 为什么它与本课题有关</w:t>
      </w:r>
    </w:p>
    <w:p>
      <w:r>
        <w:t>可迁移的思想是：把旧知识保存在冻结的共享结构中，将当前更新限制在小子空间，并通过合并控制稳定性与可塑性。对固定类别天气分割，仍须重新验证浅层天气表征、归一化统计以及逐像素分类头能否适应；冻结参数本身并不保证旧域输出不变，当前适配器和头的更新仍会影响输出。[本项目推论，依据 Table 4 的权衡]</w:t>
      </w:r>
    </w:p>
    <w:p>
      <w:pPr>
        <w:pStyle w:val="Heading1"/>
        <w:pageBreakBefore/>
      </w:pPr>
      <w:r>
        <w:t>2 方法机制与开放集校准</w:t>
      </w:r>
    </w:p>
    <w:p>
      <w:pPr>
        <w:pStyle w:val="Heading2"/>
      </w:pPr>
      <w:r>
        <w:t>2.4 Query Norm Objectness Adapter</w:t>
      </w:r>
    </w:p>
    <w:p>
      <w:r>
        <w:t>设 h 为最后层解码器查询。先对 h 作 LayerNorm 和 ℓ2 归一化得到方向向量，再以可学习系数 αmix 混合原查询和方向向量，输入分类头；原查询的范数输入物体性 MLP，并用温度 τ 缩放。[§3.4 式(7)–(10)]</w:t>
      </w:r>
    </w:p>
    <w:p>
      <w:pPr>
        <w:jc w:val="center"/>
      </w:pPr>
      <m:oMath>
        <m:r>
          <m:t>h_norm = LN(h) / ‖LN(h)‖₂； h_cls = (1 − αmix) h + αmix h_norm</m:t>
        </m:r>
      </m:oMath>
    </w:p>
    <w:p>
      <w:pPr>
        <w:jc w:val="center"/>
      </w:pPr>
      <m:oMath>
        <m:r>
          <m:t>z_obj = f_obj(‖h‖₂) / (τ + ε)</m:t>
        </m:r>
      </m:oMath>
    </w:p>
    <w:p>
      <w:r>
        <w:t>直观上，方向帮助分类，幅度提供类无关的“像目标”线索。作者不增加辅助损失，利用原检测损失联合优化；这不等于没有监督，当前已知类仍有框和类别标注。附录 C 的范数 ROC-AUC 只有 0.585、0.587；均值虽稳定分离，却只能支持弱物体性信号，不能单独证明域不变表征。</w:t>
      </w:r>
    </w:p>
    <w:p>
      <w:pPr>
        <w:pStyle w:val="Heading2"/>
      </w:pPr>
      <w:r>
        <w:t>2.5 Entropy Aware Unknown Mixing</w:t>
      </w:r>
    </w:p>
    <w:p>
      <w:r>
        <w:t>附录 A 的实际计算不是显式的 Shannon 熵。它使用最大已知类 sigmoid 置信度的缺口 g，与物体性相乘，得到 objectness 分支未知概率；再与 unknown logit 分支的概率混合，回转为 logit 替换原未知 logit。[式(15)–(23)]</w:t>
      </w:r>
    </w:p>
    <w:p>
      <w:pPr>
        <w:jc w:val="center"/>
      </w:pPr>
      <m:oMath>
        <m:r>
          <m:t>g = (1 − max_c σ(z_known,c))^γ， γ = softplus(θγ)</m:t>
        </m:r>
      </m:oMath>
    </w:p>
    <w:p>
      <w:pPr>
        <w:jc w:val="center"/>
      </w:pPr>
      <m:oMath>
        <m:r>
          <m:t>p_obj,unk = σ(z_obj) g； p_cls,unk = σ(z_unk + b_obj)</m:t>
        </m:r>
      </m:oMath>
    </w:p>
    <w:p>
      <w:pPr>
        <w:jc w:val="center"/>
      </w:pPr>
      <m:oMath>
        <m:r>
          <m:t>p_final,unk = α p_cls,unk + (1 − α) p_obj,unk   [式 21]</m:t>
        </m:r>
      </m:oMath>
    </w:p>
    <w:p>
      <w:r>
        <w:t>这里的 α 与上节 αmix 是不同参数。正文还说按未知证据软抑制已知类 logits，但附录只列最终已知 logits 的符号，并提到 θλ，未给出抑制方程或 λ 的作用方式。只靠论文不能唯一复写完整计算图。</w:t>
      </w:r>
    </w:p>
    <w:p>
      <w:pPr>
        <w:pStyle w:val="Heading2"/>
      </w:pPr>
      <w:r>
        <w:t>2.6 与既有方法的区别及证据强度</w:t>
      </w:r>
    </w:p>
    <w:p>
      <w:r>
        <w:t>§2 将 DuET 作为类域双增量、无样本任务算术前驱，将 OW-DETR、PROB、CAT、ORTH、OWOBJ 等作为开放世界检测比较对象。EW-DETR 增加未知检测与低秩历史聚合，属于这些方向的组合扩展。DuET 官方 arXiv 摘要可核对其双增量与 exemplar-free 定位；其他对照在本报告中按本文的重实现解释，未逐一复现原论文，不把作者的“首次”声明提升为已完成全面新颖性检索的结论。</w:t>
      </w:r>
    </w:p>
    <w:p>
      <w:pPr>
        <w:pStyle w:val="Heading1"/>
        <w:pageBreakBefore/>
      </w:pPr>
      <w:r>
        <w:t>2 数据集与域类别协议</w:t>
      </w:r>
    </w:p>
    <w:p>
      <w:r>
        <w:t>下表的 P01–P09 是九个不同实验协议。每项训练只访问当前域的当前新类标签，每任务 100 epochs；评估在每阶段结束后进行，覆盖此前已见域并集。P01–P03 来自 Pascal Series，P04–P09 来自 Diverse Weather。[本地 p.7 Tables 1–3；pp.13–15]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794"/>
        <w:gridCol w:w="5669"/>
        <w:gridCol w:w="1361"/>
        <w:gridCol w:w="850"/>
        <w:gridCol w:w="1247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训练域与当前新类序列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类划分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任务数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VOC[1:10] → Clipart[11:18]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10+8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VOC[1:10] → Watercolor[11:14]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10+4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VOC[1:10] → Comic[11:14]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10+4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DS[1:2] → NS[3:4] → NR[5:6]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2+2+2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DS[1:2] → DF[3:4] → DR[5:6]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2+2+2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DS[1:3] → NS[4:6]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3+3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P07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DS[1:3] → NR[4:6]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3+3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P08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DS[1:3] → DF[4:6]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3+3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P09</w:t>
            </w:r>
          </w:p>
        </w:tc>
        <w:tc>
          <w:tcPr>
            <w:tcW w:type="dxa" w:w="56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DS[1:3] → DR[4:6]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3+3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3</w:t>
            </w:r>
          </w:p>
        </w:tc>
      </w:tr>
    </w:tbl>
    <w:p>
      <w:pPr>
        <w:spacing w:after="0"/>
      </w:pPr>
    </w:p>
    <w:p>
      <w:r>
        <w:t>DS=Daytime Sunny；NS=Night Sunny；NR=Night Rainy；DF=Daytime Foggy；DR=Dusk Rainy。天气类 ID 为 1 bike、2 bus、3 car、4 motor、5 person、6 rider；truck 为永久未知。数据源是 BDD-100k、FoggyCityscapes、Adverse-Weather，不是本课题尚待选定的 Cityscapes→ACDC 语义分割协议。多来源也会同时带来相机、场景等差异，不能视为只改变天气的控制实验。[§4.1；Table S2；本项目分析]</w:t>
      </w:r>
    </w:p>
    <w:p>
      <w:pPr>
        <w:pStyle w:val="Heading2"/>
      </w:pPr>
      <w:r>
        <w:t>数据数量与类别映射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2268"/>
        <w:gridCol w:w="2041"/>
        <w:gridCol w:w="2268"/>
        <w:gridCol w:w="334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协议或域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训练图像数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训练标注数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P04 的 DS / NS / NR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4709 / 18459 / 471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6772 / 169460 / 1341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S2；高度不平衡。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VOC / Clipart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8909 / 165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16181 / 270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S3；P01。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Watercolor / Comic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1072 / 1150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1661 / 3214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Table S3；P02 / P03 的 T2。</w:t>
            </w:r>
          </w:p>
        </w:tc>
      </w:tr>
    </w:tbl>
    <w:p>
      <w:pPr>
        <w:spacing w:after="0"/>
      </w:pPr>
    </w:p>
    <w:p>
      <w:r>
        <w:t>Pascal 基类 1–10 为 aeroplane、boat、bottle、bus、chair、cow、diningtable、horse、motorbike、pottedplant。Clipart 的八个新类为 sheep、sofa、train、tvmonitor、bicycle、bird、car、cat；Watercolor 和 Comic 的四个新类仅为 bicycle、bird、car、cat，重映射成 ID11–14。dog、person 始终未知；不能照搬 VOC 常用原始顺序来解释区间。[Table S3]</w:t>
      </w:r>
    </w:p>
    <w:p>
      <w:r>
        <w:t>P04 累积测试图像数为 10219、26754、29527，标注数为 116785、197711、364231。其余天气序列的逐任务图像清单和全部计数未报告。附录 E 的正文写 Daytime Foggy，但 Table S2 标 Night Sunny；此处保留表的标签并将差异列为复现疑点。</w:t>
      </w:r>
    </w:p>
    <w:p>
      <w:pPr>
        <w:pStyle w:val="Heading1"/>
        <w:pageBreakBefore/>
      </w:pPr>
      <w:r>
        <w:t>2 实验分组与可比性</w:t>
      </w:r>
    </w:p>
    <w:p>
      <w:r>
        <w:t>为避免把方法、网络和协议混在一起，主实验使用 81 个唯一组号：协议 Pj 中，第 m 个方法的组号为 G[9×(j−1)+m]。下两表联合构成实验分组表；后续结果逐组列出。M01–M09 只指配置顺序，不是额外实验。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850"/>
        <w:gridCol w:w="3061"/>
        <w:gridCol w:w="4422"/>
        <w:gridCol w:w="158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角色与方法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网络骨干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可训练参数 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ORE-EBUI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Faster R-CNN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32.96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OW-DETR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D-DETR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PROB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D-DETR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23.99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CAT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D-DETR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ORTH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RandBox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105.90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M06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DuET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D-DETR / ResNet-50；加 EBUI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M07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对照 OWOBJ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D-DETR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23.99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M08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本文 EW-DETR D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D-DETR / ResNet-50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0.46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M09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本文 EW-DETR RF</w:t>
            </w:r>
          </w:p>
        </w:tc>
        <w:tc>
          <w:tcPr>
            <w:tcW w:type="dxa" w:w="442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RF-DETR-N / DINOv2-S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1.80</w:t>
            </w:r>
          </w:p>
        </w:tc>
      </w:tr>
    </w:tbl>
    <w:p>
      <w:pPr>
        <w:spacing w:after="0"/>
      </w:pPr>
    </w:p>
    <w:p>
      <w:r>
        <w:t>D-DETR=Deformable DETR。附录 F 说明非 RF 方法使用 DINO 预训练 ResNet-50，RF-DETR-N 使用 DINOv2-S；预训练差异必须随配置保留。对 D-DETR 系列，附录 G.1 把通常的六层改为单层编码器与解码器，称六层在此协议下崩溃。Faster R-CNN、RandBox 和 RF 的具体其他架构超参数未完整报告。[附录 F、G.1；Table 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1757"/>
        <w:gridCol w:w="794"/>
        <w:gridCol w:w="2324"/>
        <w:gridCol w:w="3798"/>
        <w:gridCol w:w="124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主实验组号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协议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方法与网络配置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训练与评价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G001–G009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P01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G010–G018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P02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G019–G027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P03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G028–G036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P04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G037–G045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P05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G046–G054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P06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G055–G063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P07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G064–G072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P08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G073–G081</w:t>
            </w:r>
          </w:p>
        </w:tc>
        <w:tc>
          <w:tcPr>
            <w:tcW w:type="dxa" w:w="7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P09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依次对应 M01–M09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同上述公共 EWOD 协议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3</w:t>
            </w:r>
          </w:p>
        </w:tc>
      </w:tr>
    </w:tbl>
    <w:p>
      <w:pPr>
        <w:spacing w:after="0"/>
      </w:pPr>
    </w:p>
    <w:p>
      <w:r>
        <w:t>例如 G008 与 G009 都是 P01 的本文方法，但分别用 D-DETR 和 RF-DETR-N；G036 是 P04 的 RF 版本。所有对照均被重实现为无样本 EWOD，不能把这些数字当作原 OWOD 标准协议下的成绩或“方法一般失效”的证据。本文方法的 RF 优势也不能完全归因于三个新模块；组件归因主要看同一 RF 网络上的 Table 4。</w:t>
      </w:r>
    </w:p>
    <w:p>
      <w:pPr>
        <w:pStyle w:val="Heading1"/>
        <w:pageBreakBefore/>
      </w:pPr>
      <w:r>
        <w:t>3 主实验结果与统计口径</w:t>
      </w:r>
    </w:p>
    <w:p>
      <w:r>
        <w:t>所有数值均为论文原报值。FSS、OSS、GSS、FOGS 均越大越好，沿用原表 0–100 尺度，不另补百分号；FSS 为保持比率分数而非遗忘下降量，OSS 和 GSS 是跨阶段聚合，FOGS 是三者算术平均。原报值存在不符时不静默改表，复算另列。</w:t>
      </w:r>
    </w:p>
    <w:p>
      <w:pPr>
        <w:pStyle w:val="Heading2"/>
      </w:pPr>
      <w:r>
        <w:t>3.1 P01 的阶段结果</w:t>
      </w:r>
    </w:p>
    <w:p>
      <w:pPr>
        <w:pStyle w:val="Caption"/>
        <w:keepNext/>
      </w:pPr>
      <w:r>
        <w:t>Table 1 逐组录入  T1 测 VOC  T2 测 VOC 与 Clipart 并集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850"/>
        <w:gridCol w:w="2211"/>
        <w:gridCol w:w="1020"/>
        <w:gridCol w:w="1191"/>
        <w:gridCol w:w="1020"/>
        <w:gridCol w:w="1191"/>
        <w:gridCol w:w="1191"/>
        <w:gridCol w:w="124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6"/>
              </w:rPr>
              <w:t>组号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T1 U-R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T1 当前 AP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T2 U-R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T2 旧 AP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T2 新 AP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T2 全 AP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G001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ORE-EBUI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9.84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23.70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11.37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5.05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G002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OW-DETR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16.25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31.51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8.07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3.60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7.96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5.54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G003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PROB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52.73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12.68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46.27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0.12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G004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CAT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20.23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30.18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8.10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8.91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8.53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G005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ORTH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63.92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67.28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41.61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3.92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32.44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16.59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G006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DuET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34.35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14.10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8.47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G007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OWOBJ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45.93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17.47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35.72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0.22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G008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EW-DETR D-DETR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44.98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61.64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41.45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39.98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25.73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G009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EW-DETR RF-DETR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77.35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76.05</w:t>
            </w:r>
          </w:p>
        </w:tc>
        <w:tc>
          <w:tcPr>
            <w:tcW w:type="dxa" w:w="10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78.23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73.15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8.42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45.08</w:t>
            </w:r>
          </w:p>
        </w:tc>
      </w:tr>
    </w:tbl>
    <w:p>
      <w:pPr>
        <w:spacing w:after="0"/>
      </w:pPr>
    </w:p>
    <w:p>
      <w:r>
        <w:t>U-R=U-Recall；AP 列均为 mAP@0.5，沿用原表尺度。T1 当前类在 VOC 测试；T2 旧、新、全类在累计域混合测试。G009 的旧类 73.15 与新类 8.42 相差很大，不能把全类 45.08 解读成新类已充分学习。</w:t>
      </w:r>
    </w:p>
    <w:p>
      <w:pPr>
        <w:pStyle w:val="Caption"/>
        <w:keepNext/>
      </w:pPr>
      <w:r>
        <w:t>P01  VOC[1:10] → Clipart[11:18]  Table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55.48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11.37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22.28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11.42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40.47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7.96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19.95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67.58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0.27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29.52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41.29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8.05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26.29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5.83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51.06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32.44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41.05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35.49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1.46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60.73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0.51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64.86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61.67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7.92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44.82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G009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96.19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78.62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8.42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61.08</w:t>
            </w:r>
          </w:p>
        </w:tc>
      </w:tr>
    </w:tbl>
    <w:p>
      <w:pPr>
        <w:spacing w:after="0"/>
      </w:pPr>
    </w:p>
    <w:p>
      <w:r>
        <w:t>同属 D-DETR 的 G008 比 OW-DETR G002 的 FOGS 高 24.87 分，但 GSS 7.92 与 7.96 接近；RF 的 G009 FOGS 达 61.08，主要受 FSS 和 OSS 驱动。ORTH G005 的 GSS=32.44 明显高于 G009 的 8.42。</w:t>
      </w:r>
    </w:p>
    <w:p>
      <w:pPr>
        <w:pStyle w:val="Heading1"/>
        <w:pageBreakBefore/>
      </w:pPr>
      <w:r>
        <w:t>3 主实验结果</w:t>
      </w:r>
    </w:p>
    <w:p>
      <w:pPr>
        <w:pStyle w:val="Heading2"/>
      </w:pPr>
      <w:r>
        <w:t>3.2 Pascal 的水彩与漫画域</w:t>
      </w:r>
    </w:p>
    <w:p>
      <w:pPr>
        <w:pStyle w:val="Caption"/>
        <w:keepNext/>
      </w:pPr>
      <w:r>
        <w:t>P02  VOC[1:10] → Watercolor[11:14]  Table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50.70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21.46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24.05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11.90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41.57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10.16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21.21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63.98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3.45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1.51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44.03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12.57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23.70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12.32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46.89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45.01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34.74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46.70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33.01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4.67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28.13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56.60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18.37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24.99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79.61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54.46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19.99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51.35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98.96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58.17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40.50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65.88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t>P03  VOC[1:10] → Comic[11:14]  Table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G019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52.34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18.25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23.53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1.43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41.83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8.75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17.34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63.75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4.06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22.60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7.82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43.00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10.31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5.28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51.56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38.49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31.78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56.22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35.00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4.99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32.07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63.11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4.97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22.69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83.18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54.38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4.19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47.25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98.51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56.68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32.91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62.70</w:t>
            </w:r>
          </w:p>
        </w:tc>
      </w:tr>
    </w:tbl>
    <w:p>
      <w:pPr>
        <w:spacing w:after="0"/>
      </w:pPr>
    </w:p>
    <w:p>
      <w:r>
        <w:t>P02 中 G018 的 FOGS=65.88，P03 中 G027 为 62.70，均优于所列对照。P03 中 D-DETR 本文组 G026 的 GSS=4.19，低于 ORTH 的 38.49；因此“总体领先”不等于每个维度领先。P02 的 CAT 原报 FOGS=23.70，与其三个分量均值 19.37 不符。</w:t>
      </w:r>
    </w:p>
    <w:p>
      <w:pPr>
        <w:pStyle w:val="Heading1"/>
        <w:pageBreakBefore/>
      </w:pPr>
      <w:r>
        <w:t>3 主实验结果</w:t>
      </w:r>
    </w:p>
    <w:p>
      <w:pPr>
        <w:pStyle w:val="Heading2"/>
      </w:pPr>
      <w:r>
        <w:t>3.3 天气三阶段序列</w:t>
      </w:r>
    </w:p>
    <w:p>
      <w:pPr>
        <w:pStyle w:val="Caption"/>
        <w:keepNext/>
      </w:pPr>
      <w:r>
        <w:t>P04  DS[1:2] → NS[3:4] → NR[5:6]  Table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61.51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18.96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26.82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G029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61.95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21.00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27.90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1.24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66.25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14.80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27.43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4.01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62.92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23.66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30.20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0.08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62.68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40.38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34.38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20.66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56.47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2.68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26.60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64.22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12.09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25.44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26.84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56.09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19.86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34.26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73.63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73.43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18.68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55.25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t>P05  DS[1:2] → DF[3:4] → DR[5:6]  Table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61.14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24.73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2.31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63.02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22.23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29.19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G039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66.90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12.35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26.42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4.85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63.87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20.50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29.74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61.81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48.56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36.89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29.01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55.42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3.97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29.47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55.59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9.02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21.54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20.55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59.58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20.86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33.66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82.80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65.75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18.13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55.56</w:t>
            </w:r>
          </w:p>
        </w:tc>
      </w:tr>
    </w:tbl>
    <w:p>
      <w:pPr>
        <w:spacing w:after="0"/>
      </w:pPr>
    </w:p>
    <w:p>
      <w:r>
        <w:t>P04 的 G036 FOGS=55.25，P05 的 G045=55.56。D-DETR 本文组 G035=34.26、G044=33.66，分别略低于 ORTH 的 34.38、36.89；大幅优势主要出现在 RF 配置，不能把 RF 的优势无条件推广到所有检测底座。</w:t>
      </w:r>
    </w:p>
    <w:p>
      <w:pPr>
        <w:pStyle w:val="Heading1"/>
        <w:pageBreakBefore/>
      </w:pPr>
      <w:r>
        <w:t>3 主实验结果</w:t>
      </w:r>
    </w:p>
    <w:p>
      <w:pPr>
        <w:pStyle w:val="Heading2"/>
      </w:pPr>
      <w:r>
        <w:t>3.4 白天到夜间的两阶段序列</w:t>
      </w:r>
    </w:p>
    <w:p>
      <w:pPr>
        <w:pStyle w:val="Caption"/>
        <w:keepNext/>
      </w:pPr>
      <w:r>
        <w:t>P06  DS[1:3] → NS[4:6]  Table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61.06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20.41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27.16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61.06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23.00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28.02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69.01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8.25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25.75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G049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60.77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24.43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28.40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59.33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40.56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33.40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3.07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55.07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19.63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67.40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9.17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25.52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22.85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56.03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10.35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29.74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54.47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71.55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15.78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47.27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t>P07  DS[1:3] → NR[4:6]  Table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61.44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9.18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23.54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6.54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61.79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6.84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25.06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69.35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3.98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24.76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7.71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61.47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7.90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25.69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G059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2.61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64.21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22.81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16.45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53.78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0.49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23.57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62.27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1.99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21.42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31.74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55.44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6.81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31.33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85.25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69.68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3.35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52.76</w:t>
            </w:r>
          </w:p>
        </w:tc>
      </w:tr>
    </w:tbl>
    <w:p>
      <w:pPr>
        <w:spacing w:after="0"/>
      </w:pPr>
    </w:p>
    <w:p>
      <w:r>
        <w:t>P06 的 RF 组 G054 FOGS=47.27、P07 的 G063=52.76；对应 GSS 只有 15.78、3.35。P07 的 ORTH GSS=22.81，说明以 FOGS 排名时仍可能有新类跨域迁移短板。</w:t>
      </w:r>
    </w:p>
    <w:p>
      <w:pPr>
        <w:pStyle w:val="Heading1"/>
        <w:pageBreakBefore/>
      </w:pPr>
      <w:r>
        <w:t>3 主实验结果</w:t>
      </w:r>
    </w:p>
    <w:p>
      <w:pPr>
        <w:pStyle w:val="Heading2"/>
      </w:pPr>
      <w:r>
        <w:t>3.5 白天到雾天及黄昏雨天</w:t>
      </w:r>
    </w:p>
    <w:p>
      <w:pPr>
        <w:pStyle w:val="Caption"/>
        <w:keepNext/>
      </w:pPr>
      <w:r>
        <w:t>P08  DS[1:3] → DF[4:6]  Table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60.35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24.36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28.24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61.49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23.39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28.29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69.49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10.57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26.69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60.72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29.02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29.91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0.54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60.94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52.89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38.12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G069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20.41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50.36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8.60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64.57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16.61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27.06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14.36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57.39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20.01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30.59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G072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58.93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64.25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22.18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48.45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t>P09  DS[1:3] → DR[4:6]  Table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907"/>
        <w:gridCol w:w="3458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FSS ↑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OSS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GSS ↑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FOGS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G073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ORE-EBUI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61.51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16.45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25.99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G074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0.71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60.39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12.47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24.52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G075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PROB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69.15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11.34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26.83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G076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1.10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60.85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12.41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24.56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G077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ORTH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0.49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67.88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36.31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34.89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G078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5.84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52.79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19.83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G079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OWOBJ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64.59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6.72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23.77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G080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D-DETR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14.50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57.08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14.09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28.56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G081</w:t>
            </w:r>
          </w:p>
        </w:tc>
        <w:tc>
          <w:tcPr>
            <w:tcW w:type="dxa" w:w="345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EW-DETR RF-DETR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67.12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73.56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15.42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52.03</w:t>
            </w:r>
          </w:p>
        </w:tc>
      </w:tr>
    </w:tbl>
    <w:p>
      <w:pPr>
        <w:spacing w:after="0"/>
      </w:pPr>
    </w:p>
    <w:p>
      <w:r>
        <w:t>P08 的 RF 组 G072 FOGS=48.45，P09 的 G081=52.03。两者 GSS=22.18、15.42，均低于 ORTH 的 52.89、36.31。P09 的 CAT 原报 FOGS=24.56，与分量均值约 24.79 不符。</w:t>
      </w:r>
    </w:p>
    <w:p>
      <w:pPr>
        <w:pStyle w:val="Heading1"/>
        <w:pageBreakBefore/>
      </w:pPr>
      <w:r>
        <w:t>3 指标含义与总体平均复核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1417"/>
        <w:gridCol w:w="4535"/>
        <w:gridCol w:w="2665"/>
        <w:gridCol w:w="1304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计算与聚合范围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单位方向及注意事项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mAP@0.5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IoU=0.5 下各评估类 AP 的均值；Table 1 分 T1 当前类及 T2 旧、新、全类。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AP 采用原表 0–100 尺度，越高越好；不是语义分割 mIoU。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Table 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U-Recall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被识别为 unknown 的真实未知目标数 / 未知真值总数。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原表 0–100，越高越好；单独使用无法约束未知误报。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§4.2；Table S6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WI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Wilderness Impact；未知出现造成的已知类精度退化。通常写成 P_closed/P_open−1，本文沿用引用定义，未完整给出阈值与曲线取点。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无量纲、越低越好；Table S6 用小数。无法只凭 U-Recall 复算。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§4.2；Table S6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A-OSE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被误判为已知类的未知实例数量；OSS 内使用 A-OSE / GTunk 归一化。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计数、越低越好；GTunk 的逐阶段数未给出，不能完整复算 OSS。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式(13)；Table S6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FSS 正文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式(12)称最终任务旧类 mAP / 各先前任务初学 mAP 的平均，再对先前索引取均值。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保持比率分数，越高越好；正文文字与符号含歧义。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p.6 式(12)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FSS 附录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式(25)三任务示例：(T2旧类AP / T1新类AP + T3旧类AP / mean(T1新类AP,T2新类AP)) / 2。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使用 T2、T3 两个时点，非只看最终 T3；本报告不合并两种定义。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p.13 式(25)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OSS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对各任务求平均：{U-Recall + (1−WI) + 1/[1+A-OSE/GTunk]} / 3。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分量应先统一 0–1 再展示为 0–100；论文未充分交代缩放及全部阈值。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式(13)、(26)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GSS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t=2…T 的当前新类 mAP，在截至 t 的已见域并集测试后取任务均值。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0–100，越高越好；含当前域，不能直接当成纯未见域性能。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式(14)、(27)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FOGS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(FSS + OSS + GSS) / 3。</w:t>
            </w:r>
          </w:p>
        </w:tc>
        <w:tc>
          <w:tcPr>
            <w:tcW w:type="dxa" w:w="266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原表 0–100，越高越好；等权平均允许保持分数补偿新类适应不足。</w:t>
            </w:r>
          </w:p>
        </w:tc>
        <w:tc>
          <w:tcPr>
            <w:tcW w:type="dxa" w:w="130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p.12 式(24)</w:t>
            </w:r>
          </w:p>
        </w:tc>
      </w:tr>
    </w:tbl>
    <w:p>
      <w:pPr>
        <w:spacing w:after="0"/>
      </w:pPr>
    </w:p>
    <w:p>
      <w:r>
        <w:t>论文 §5、§G.4 及 Fig.S4 报 RF 平均 FSS=75.69、OSS=67.30、GSS=14.02、FOGS=52.33；对 ORTH 报 FOGS=33.28。由后两数可复算相对增益 (52.33/33.28−1)×100%=57.24%，这是相对提高而非增加 57.24 个分数点。</w:t>
      </w:r>
    </w:p>
    <w:p>
      <w:r>
        <w:t>但按 Tables 1–3 九个协议等权平均，RF 为 79.54 / 67.97 / 19.49 / 55.66，ORTH 的 FOGS 为 33.76，与总体图不一致。论文未给出可解释该差异的权重或额外清单。因此保留“作者报 57.24%”，不将其作为已独立核验的整体增益；主表仍支持 RF 在九个协议的 FOGS 均领先，但不支持其 GSS 全面领先。</w:t>
      </w:r>
    </w:p>
    <w:p>
      <w:pPr>
        <w:pStyle w:val="Heading1"/>
        <w:pageBreakBefore/>
      </w:pPr>
      <w:r>
        <w:t>3 消融结果与稳定性可塑性权衡</w:t>
      </w:r>
    </w:p>
    <w:p>
      <w:r>
        <w:t>A01–A07 均为 P01，网络 RF-DETR-N / DINOv2-S，采用相同 EWOD 训练与测试；A07 与 G009 为同一完整配置的重复展示，不计作独立重复试验。以下表格同时列出组件定义与其结果，属于独立消融分组。[Table 4，p.8]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3005"/>
        <w:gridCol w:w="1191"/>
        <w:gridCol w:w="1191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组号与配置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T2旧AP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T2新AP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FSS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OSS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GSS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FOGS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A01 原 RF 基线，未加三模块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5.81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51.49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7.52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33.78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51.49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30.93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A02 只训当前 LoRA，无聚合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20.48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52.33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26.52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33.34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52.33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37.40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A03 双 LoRA 可训练，无合并/SVD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20.59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50.49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26.72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34.26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50.49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37.16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A04 增量 LoRA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74.85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0.07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98.11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33.53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0.07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43.90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A05 只加 QNorm-Obj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6.20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51.20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8.04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34.18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51.20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31.14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A06 增量 LoRA 加 QNorm-Obj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74.42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5.07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97.78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42.04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5.07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48.30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A07 三模块全部启用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73.15</w:t>
            </w:r>
          </w:p>
        </w:tc>
        <w:tc>
          <w:tcPr>
            <w:tcW w:type="dxa" w:w="11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8.42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96.19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78.62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8.42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61.08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850"/>
        <w:gridCol w:w="1474"/>
        <w:gridCol w:w="1814"/>
        <w:gridCol w:w="1474"/>
        <w:gridCol w:w="1814"/>
        <w:gridCol w:w="249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T1 U-R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T1 当前AP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T2 U-R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T2 全AP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可训练参数 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A01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1.46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77.21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0.56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26.11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30.8672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A02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1.20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77.23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0.84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34.63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1.7997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A03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1.77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77.07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0.11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33.87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1.7997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A04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1.08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76.29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0.29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41.61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1.7997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A05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3.17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77.15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3.23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26.20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30.8679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A06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4.24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76.11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2.53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42.89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1.8004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A07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77.35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76.05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78.23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45.08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1.8004</w:t>
            </w:r>
          </w:p>
        </w:tc>
      </w:tr>
    </w:tbl>
    <w:p>
      <w:pPr>
        <w:spacing w:after="0"/>
      </w:pPr>
    </w:p>
    <w:p>
      <w:r>
        <w:t>A01→A04：旧类 AP 从 5.81 到 74.85，FSS 从 7.52 到 98.11，但新类 AP 从 51.49 降到 0.07。A06→A07 加 EUMix 后，T2 未知召回从 2.53 到 78.23，新类 AP 从 5.07 到 8.42，FSS 小降 1.59 分。完整模型的新类 AP 仍比原 RF 基线低 43.07 分。这是作者在 §6 明确认可的权衡，不应写成“全面提升适应能力”。</w:t>
      </w:r>
    </w:p>
    <w:p>
      <w:r>
        <w:t>该消融支持三个模块在固定 RF 架构下共同提升 FOGS；但没有逐项移除 EUMix 内部计算、也没有把数据权重与 SVD 投影完全分开的完整因子设计。A03 的参数数与双分支可训练描述之间的对应未详列，复现时需核对具体训练参数集。</w:t>
      </w:r>
    </w:p>
    <w:p>
      <w:pPr>
        <w:pStyle w:val="Heading1"/>
        <w:pageBreakBefore/>
      </w:pPr>
      <w:r>
        <w:t>3 顺序与超参数实验</w:t>
      </w:r>
    </w:p>
    <w:p>
      <w:pPr>
        <w:pStyle w:val="Heading2"/>
      </w:pPr>
      <w:r>
        <w:t>3.6 天气顺序与未知类别变化</w:t>
      </w:r>
    </w:p>
    <w:p>
      <w:r>
        <w:t>R01–R08：EW-DETR，按本文语境对应 RF 版本，但 Table S5 未重复注明网络名称；共同用三阶段天气协议、无回放和每任务 100 epochs。前五行改变类分配或域顺序，后三行改变固定扣留未知类。[Table S5，p.16]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624"/>
        <w:gridCol w:w="1928"/>
        <w:gridCol w:w="1928"/>
        <w:gridCol w:w="1928"/>
        <w:gridCol w:w="879"/>
        <w:gridCol w:w="879"/>
        <w:gridCol w:w="879"/>
        <w:gridCol w:w="879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6"/>
              </w:rPr>
              <w:t>组号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T1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T2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T3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FSS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OSS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GSS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6"/>
              </w:rPr>
              <w:t>FOGS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R01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DS[5:6]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NS[1:2]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NR[3:4]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73.30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73.45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24.62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57.12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R02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DS[3:4]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NS[5:6]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NR[1:2]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75.03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71.31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17.94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54.76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R03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DS[1:2]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NS[3:4]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NR[5:6]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73.63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73.43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18.68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55.25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R04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NR[1:2]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DS[3:4]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NS[5:6]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71.79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72.50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28.67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57.65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R05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NS[1:2]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NR[3:4]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DS[5:6]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71.93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70.69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21.25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54.62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R06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DS[7,2]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NS[3,4]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NR[5,6]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73.65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71.71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14.96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53.44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R07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DS[1,7]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NS[3,4]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NR[5,6]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74.94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69.84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14.74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53.17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6"/>
              </w:rPr>
              <w:t>R08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DS[1,2]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NS[7,4]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NR[5,6]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73.36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70.20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17.72</w:t>
            </w:r>
          </w:p>
        </w:tc>
        <w:tc>
          <w:tcPr>
            <w:tcW w:type="dxa" w:w="87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6"/>
              </w:rPr>
              <w:t>53.76</w:t>
            </w:r>
          </w:p>
        </w:tc>
      </w:tr>
    </w:tbl>
    <w:p>
      <w:pPr>
        <w:spacing w:after="0"/>
      </w:pPr>
    </w:p>
    <w:p>
      <w:r>
        <w:t>后三行出现 ID7，而 Table S2 原本以 7 表示 unknown 标签；该敏感性实验如何将 truck 设为已知、哪个类别改作固定未知，文字没有完整列出映射，不能把 [7,2] 擅改为笔误。前三类排序见本报告协议表。</w:t>
      </w:r>
    </w:p>
    <w:p>
      <w:r>
        <w:t>Table S5 标准差行报 1.19 / 1.39 / 4.81 / 1.65。按前五行计算总体标准差为 1.19 / 1.11 / 3.98 / 1.26；按全部八行计算样本标准差约 1.11 / 1.39 / 4.81 / 1.65。正文采用的 1.11 和 1.26 又来自前五行总体标准差。表与文混合了范围及分母；这不等于多个随机种子方差。</w:t>
      </w:r>
    </w:p>
    <w:p>
      <w:pPr>
        <w:pStyle w:val="Heading2"/>
      </w:pPr>
      <w:r>
        <w:t>3.7 秩与合并范围</w:t>
      </w:r>
    </w:p>
    <w:p>
      <w:r>
        <w:t>H01–H05：P01 完整 EW-DETR RF，逐个改变 r；H06–H11：相同协议、默认 r=16，逐个改变 β 上下界。其余训练按附录 F。以下数字来自 Fig.S5 清晰标注，不将柱形高度估算为精确参数量。[p.18；§G.3]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850"/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改变项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FSS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OSS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GSS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FOGS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H01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r=4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97.86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77.69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58.52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H02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r=8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97.83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77.40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4.22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59.82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H03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r=16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96.19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78.62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8.42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61.08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H04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r=32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94.95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79.28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3.39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59.21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H05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r=64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97.44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77.69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1.09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58.74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H06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βmin/max=0.1 / 0.9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92.15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78.04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8.89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59.69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H07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βmin/max=0.3 / 0.7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92.33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77.85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9.02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59.73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H08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βmin/max=0.5 / 0.5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86.13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75.97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54.04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H09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βmin/max=0.2 / 0.4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98.25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76.08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6.66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60.33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H10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βmin/max=0.2 / 0.8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96.19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78.62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8.42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61.08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H11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βmin/max=0.6 / 0.8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86.63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79.43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12.55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59.54</w:t>
            </w:r>
          </w:p>
        </w:tc>
      </w:tr>
    </w:tbl>
    <w:p>
      <w:pPr>
        <w:spacing w:after="0"/>
      </w:pPr>
    </w:p>
    <w:p>
      <w:r>
        <w:t>r=16 在该扫描范围的 FOGS 最高；不证明其他任务也最优。固定 β 的 GSS=0.02 说明聚合方式影响新类适应；但式(3)仍不完整，不能仅凭图推断具体合并实现。</w:t>
      </w:r>
    </w:p>
    <w:p>
      <w:pPr>
        <w:pStyle w:val="Heading1"/>
        <w:pageBreakBefore/>
      </w:pPr>
      <w:r>
        <w:t>3 开放集明细与计算成本</w:t>
      </w:r>
    </w:p>
    <w:p>
      <w:pPr>
        <w:pStyle w:val="Heading2"/>
      </w:pPr>
      <w:r>
        <w:t>3.8 P01 的未知混淆</w:t>
      </w:r>
    </w:p>
    <w:p>
      <w:pPr>
        <w:pStyle w:val="Caption"/>
        <w:keepNext/>
      </w:pPr>
      <w:r>
        <w:t>Table S6 复用 G001–G009  U Recall 见阶段结果表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850"/>
        <w:gridCol w:w="3118"/>
        <w:gridCol w:w="1417"/>
        <w:gridCol w:w="1587"/>
        <w:gridCol w:w="1417"/>
        <w:gridCol w:w="1531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T1 WI ↓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T1 A-OSE ↓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T2 WI ↓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T2 A-OSE ↓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G001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ORE-EBUI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0.0985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12916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0.0592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852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G002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OW-DETR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0.0851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55228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0.0644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28689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G003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PROB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0.1603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12700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0.0216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1529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G004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CAT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0.0830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57094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0.0566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28045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G005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ORTH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0.7570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32519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0.0213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5160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G006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DuET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0.0714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80714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0.0622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35214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G007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OWOBJ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0.1550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14947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0.0383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3898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G008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EW-DETR D-DETR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0.1382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20236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0.1096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2086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G009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EW-DETR RF-DETR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0.0120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12773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0.0038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2251</w:t>
            </w:r>
          </w:p>
        </w:tc>
      </w:tr>
    </w:tbl>
    <w:p>
      <w:pPr>
        <w:spacing w:after="0"/>
      </w:pPr>
    </w:p>
    <w:p>
      <w:r>
        <w:t>G009 的 WI 最低且未知召回最高，但其 T2 A-OSE=2251，高于 ORE 的 852 和 PROB 的 1529。未知指标应联合使用；不能只根据 OSS 写“全部开放集指标最佳”。</w:t>
      </w:r>
    </w:p>
    <w:p>
      <w:pPr>
        <w:pStyle w:val="Heading2"/>
      </w:pPr>
      <w:r>
        <w:t>3.9 复杂度</w:t>
      </w:r>
    </w:p>
    <w:p>
      <w:pPr>
        <w:pStyle w:val="Caption"/>
        <w:keepNext/>
      </w:pPr>
      <w:r>
        <w:t>Table S4  同 P01 网络配置  单张 NVIDIA H100 80GB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850"/>
        <w:gridCol w:w="3118"/>
        <w:gridCol w:w="1417"/>
        <w:gridCol w:w="1474"/>
        <w:gridCol w:w="1587"/>
        <w:gridCol w:w="147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参数 M ↓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GFLOPs ↓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推理 ms ↓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7"/>
              </w:rPr>
              <w:t>显存 GB ↓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G001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ORE-EBUI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32.96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1665.03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60.41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3.75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G002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OW-DETR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24.22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157.71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59.82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1.33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G003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PROB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23.99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135.31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97.71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1.32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G004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CAT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24.25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135.34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112.54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1.35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G005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ORTH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105.90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2073.57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1151.19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1.26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G006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DuET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24.22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135.30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150.61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1.41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G007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OWOBJ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23.99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135.30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80.85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1.32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G008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EW-DETR D-DETR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0.46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171.23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131.92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1.55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7"/>
              </w:rPr>
              <w:t>G009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EW-DETR RF-DETR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32.22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57.38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7"/>
              </w:rPr>
              <w:t>0.32</w:t>
            </w:r>
          </w:p>
        </w:tc>
      </w:tr>
    </w:tbl>
    <w:p>
      <w:pPr>
        <w:spacing w:after="0"/>
      </w:pPr>
    </w:p>
    <w:p>
      <w:r>
        <w:t>参数列仅为可训练参数；显存列是原文 Avg. Memory Footprint，测量时机、batch、输入分辨率及是否含反传未充分交代，不能当作训练峰值显存需求。RF 的 57.38 ms 来自 H100，不能直接证明机器人实时性；SVD 合并、完整训练时间和边缘设备耗时未报告。D-DETR 本文方法的 GFLOPs 与推理耗时均高于 OW-DETR，并非所有底座都更快。</w:t>
      </w:r>
    </w:p>
    <w:p>
      <w:pPr>
        <w:pStyle w:val="Heading1"/>
        <w:pageBreakBefore/>
      </w:pPr>
      <w:r>
        <w:t>4 疑点与可改进处</w:t>
      </w:r>
    </w:p>
    <w:p>
      <w:r>
        <w:t>下列条目区分已由表文支持的不一致、作者承认的局限与尚待实证的报告人疑问。补充实验是本项目建议，未被论文或本项目完成。</w:t>
      </w:r>
    </w:p>
    <w:p>
      <w:pPr>
        <w:pStyle w:val="Heading2"/>
      </w:pPr>
      <w:r>
        <w:t>合并权重不满足声称的范围</w:t>
      </w:r>
    </w:p>
    <w:p>
      <w:r>
        <w:t>性质：已证实的公式与文本冲突。依据：p.4 式(3)与 p.14 Table S2，代入 β2≈−1.552；p.12 又写 0.317。</w:t>
      </w:r>
    </w:p>
    <w:p>
      <w:r>
        <w:t>影响：会改变旧新任务合并方向，直接影响可复现性。 验证与改进：确认样本是图像还是实例、分母范围及 clip；公开每阶段 β 日志，比较原式、总量比率、裁剪版本。</w:t>
      </w:r>
    </w:p>
    <w:p>
      <w:pPr>
        <w:pStyle w:val="Heading2"/>
      </w:pPr>
      <w:r>
        <w:t>FSS 是最终保持还是阶段保持</w:t>
      </w:r>
    </w:p>
    <w:p>
      <w:r>
        <w:t>性质：已证实的定义冲突。依据：p.6 式(12)指最终任务；p.13 式(25)分别用 T2、T3。</w:t>
      </w:r>
    </w:p>
    <w:p>
      <w:r>
        <w:t>影响：三阶段以上可产生不同评分及方法排名。 验证与改进：提供逐任务×逐域×逐类 AP 矩阵，分别复算两种 FSS，明确标准定义。</w:t>
      </w:r>
    </w:p>
    <w:p>
      <w:pPr>
        <w:pStyle w:val="Heading2"/>
      </w:pPr>
      <w:r>
        <w:t>两项 CAT 的 FOGS 不等于分量平均</w:t>
      </w:r>
    </w:p>
    <w:p>
      <w:r>
        <w:t>性质：已证实的表内算术不符。依据：p.7 Table 2：P02 为 (1.51+44.03+12.57)/3=19.37，原报 23.70；Table 3：P09≈24.79，原报24.56。</w:t>
      </w:r>
    </w:p>
    <w:p>
      <w:r>
        <w:t>影响：削弱汇总数值可信度；不自动推翻其他原始 AP。 验证与改进：保留原表并另附统一脚本算出的 FOGS，核对版本与录入。</w:t>
      </w:r>
    </w:p>
    <w:p>
      <w:pPr>
        <w:pStyle w:val="Heading2"/>
      </w:pPr>
      <w:r>
        <w:t>Fig.S4 平均与九个主协议不一致</w:t>
      </w:r>
    </w:p>
    <w:p>
      <w:r>
        <w:t>性质：已证实的汇总不可复算。依据：p.18 图与 p.7 Tables 1–3；RF FOGS 原报52.33，九协议均值55.66。</w:t>
      </w:r>
    </w:p>
    <w:p>
      <w:r>
        <w:t>影响：57.24% 仅能从作者给的两个汇总数算出，不能追溯回已列协议。 验证与改进：公开实际纳入协议、权重和各分量；不要自行用新均值替换论文宣称的实验范围。</w:t>
      </w:r>
    </w:p>
    <w:p>
      <w:pPr>
        <w:pStyle w:val="Heading2"/>
      </w:pPr>
      <w:r>
        <w:t>顺序实验标准差的范围及分母不一</w:t>
      </w:r>
    </w:p>
    <w:p>
      <w:r>
        <w:t>性质：已证实的统计口径混杂。依据：p.16 Table S5 及 §G.2；数值复算见本报告。</w:t>
      </w:r>
    </w:p>
    <w:p>
      <w:r>
        <w:t>影响：顺序变化不能代替随机种子稳定性；“稳定”证据强度有限。 验证与改进：将五种顺序与三种未知类别变化分开汇总，并在每配置运行多个种子。</w:t>
      </w:r>
    </w:p>
    <w:p>
      <w:pPr>
        <w:pStyle w:val="Heading2"/>
      </w:pPr>
      <w:r>
        <w:t>保持改善但新类适应显著受损</w:t>
      </w:r>
    </w:p>
    <w:p>
      <w:r>
        <w:t>性质：作者承认且有定量支持。依据：p.8 Table 4；完整模型新类AP8.42，基线51.49；附录H承认GSS较弱。</w:t>
      </w:r>
    </w:p>
    <w:p>
      <w:r>
        <w:t>影响：不适合仅凭综合分数宣称解决域适应。 验证与改进：同时报告旧域、新域和累计平均；画保持与适应的权衡，匹配参数和训练预算。</w:t>
      </w:r>
    </w:p>
    <w:p>
      <w:pPr>
        <w:pStyle w:val="Heading1"/>
        <w:pageBreakBefore/>
      </w:pPr>
      <w:r>
        <w:t>4 尚未排除的方法与复现问题</w:t>
      </w:r>
    </w:p>
    <w:p>
      <w:pPr>
        <w:pStyle w:val="Heading2"/>
      </w:pPr>
      <w:r>
        <w:t>RF 领先有多少来自网络和预训练</w:t>
      </w:r>
    </w:p>
    <w:p>
      <w:r>
        <w:t>性质：报告人疑问。依据：附录 F 区分 DINO ResNet-50 与 DINOv2-S；p.7 D-DETR 本文组不总胜 ORTH。</w:t>
      </w:r>
    </w:p>
    <w:p>
      <w:r>
        <w:t>影响：不能用跨架构成绩孤立证明模块贡献。 验证与改进：相同骨干、预训练、编码器层数下，对顺序微调、简单 LoRA、聚合 LoRA和完整模型公平比较。</w:t>
      </w:r>
    </w:p>
    <w:p>
      <w:pPr>
        <w:pStyle w:val="Heading2"/>
      </w:pPr>
      <w:r>
        <w:t>EUMix 抑制已知 logit 的公式缺失</w:t>
      </w:r>
    </w:p>
    <w:p>
      <w:r>
        <w:t>性质：已见到的报告缺项。依据：§3.5 称有 soft suppression；附录 A 式(23)未展开最终已知 logits，θλ无明确运算。</w:t>
      </w:r>
    </w:p>
    <w:p>
      <w:r>
        <w:t>影响：没有代码时无法唯一确定实现；“Entropy”实际为最大置信缺口。 验证与改进：补齐已知 logit 抑制式、参数初值、梯度路径；增加只用缺口、只用物体性和不同混合项的消融。</w:t>
      </w:r>
    </w:p>
    <w:p>
      <w:pPr>
        <w:pStyle w:val="Heading2"/>
      </w:pPr>
      <w:r>
        <w:t>无未知正标签时是否有稳定可辨识信号</w:t>
      </w:r>
    </w:p>
    <w:p>
      <w:r>
        <w:t>性质：报告人疑问。依据：§3.4–3.5 沿用检测损失；附录C仅有范数AUC0.585/0.587。</w:t>
      </w:r>
    </w:p>
    <w:p>
      <w:r>
        <w:t>影响：弱信号不足以证明所有天气的目标性分离或未知校准。 验证与改进：核对 unmatched query 损失如何回传到未知头与物体性头；报告逐域AUC、未知精确率召回率及阈值扫描。</w:t>
      </w:r>
    </w:p>
    <w:p>
      <w:pPr>
        <w:pStyle w:val="Heading2"/>
      </w:pPr>
      <w:r>
        <w:t>数据统计、度量阈值与类别映射不全</w:t>
      </w:r>
    </w:p>
    <w:p>
      <w:r>
        <w:t>性质：已见到的协议缺项。依据：附录 E 写 Daytime Foggy、Table S2 写 Night Sunny；Table S5的ID7与原unknown标签映射未展开；GTunk未列。</w:t>
      </w:r>
    </w:p>
    <w:p>
      <w:r>
        <w:t>影响：复现者可能构建不同的数据或未知集合；OSS不能完整复算。 验证与改进：固定图像清单、来源划分、类别映射和未知GT；公布WI取点、检测阈值与OSS尺度转换。</w:t>
      </w:r>
    </w:p>
    <w:p>
      <w:pPr>
        <w:pStyle w:val="Heading2"/>
      </w:pPr>
      <w:r>
        <w:t>不能直接推广到无边界固定类持续分割</w:t>
      </w:r>
    </w:p>
    <w:p>
      <w:r>
        <w:t>性质：适用边界。依据：§3.3 使用任务切换与整任务样本数；Table S1类集合扩展；没有语义分割实验。</w:t>
      </w:r>
    </w:p>
    <w:p>
      <w:r>
        <w:t>影响：无需测试任务标签并不意味着学习过程无需任务边界。 验证与改进：先在已知边界的固定类分割协议验证子机制，再单独设计无边界窗口合并；将其明确标为新方案。</w:t>
      </w:r>
    </w:p>
    <w:p>
      <w:pPr>
        <w:pStyle w:val="Heading2"/>
      </w:pPr>
      <w:r>
        <w:t>未知只相对增量标签空间而非预训练内容</w:t>
      </w:r>
    </w:p>
    <w:p>
      <w:r>
        <w:t>性质：报告人疑问。依据：附录 F 使用外部DINO/DINOv2预训练，未分析其已见类别或图像。</w:t>
      </w:r>
    </w:p>
    <w:p>
      <w:r>
        <w:t>影响：永久扣留类可避免增量训练标注泄漏，但不能证明预训练从未见过相似语义。 验证与改进：公开预训练权重和数据说明；把声明限定为增量训练中无未知类别监督，并单列预训练暴露边界。</w:t>
      </w:r>
    </w:p>
    <w:p>
      <w:pPr>
        <w:pStyle w:val="Heading1"/>
        <w:pageBreakBefore/>
      </w:pPr>
      <w:r>
        <w:t>5 与本课题的关系与建议</w:t>
      </w:r>
    </w:p>
    <w:p>
      <w:r>
        <w:t>项目当前候选方向是天气、光照变化下的道路语义分割：类别集合固定，以有标注公开数据模拟顺序到达，并考虑无显式天气标签、任务编号或切换提示。EW-DETR 证明的是另一套类域同时增量的检测协议；其观察可用于设计假设，不能写成本课题已验证成果。[PROJECT_STATE.md；本地 §3.1、Table 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7DC"/>
          <w:left w:val="single" w:sz="4" w:color="D2D7DC"/>
          <w:bottom w:val="single" w:sz="4" w:color="D2D7DC"/>
          <w:right w:val="single" w:sz="4" w:color="D2D7DC"/>
          <w:insideH w:val="single" w:sz="4" w:color="D2D7DC"/>
          <w:insideV w:val="single" w:sz="4" w:color="D2D7DC"/>
        </w:tblBorders>
      </w:tblPr>
      <w:tblGrid>
        <w:gridCol w:w="1757"/>
        <w:gridCol w:w="4762"/>
        <w:gridCol w:w="340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  <w:jc w:val="center"/>
            </w:pPr>
            <w:r>
              <w:rPr>
                <w:b/>
                <w:sz w:val="18"/>
              </w:rPr>
              <w:t>论文可借鉴内容</w:t>
            </w:r>
          </w:p>
        </w:tc>
        <w:tc>
          <w:tcPr>
            <w:tcW w:type="dxa" w:w="476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可执行迁移方式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E8EDF2"/>
          </w:tcPr>
          <w:p>
            <w:pPr>
              <w:keepNext/>
              <w:spacing w:after="20" w:before="20" w:line="247" w:lineRule="auto"/>
            </w:pPr>
            <w:r>
              <w:rPr>
                <w:b/>
                <w:sz w:val="18"/>
              </w:rPr>
              <w:t>必须保留的边界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冻结底座与增量 LoRA</w:t>
            </w:r>
          </w:p>
        </w:tc>
        <w:tc>
          <w:tcPr>
            <w:tcW w:type="dxa" w:w="476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在适合的分割 transformer 中比较顺序微调、单当前LoRA、聚合LoRA；同权重初始化、同数据与预算。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网络、标签密度均改变；不直接搬 RF 检测成绩。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保持与适应的分开评价</w:t>
            </w:r>
          </w:p>
        </w:tc>
        <w:tc>
          <w:tcPr>
            <w:tcW w:type="dxa" w:w="476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每阶段保存旧天气、新天气和累计域mIoU；记录逐域结果及每类结果。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FOGS不能直接替换分割评价；固定类闭集任务无需开放集分数。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数据量影响合并</w:t>
            </w:r>
          </w:p>
        </w:tc>
        <w:tc>
          <w:tcPr>
            <w:tcW w:type="dxa" w:w="476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在固定类别、不同天气样本数条件下比较固定与数据相关合并；保存每次合并参数和样本计数。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先明确正确公式；已知边界上成功仍不等于无边界成功。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参数量与成本</w:t>
            </w:r>
          </w:p>
        </w:tc>
        <w:tc>
          <w:tcPr>
            <w:tcW w:type="dxa" w:w="476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报告可训练参数、总参数、历史参数存储、训练峰值显存、合并和推理耗时。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H100推理不能代表机器人；SVD和训练成本需实测。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18"/>
              </w:rPr>
              <w:t>查询解耦与未知校准</w:t>
            </w:r>
          </w:p>
        </w:tc>
        <w:tc>
          <w:tcPr>
            <w:tcW w:type="dxa" w:w="476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若未来明确研究开放世界分割，再分析查询范数与未知像素/掩码质量。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当前闭集天气DIL无需预先增加未知分支，不能随意扩展课题目标。</w:t>
            </w:r>
          </w:p>
        </w:tc>
      </w:tr>
    </w:tbl>
    <w:p>
      <w:pPr>
        <w:spacing w:after="0"/>
      </w:pPr>
    </w:p>
    <w:p>
      <w:pPr>
        <w:pStyle w:val="Heading2"/>
      </w:pPr>
      <w:r>
        <w:t>建议的下一步顺序</w:t>
      </w:r>
    </w:p>
    <w:p>
      <w:r>
        <w:t>第一步只做文献到实现的核对：若准备复现，先取得可确认的官方代码或作者说明，解决 β、FSS、EUMix 抑制式和数据清单四个问题。当前未完成该步骤，不把 EW-DETR 升格为已选复现对象。</w:t>
      </w:r>
    </w:p>
    <w:p>
      <w:r>
        <w:t>第二步在已经确定的固定类别分割网络、监督方式和天气序列中验证增量 LoRA 子机制。优先对照顺序微调、简单 LoRA 与聚合 LoRA；若项目允许保存旧样本，再加入等预算回放。报告每阶段旧域保持与当前域适应，检查是否重现“保持好但不再学习”的失败模式。[本项目建议]</w:t>
      </w:r>
    </w:p>
    <w:p>
      <w:r>
        <w:t>第三步再处理边界未知：任务结束触发的 SVD 合并需要另行替代。可比较固定更新窗口与经验证的变化触发，但窗口长度、未来样本数是否可用及触发信号都必须在实验前明确。此处仅为可检验设计方向，不是已确定创新点或论文结论。[本项目推论]</w:t>
      </w:r>
    </w:p>
    <w:p>
      <w:pPr>
        <w:pStyle w:val="Heading2"/>
      </w:pPr>
      <w:r>
        <w:t>复现条件清单</w:t>
      </w:r>
    </w:p>
    <w:p>
      <w:r>
        <w:t>论文已报告：单 H100 80GB、AdamW、初始学习率1e−4、weight decay1e−4、batch16、每任务100 epochs、r16、β范围0.2至0.8。未报告或不足：总训练时长、学习率完整调度、所有随机种子、训练峰值显存、SVD实现与频次耗时、完整分类头扩展和冻结规则、所有阈值及数据清单。本项目没有运行训练或机器人部署。</w:t>
      </w:r>
    </w:p>
    <w:p>
      <w:pPr>
        <w:pStyle w:val="Heading1"/>
        <w:pageBreakBefore/>
      </w:pPr>
      <w:r>
        <w:t>6 引用来源与阅读核验记录</w:t>
      </w:r>
    </w:p>
    <w:p>
      <w:r>
        <w:t>[1] Monga, M., Chudasama, V., Wasnik, P., &amp; Jawahar, C. V. (2026). EW-DETR: Evolving World Object Detection via Incremental Low-Rank DEtection TRansformer. Proceedings of the IEEE/CVF Conference on Computer Vision and Pattern Recognition, 11324–11333. 正文分析以本地 arXiv v2 含补充材料为准。</w:t>
      </w:r>
    </w:p>
    <w:p>
      <w:hyperlink r:id="rId10">
        <w:r>
          <w:rPr>
            <w:color w:val="235A81"/>
          </w:rPr>
          <w:t>CVF 正式会议条目</w:t>
        </w:r>
      </w:hyperlink>
    </w:p>
    <w:p>
      <w:hyperlink r:id="rId11">
        <w:r>
          <w:rPr>
            <w:color w:val="235A81"/>
          </w:rPr>
          <w:t>arXiv 版本记录与 v2</w:t>
        </w:r>
      </w:hyperlink>
    </w:p>
    <w:p>
      <w:r>
        <w:t>[2] Monga, M., Chudasama, V., Wasnik, P., &amp; Banerjee, B. (2025). DuET: Dual Incremental Object Detection via Exemplar-Free Task Arithmetic. 本报告仅用官方 arXiv 摘要核对其类域双增量与无旧样本定位，不据摘要推断其全部实现。</w:t>
      </w:r>
    </w:p>
    <w:p>
      <w:hyperlink r:id="rId12">
        <w:r>
          <w:rPr>
            <w:color w:val="235A81"/>
          </w:rPr>
          <w:t>DuET 官方 arXiv 条目</w:t>
        </w:r>
      </w:hyperlink>
    </w:p>
    <w:p>
      <w:r>
        <w:t>[3] 项目上下文：00_management/PROJECT_STATE.md；报告要求：01_literature/REPORT_STANDARD.md；相邻方法学习材料：LIT-010 天气域增量遗忘报告、LIT-012 SimCIS 报告。本文只引用项目状态已记录的设定边界，没有重新审计相邻论文的实验数字。</w:t>
      </w:r>
    </w:p>
    <w:p>
      <w:pPr>
        <w:pStyle w:val="Heading2"/>
      </w:pPr>
      <w:r>
        <w:t>检索及核验范围</w:t>
      </w:r>
    </w:p>
    <w:p>
      <w:r>
        <w:t>2026-10-21 按用户指定文件纳入单篇论文，不进行新主题推荐或系统综述。外部检索式包括“EW-DETR Monga 2026”“EW-DETR github SonyResearch code”和“DuET Dual Incremental exemplar 2025”；优先保留 CVF、arXiv 与作者机构入口。CVF 页面直开曾返回403，正式发表信息由其检索索引与 arXiv 的 accepted 注记交叉核对；未据非官方列表断言代码公开与否。</w:t>
      </w:r>
    </w:p>
    <w:p>
      <w:r>
        <w:t>先粗读摘要、§1、§3.1、Fig.3、Tables 1–4 与结论完成 B 级初评，再重点精读方法、协议、全部主实验、消融及补充材料 A–H，回看关键页图像。核查覆盖主表81个组的324项综合指标、Table 1阶段数据、Table 4消融、Table S5顺序、Table S6未知混淆和Fig.S5标注。参考文献表用于定位背景，未逐条查证每篇原始文献。</w:t>
      </w:r>
    </w:p>
    <w:p>
      <w:r>
        <w:t>复算依据：FOGS 等权均值、九个主协议的均值、五种顺序和八行全表的总体/样本标准差，以及 β 的样本数代入。实验组 A07、H03、H10 与 G009 等存在配置重复，组号用于定位证据，不是独立实验次数或随机重复数。</w:t>
      </w:r>
    </w:p>
    <w:p>
      <w:r>
        <w:t>AI 辅助说明：本报告由 AI 辅助提取、分析和撰写；原文事实、数值复算、报告人疑问与项目建议已分别标示。机器阅读与报告完成不等于用户本人已读，也不构成方法已复现或新实验已完成。</w:t>
      </w:r>
    </w:p>
    <w:p>
      <w:r>
        <w:t>原始 PDF SHA-256：357a8e9d3ed641f9e89783ba5fd4c56e1b6df9d81acc062fa66effd56407408c</w:t>
      </w:r>
    </w:p>
    <w:p>
      <w:r>
        <w:t>最终阅读判断：B级不变。优先提取双LoRA聚合和保持适应分开评估的思想；在公式、实现与协议补齐前，不建议将完整EW-DETR作为本课题首个复现基线。</w:t>
      </w:r>
    </w:p>
    <w:sectPr w:rsidR="00FC693F" w:rsidRPr="0006063C" w:rsidSect="00034616">
      <w:footerReference w:type="default" r:id="rId9"/>
      <w:pgSz w:w="11906" w:h="16838"/>
      <w:pgMar w:top="935" w:right="992" w:bottom="935" w:left="992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LIT-015  EW-DETR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="Calibri" w:hAnsi="Calibr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="Calibri" w:hAnsi="Calibr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="Calibri" w:hAnsi="Calibri" w:eastAsia="Microsoft Ya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Calibri" w:hAnsi="Calibr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penaccess.thecvf.com/content/CVPR2026/html/Monga_EW-DETR_Evolving_World_Object_Detection_via_Incremental_Low-Rank_DEtection_TRansformer_CVPR_2026_paper.html" TargetMode="External"/><Relationship Id="rId11" Type="http://schemas.openxmlformats.org/officeDocument/2006/relationships/hyperlink" Target="https://arxiv.org/abs/2602.20985v2" TargetMode="External"/><Relationship Id="rId12" Type="http://schemas.openxmlformats.org/officeDocument/2006/relationships/hyperlink" Target="https://arxiv.org/abs/2506.212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EW-DETR 文献阅读报告</dc:title>
  <dc:subject>LIT-015 EWOD 设定、低秩适配、实验结果与课题适用边界</dc:subject>
  <dc:creator/>
  <cp:keywords>EW-DETR;EWOD;LoRA;持续学习;天气域变化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