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bookmarkStart w:id="1" w:name="sec_4965f483bd2aab04"/>
      <w:r>
        <w:rPr>
          <w:b w:val="0"/>
          <w:i w:val="0"/>
        </w:rPr>
        <w:t>六篇综述文献对比与本课题定位报告</w:t>
      </w:r>
      <w:bookmarkEnd w:id="1"/>
    </w:p>
    <w:p>
      <w:pPr/>
      <w:r>
        <w:rPr>
          <w:b w:val="0"/>
          <w:i w:val="0"/>
        </w:rPr>
        <w:t xml:space="preserve">日期：2026-10-18（Asia/Shanghai）。对应 T-004、T-005。范围为本地 </w:t>
      </w:r>
      <w:r>
        <w:rPr>
          <w:b w:val="0"/>
          <w:i w:val="0"/>
        </w:rPr>
        <w:t>综述/</w:t>
      </w:r>
      <w:r>
        <w:rPr>
          <w:b w:val="0"/>
          <w:i w:val="0"/>
        </w:rPr>
        <w:t xml:space="preserve"> 全部 6 篇 PDF；阅读层级为泛读。版本及原文件见 </w:t>
      </w:r>
      <w:hyperlink r:id="rId11" w:history="1">
        <w:r>
          <w:rPr>
            <w:color w:val="245985"/>
            <w:u w:val="single"/>
          </w:rPr>
          <w:t>文献索引</w:t>
        </w:r>
      </w:hyperlink>
      <w:r>
        <w:rPr>
          <w:b w:val="0"/>
          <w:i w:val="0"/>
        </w:rPr>
        <w:t xml:space="preserve">，阅读口径见 </w:t>
      </w:r>
      <w:hyperlink r:id="rId12" w:history="1">
        <w:r>
          <w:rPr>
            <w:color w:val="245985"/>
            <w:u w:val="single"/>
          </w:rPr>
          <w:t>READING_PLAN.md</w:t>
        </w:r>
      </w:hyperlink>
      <w:r>
        <w:rPr>
          <w:b w:val="0"/>
          <w:i w:val="0"/>
        </w:rPr>
        <w:t>。本文兼作原计划的领域地图与总文献对比报告。</w:t>
      </w:r>
    </w:p>
    <w:p>
      <w:pPr/>
      <w:r>
        <w:rPr>
          <w:b w:val="0"/>
          <w:i w:val="0"/>
        </w:rPr>
        <w:t>本报告依据本地原文，不是对领域截至今日的穷尽检索；文献更新、正式出版、代码和原始实验未逐项外部核验。页码统一指 PDF 页码。综述转述的方法与结果不视为本项目复现结果。</w:t>
      </w:r>
    </w:p>
    <w:p>
      <w:pPr>
        <w:pStyle w:val="Heading1"/>
      </w:pPr>
      <w:bookmarkStart w:id="2" w:name="sec_a4d6e083f989b71e"/>
      <w:r>
        <w:rPr>
          <w:b w:val="0"/>
          <w:i w:val="0"/>
        </w:rPr>
        <w:t>1. 总体判断</w:t>
      </w:r>
      <w:bookmarkEnd w:id="2"/>
    </w:p>
    <w:p>
      <w:pPr/>
      <w:r>
        <w:rPr>
          <w:b w:val="0"/>
          <w:i w:val="0"/>
        </w:rPr>
        <w:t>六篇互补地覆盖了持续学习理论、在线协议、持续分割、未知域泛化和天气应用。</w:t>
      </w:r>
      <w:r>
        <w:rPr>
          <w:b/>
          <w:i w:val="0"/>
        </w:rPr>
        <w:t>最适合当前草稿的主线是：以持续分割界定任务，以在线学习明确数据权限，以天气与域泛化研究审查分布变化及评估。</w:t>
      </w:r>
      <w:r>
        <w:rPr>
          <w:b w:val="0"/>
          <w:i w:val="0"/>
        </w:rPr>
        <w:t>这是本轮阅读后的研究推断，不是已经确定的实验方案。</w:t>
      </w:r>
    </w:p>
    <w:p>
      <w:pPr/>
      <w:r>
        <w:rPr>
          <w:b w:val="0"/>
          <w:i w:val="0"/>
        </w:rPr>
        <w:t>按草稿关注视觉条件变化、统一语义类别映射的范围，本报告以</w:t>
      </w:r>
      <w:r>
        <w:rPr>
          <w:b/>
          <w:i w:val="0"/>
        </w:rPr>
        <w:t>域增量持续学习（DIL）语义分割</w:t>
      </w:r>
      <w:r>
        <w:rPr>
          <w:b w:val="0"/>
          <w:i w:val="0"/>
        </w:rPr>
        <w:t>为主要分析对象：标注数据顺序到达，训练不提供天气域标签/任务编号/切换提示，仅访问当前批次与有限缓存；类增量持续学习（CIL）作为相关背景分别讨论。这是对当前研究范围的分析归类，不确定具体模型或实验方案。是否严格单遍、每批允许几次更新、是否存在重复天气，需要后续协议明确。</w:t>
      </w:r>
    </w:p>
    <w:p>
      <w:pPr/>
      <w:r>
        <w:rPr>
          <w:b w:val="0"/>
          <w:i w:val="0"/>
        </w:rPr>
        <w:t>任务书依据为</w:t>
      </w:r>
      <w:hyperlink r:id="rId13" w:history="1">
        <w:r>
          <w:rPr>
            <w:color w:val="245985"/>
            <w:u w:val="single"/>
          </w:rPr>
          <w:t>原始任务书</w:t>
        </w:r>
      </w:hyperlink>
      <w:r>
        <w:rPr>
          <w:b w:val="0"/>
          <w:i w:val="0"/>
        </w:rPr>
        <w:t>第一节、第二节（1）（2）（4）及第三节“问题理解准确”：区分 CL/DG/DA，新到达的像素标注可用于更新，历史样本受限，天气分组仅用于评估。下文 CIL/DIL 的细分依据 LIT-001、005、006 及用户本次明确要求。</w:t>
      </w:r>
    </w:p>
    <w:p>
      <w:pPr/>
      <w:r>
        <w:rPr>
          <w:b w:val="0"/>
          <w:i w:val="0"/>
        </w:rPr>
        <w:t>当前尚不能从这六篇得到“哪个算法最适合”“有多少性能提升”或“新颖性已成立”的结论。T-002、T-003 仍待办，本轮不选择最终数据、骨干、复现对象或机器人更新方式。</w:t>
      </w:r>
    </w:p>
    <w:p>
      <w:pPr>
        <w:pStyle w:val="Heading1"/>
      </w:pPr>
      <w:bookmarkStart w:id="3" w:name="sec_d611da18b2df8bed"/>
      <w:r>
        <w:rPr>
          <w:b w:val="0"/>
          <w:i w:val="0"/>
        </w:rPr>
        <w:t>2. 文献对比总表</w:t>
      </w:r>
      <w:bookmarkEnd w:id="3"/>
    </w:p>
    <w:p>
      <w:pPr/>
      <w:r>
        <w:rPr>
          <w:b w:val="0"/>
          <w:i w:val="0"/>
        </w:rPr>
        <w:t>以下相关性为基于任务书草稿的阅读判断，不是对论文质量的统一评分。</w:t>
      </w:r>
    </w:p>
    <w:tbl>
      <w:tblPr>
        <w:tblLook w:firstColumn="1" w:firstRow="1" w:lastColumn="0" w:lastRow="0" w:noHBand="0" w:noVBand="1" w:val="04A0"/>
        <w:tblW w:w="13958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1954"/>
        <w:gridCol w:w="2652"/>
        <w:gridCol w:w="2652"/>
        <w:gridCol w:w="2233"/>
        <w:gridCol w:w="2233"/>
        <w:gridCol w:w="2234"/>
      </w:tblGrid>
      <w:tr>
        <w:trPr>
          <w:cantSplit/>
          <w:tblHeader/>
        </w:trPr>
        <w:tc>
          <w:tcPr>
            <w:tcW w:type="dxa" w:w="1954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文献及报告</w:t>
            </w:r>
          </w:p>
        </w:tc>
        <w:tc>
          <w:tcPr>
            <w:tcW w:type="dxa" w:w="2652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研究范围与主要贡献</w:t>
            </w:r>
          </w:p>
        </w:tc>
        <w:tc>
          <w:tcPr>
            <w:tcW w:type="dxa" w:w="2652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分类框架/核心视角</w:t>
            </w:r>
          </w:p>
        </w:tc>
        <w:tc>
          <w:tcPr>
            <w:tcW w:type="dxa" w:w="2233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证据形式</w:t>
            </w:r>
          </w:p>
        </w:tc>
        <w:tc>
          <w:tcPr>
            <w:tcW w:type="dxa" w:w="2233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对本课题的主要用途</w:t>
            </w:r>
          </w:p>
        </w:tc>
        <w:tc>
          <w:tcPr>
            <w:tcW w:type="dxa" w:w="2234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主要边界与原文定位</w:t>
            </w:r>
          </w:p>
        </w:tc>
      </w:tr>
      <w:tr>
        <w:trPr>
          <w:cantSplit/>
        </w:trPr>
        <w:tc>
          <w:tcPr>
            <w:tcW w:type="dxa" w:w="1954"/>
            <w:vAlign w:val="center"/>
          </w:tcPr>
          <w:p>
            <w:pPr>
              <w:pStyle w:val="TableText"/>
              <w:keepNext w:val="0"/>
            </w:pPr>
            <w:r>
              <w:rPr>
                <w:b/>
                <w:i w:val="0"/>
              </w:rPr>
              <w:t>LIT-001</w:t>
            </w:r>
            <w:r>
              <w:rPr>
                <w:b w:val="0"/>
                <w:i w:val="0"/>
              </w:rPr>
              <w:t xml:space="preserve"> Mai 等，本地 2021 v4；</w:t>
            </w:r>
            <w:hyperlink r:id="rId14" w:history="1">
              <w:r>
                <w:rPr>
                  <w:color w:val="245985"/>
                  <w:u w:val="single"/>
                </w:rPr>
                <w:t>报告</w:t>
              </w:r>
            </w:hyperlink>
          </w:p>
        </w:tc>
        <w:tc>
          <w:tcPr>
            <w:tcW w:type="dxa" w:w="265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在线图像分类；统一比较 OCI/ODI 中的方法、技巧与调参</w:t>
            </w:r>
          </w:p>
        </w:tc>
        <w:tc>
          <w:tcPr>
            <w:tcW w:type="dxa" w:w="265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正则、记忆、参数隔离；回放写入/检索/更新三环节</w:t>
            </w:r>
          </w:p>
        </w:tc>
        <w:tc>
          <w:tcPr>
            <w:tcW w:type="dxa" w:w="2233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有统一分类实验，包含精度、遗忘、迁移、运行时</w:t>
            </w:r>
          </w:p>
        </w:tc>
        <w:tc>
          <w:tcPr>
            <w:tcW w:type="dxa" w:w="2233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数据访问与回放协议、公平调参、多维评价</w:t>
            </w:r>
          </w:p>
        </w:tc>
        <w:tc>
          <w:tcPr>
            <w:tcW w:type="dxa" w:w="223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分类结论不能直接迁到分割；review 等有边界触发问题。§3～8，p.3～16</w:t>
            </w:r>
          </w:p>
        </w:tc>
      </w:tr>
      <w:tr>
        <w:trPr>
          <w:cantSplit/>
        </w:trPr>
        <w:tc>
          <w:tcPr>
            <w:tcW w:type="dxa" w:w="1954"/>
            <w:vAlign w:val="center"/>
          </w:tcPr>
          <w:p>
            <w:pPr>
              <w:pStyle w:val="TableText"/>
              <w:keepNext w:val="0"/>
            </w:pPr>
            <w:r>
              <w:rPr>
                <w:b/>
                <w:i w:val="0"/>
              </w:rPr>
              <w:t>LIT-002</w:t>
            </w:r>
            <w:r>
              <w:rPr>
                <w:b w:val="0"/>
                <w:i w:val="0"/>
              </w:rPr>
              <w:t xml:space="preserve"> Mockey 等，2026 卷年；</w:t>
            </w:r>
            <w:hyperlink r:id="rId15" w:history="1">
              <w:r>
                <w:rPr>
                  <w:color w:val="245985"/>
                  <w:u w:val="single"/>
                </w:rPr>
                <w:t>报告</w:t>
              </w:r>
            </w:hyperlink>
          </w:p>
        </w:tc>
        <w:tc>
          <w:tcPr>
            <w:tcW w:type="dxa" w:w="265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恶劣天气道路图像分析，涉及分类、检测、分割、增强和融合</w:t>
            </w:r>
          </w:p>
        </w:tc>
        <w:tc>
          <w:tcPr>
            <w:tcW w:type="dxa" w:w="265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任务 × 真实/合成数据 × CNN/GAN/Transformer</w:t>
            </w:r>
          </w:p>
        </w:tc>
        <w:tc>
          <w:tcPr>
            <w:tcW w:type="dxa" w:w="2233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广泛文献综合与概括性表格；未给出可直接继承的持续分割受控实验</w:t>
            </w:r>
          </w:p>
        </w:tc>
        <w:tc>
          <w:tcPr>
            <w:tcW w:type="dxa" w:w="2233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天气退化、地域差异、数据稀缺和部署约束</w:t>
            </w:r>
          </w:p>
        </w:tc>
        <w:tc>
          <w:tcPr>
            <w:tcW w:type="dxa" w:w="223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任务指标混用、部分引文不对应；不用于量化选型。§6～9，p.19～25</w:t>
            </w:r>
          </w:p>
        </w:tc>
      </w:tr>
      <w:tr>
        <w:trPr>
          <w:cantSplit/>
        </w:trPr>
        <w:tc>
          <w:tcPr>
            <w:tcW w:type="dxa" w:w="1954"/>
            <w:vAlign w:val="center"/>
          </w:tcPr>
          <w:p>
            <w:pPr>
              <w:pStyle w:val="TableText"/>
              <w:keepNext w:val="0"/>
            </w:pPr>
            <w:r>
              <w:rPr>
                <w:b/>
                <w:i w:val="0"/>
              </w:rPr>
              <w:t>LIT-003</w:t>
            </w:r>
            <w:r>
              <w:rPr>
                <w:b w:val="0"/>
                <w:i w:val="0"/>
              </w:rPr>
              <w:t xml:space="preserve"> Rafi 等，2024；</w:t>
            </w:r>
            <w:hyperlink r:id="rId16" w:history="1">
              <w:r>
                <w:rPr>
                  <w:color w:val="245985"/>
                  <w:u w:val="single"/>
                </w:rPr>
                <w:t>报告</w:t>
              </w:r>
            </w:hyperlink>
          </w:p>
        </w:tc>
        <w:tc>
          <w:tcPr>
            <w:tcW w:type="dxa" w:w="265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DG 分割的背景、相关任务、传统技术、数据与展望</w:t>
            </w:r>
          </w:p>
        </w:tc>
        <w:tc>
          <w:tcPr>
            <w:tcW w:type="dxa" w:w="265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数据操作、表征学习、学习策略，细分 11 项技术</w:t>
            </w:r>
          </w:p>
        </w:tc>
        <w:tc>
          <w:tcPr>
            <w:tcW w:type="dxa" w:w="2233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跨论文方法/骨干/性能汇编</w:t>
            </w:r>
          </w:p>
        </w:tc>
        <w:tc>
          <w:tcPr>
            <w:tcW w:type="dxa" w:w="2233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DG 与 DA 边界、传统泛化组件与数据候选</w:t>
            </w:r>
          </w:p>
        </w:tc>
        <w:tc>
          <w:tcPr>
            <w:tcW w:type="dxa" w:w="223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案例含 DA/测试时方法；统计与展望需回查。§2、5、7～8；p.3～4、8～16；表 2～3 p.18～21</w:t>
            </w:r>
          </w:p>
        </w:tc>
      </w:tr>
      <w:tr>
        <w:trPr>
          <w:cantSplit/>
        </w:trPr>
        <w:tc>
          <w:tcPr>
            <w:tcW w:type="dxa" w:w="1954"/>
            <w:vAlign w:val="center"/>
          </w:tcPr>
          <w:p>
            <w:pPr>
              <w:pStyle w:val="TableText"/>
              <w:keepNext w:val="0"/>
            </w:pPr>
            <w:r>
              <w:rPr>
                <w:b/>
                <w:i w:val="0"/>
              </w:rPr>
              <w:t>LIT-004</w:t>
            </w:r>
            <w:r>
              <w:rPr>
                <w:b w:val="0"/>
                <w:i w:val="0"/>
              </w:rPr>
              <w:t xml:space="preserve"> Schwonberg、Gottschalk，2025 v1；</w:t>
            </w:r>
            <w:hyperlink r:id="rId17" w:history="1">
              <w:r>
                <w:rPr>
                  <w:color w:val="245985"/>
                  <w:u w:val="single"/>
                </w:rPr>
                <w:t>报告</w:t>
              </w:r>
            </w:hyperlink>
          </w:p>
        </w:tc>
        <w:tc>
          <w:tcPr>
            <w:tcW w:type="dxa" w:w="265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区分传统 DG 和基础模型 DG，整理跨域性能</w:t>
            </w:r>
          </w:p>
        </w:tc>
        <w:tc>
          <w:tcPr>
            <w:tcW w:type="dxa" w:w="265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输入/特征/输出空间；基础模型的高效适配及视觉语言对齐</w:t>
            </w:r>
          </w:p>
        </w:tc>
        <w:tc>
          <w:tcPr>
            <w:tcW w:type="dxa" w:w="2233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跨论文性能表，显式列编码器和初始化</w:t>
            </w:r>
          </w:p>
        </w:tc>
        <w:tc>
          <w:tcPr>
            <w:tcW w:type="dxa" w:w="2233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审查预训练、骨干和额外真实数据的混杂影响</w:t>
            </w:r>
          </w:p>
        </w:tc>
        <w:tc>
          <w:tcPr>
            <w:tcW w:type="dxa" w:w="223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静态未见域评估不测旧天气遗忘；表内均值/正文峰值有疑点。§2～5，p.2～8</w:t>
            </w:r>
          </w:p>
        </w:tc>
      </w:tr>
      <w:tr>
        <w:trPr>
          <w:cantSplit/>
        </w:trPr>
        <w:tc>
          <w:tcPr>
            <w:tcW w:type="dxa" w:w="1954"/>
            <w:vAlign w:val="center"/>
          </w:tcPr>
          <w:p>
            <w:pPr>
              <w:pStyle w:val="TableText"/>
              <w:keepNext w:val="0"/>
            </w:pPr>
            <w:r>
              <w:rPr>
                <w:b/>
                <w:i w:val="0"/>
              </w:rPr>
              <w:t>LIT-005</w:t>
            </w:r>
            <w:r>
              <w:rPr>
                <w:b w:val="0"/>
                <w:i w:val="0"/>
              </w:rPr>
              <w:t xml:space="preserve"> Wang 等，2024 v3；</w:t>
            </w:r>
            <w:hyperlink r:id="rId18" w:history="1">
              <w:r>
                <w:rPr>
                  <w:color w:val="245985"/>
                  <w:u w:val="single"/>
                </w:rPr>
                <w:t>报告</w:t>
              </w:r>
            </w:hyperlink>
          </w:p>
        </w:tc>
        <w:tc>
          <w:tcPr>
            <w:tcW w:type="dxa" w:w="265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CL 理论、设定、机制和应用的总框架</w:t>
            </w:r>
          </w:p>
        </w:tc>
        <w:tc>
          <w:tcPr>
            <w:tcW w:type="dxa" w:w="265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正则、回放、优化、表征、架构；稳定性/可塑性/泛化/资源</w:t>
            </w:r>
          </w:p>
        </w:tc>
        <w:tc>
          <w:tcPr>
            <w:tcW w:type="dxa" w:w="2233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理论和既有研究综合，非统一天气分割复现</w:t>
            </w:r>
          </w:p>
        </w:tc>
        <w:tc>
          <w:tcPr>
            <w:tcW w:type="dxa" w:w="2233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组织研究目标、方法关系与评价维度</w:t>
            </w:r>
          </w:p>
        </w:tc>
        <w:tc>
          <w:tcPr>
            <w:tcW w:type="dxa" w:w="223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分类导向的术语有特定口径；理论条件不能无条件推广。§2～4 p.2～14、§6.2 p.16</w:t>
            </w:r>
          </w:p>
        </w:tc>
      </w:tr>
      <w:tr>
        <w:trPr>
          <w:cantSplit/>
        </w:trPr>
        <w:tc>
          <w:tcPr>
            <w:tcW w:type="dxa" w:w="1954"/>
            <w:vAlign w:val="center"/>
          </w:tcPr>
          <w:p>
            <w:pPr>
              <w:pStyle w:val="TableText"/>
              <w:keepNext w:val="0"/>
            </w:pPr>
            <w:r>
              <w:rPr>
                <w:b/>
                <w:i w:val="0"/>
              </w:rPr>
              <w:t>LIT-006</w:t>
            </w:r>
            <w:r>
              <w:rPr>
                <w:b w:val="0"/>
                <w:i w:val="0"/>
              </w:rPr>
              <w:t xml:space="preserve"> Yuan、Zhao，2024 v2；</w:t>
            </w:r>
            <w:hyperlink r:id="rId19" w:history="1">
              <w:r>
                <w:rPr>
                  <w:color w:val="245985"/>
                  <w:u w:val="single"/>
                </w:rPr>
                <w:t>报告</w:t>
              </w:r>
            </w:hyperlink>
          </w:p>
        </w:tc>
        <w:tc>
          <w:tcPr>
            <w:tcW w:type="dxa" w:w="265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CSS 问题、方法、协议、结果和应用</w:t>
            </w:r>
          </w:p>
        </w:tc>
        <w:tc>
          <w:tcPr>
            <w:tcW w:type="dxa" w:w="265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数据回放/无历史数据回放；任务/域/类/模态增量</w:t>
            </w:r>
          </w:p>
        </w:tc>
        <w:tc>
          <w:tcPr>
            <w:tcW w:type="dxa" w:w="2233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定性及定量比较，部分重现实验、部分沿用原论文结果</w:t>
            </w:r>
          </w:p>
        </w:tc>
        <w:tc>
          <w:tcPr>
            <w:tcW w:type="dxa" w:w="2233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直接检索持续分割、回放、天气遗忘和骨干研究</w:t>
            </w:r>
          </w:p>
        </w:tc>
        <w:tc>
          <w:tcPr>
            <w:tcW w:type="dxa" w:w="223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主表重类增量；Cityscapes 表题与域增量正文冲突，指标有疑点。§2～5 p.3～14</w:t>
            </w:r>
          </w:p>
        </w:tc>
      </w:tr>
    </w:tbl>
    <w:p>
      <w:pPr>
        <w:spacing w:after="60" w:before="0" w:line="60" w:lineRule="exact"/>
      </w:pPr>
      <w:r>
        <w:rPr>
          <w:sz w:val="2"/>
        </w:rPr>
      </w:r>
    </w:p>
    <w:p>
      <w:pPr>
        <w:pStyle w:val="Heading2"/>
      </w:pPr>
      <w:bookmarkStart w:id="4" w:name="sec_501a9ff71f5083b8"/>
      <w:r>
        <w:rPr>
          <w:b w:val="0"/>
          <w:i w:val="0"/>
        </w:rPr>
        <w:t>两篇近同名 DG 综述的具体差异</w:t>
      </w:r>
      <w:bookmarkEnd w:id="4"/>
    </w:p>
    <w:p>
      <w:pPr/>
      <w:r>
        <w:rPr>
          <w:b w:val="0"/>
          <w:i w:val="0"/>
        </w:rPr>
        <w:t>LIT-003 侧重广覆盖：把 DG 与 DA、自监督、少样本、医疗分割等连起来，适合入门词汇和检索；技术案例的协议边界需另查。LIT-004 主线更集中：先分传统/基础模型，再按作用空间梳理，特别讨论额外真实数据与预训练的影响，适合审查比较是否公平。两者不能合并为一篇，也不能因 LIT-004 更新就认为它的所有表格值已经可靠。</w:t>
      </w:r>
    </w:p>
    <w:p>
      <w:pPr/>
      <w:r>
        <w:rPr>
          <w:b w:val="0"/>
          <w:i w:val="0"/>
        </w:rPr>
        <w:t>两者共同说明“泛化组件值得研究”，但不能据此推出某种组件减少持续遗忘。后者必须通过顺序更新后的旧域评估证明。</w:t>
      </w:r>
    </w:p>
    <w:p>
      <w:pPr>
        <w:pStyle w:val="Heading1"/>
      </w:pPr>
      <w:bookmarkStart w:id="5" w:name="sec_4607d4265d694bb7"/>
      <w:r>
        <w:rPr>
          <w:b w:val="0"/>
          <w:i w:val="0"/>
        </w:rPr>
        <w:t>3. 问题设定对比：哪些结果可以互相借用</w:t>
      </w:r>
      <w:bookmarkEnd w:id="5"/>
    </w:p>
    <w:p>
      <w:pPr>
        <w:pStyle w:val="Heading2"/>
      </w:pPr>
      <w:bookmarkStart w:id="6" w:name="sec_925337c43ee6a9d4"/>
      <w:r>
        <w:rPr>
          <w:b w:val="0"/>
          <w:i w:val="0"/>
        </w:rPr>
        <w:t>3.1 持续学习、域泛化与域自适应</w:t>
      </w:r>
      <w:bookmarkEnd w:id="6"/>
    </w:p>
    <w:p>
      <w:pPr/>
      <w:r>
        <w:rPr>
          <w:b w:val="0"/>
          <w:i w:val="0"/>
        </w:rPr>
        <w:t>这三者关注的维度不同，不能仅凭“存在域变化”“使用蒸馏”或论文题目归类。以下是本报告的比较口径，依据 LIT-001 §3（p.3～4）、LIT-005 §2（p.2～4）、LIT-003 §2/4（p.3～8）及 LIT-004 §1（p.1）。</w:t>
      </w:r>
    </w:p>
    <w:tbl>
      <w:tblPr>
        <w:tblLook w:firstColumn="1" w:firstRow="1" w:lastColumn="0" w:lastRow="0" w:noHBand="0" w:noVBand="1" w:val="04A0"/>
        <w:tblW w:w="13958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3071"/>
        <w:gridCol w:w="3071"/>
        <w:gridCol w:w="3769"/>
        <w:gridCol w:w="4047"/>
      </w:tblGrid>
      <w:tr>
        <w:trPr>
          <w:cantSplit/>
          <w:tblHeader/>
        </w:trPr>
        <w:tc>
          <w:tcPr>
            <w:tcW w:type="dxa" w:w="3071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方向</w:t>
            </w:r>
          </w:p>
        </w:tc>
        <w:tc>
          <w:tcPr>
            <w:tcW w:type="dxa" w:w="3071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核心问题</w:t>
            </w:r>
          </w:p>
        </w:tc>
        <w:tc>
          <w:tcPr>
            <w:tcW w:type="dxa" w:w="3769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新条件/目标域数据的使用</w:t>
            </w:r>
          </w:p>
        </w:tc>
        <w:tc>
          <w:tcPr>
            <w:tcW w:type="dxa" w:w="4047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历史能力与评价要求</w:t>
            </w:r>
          </w:p>
        </w:tc>
      </w:tr>
      <w:tr>
        <w:trPr>
          <w:cantSplit/>
        </w:trPr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持续学习 CL</w:t>
            </w:r>
          </w:p>
        </w:tc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如何从顺序到达的数据继续学习，同时缓解对既有知识的遗忘</w:t>
            </w:r>
          </w:p>
        </w:tc>
        <w:tc>
          <w:tcPr>
            <w:tcW w:type="dxa" w:w="376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可利用当前到达数据更新；监督可有标注、部分标注或无标注，依具体设定；旧数据访问通常受限</w:t>
            </w:r>
          </w:p>
        </w:tc>
        <w:tc>
          <w:tcPr>
            <w:tcW w:type="dxa" w:w="404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同时评价新知识学习和旧知识保持，记录更新前后/随时间的性能；不能只测最后一个新域</w:t>
            </w:r>
          </w:p>
        </w:tc>
      </w:tr>
      <w:tr>
        <w:trPr>
          <w:cantSplit/>
        </w:trPr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严格静态域泛化 DG</w:t>
            </w:r>
          </w:p>
        </w:tc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如何在学习时未见的目标域上直接泛化</w:t>
            </w:r>
          </w:p>
        </w:tc>
        <w:tc>
          <w:tcPr>
            <w:tcW w:type="dxa" w:w="376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用源域学习；不使用实际目标域数据进行适配更新</w:t>
            </w:r>
          </w:p>
        </w:tc>
        <w:tc>
          <w:tcPr>
            <w:tcW w:type="dxa" w:w="404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主要评价未见目标域泛化；没有顺序更新后的旧域结果时，不能声称已验证抗遗忘</w:t>
            </w:r>
          </w:p>
        </w:tc>
      </w:tr>
      <w:tr>
        <w:trPr>
          <w:cantSplit/>
        </w:trPr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域自适应 DA</w:t>
            </w:r>
          </w:p>
        </w:tc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如何利用目标域相关数据或信息缓解源域与目标域差异</w:t>
            </w:r>
          </w:p>
        </w:tc>
        <w:tc>
          <w:tcPr>
            <w:tcW w:type="dxa" w:w="376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学习/适配过程使用目标域数据；UDA 只是无目标标签的子类，DA 也可有标注或半监督</w:t>
            </w:r>
          </w:p>
        </w:tc>
        <w:tc>
          <w:tcPr>
            <w:tcW w:type="dxa" w:w="404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基本目标是目标域适应，不自动要求长序列旧域保持；是否评估源域/旧域需要看具体工作</w:t>
            </w:r>
          </w:p>
        </w:tc>
      </w:tr>
    </w:tbl>
    <w:p>
      <w:pPr>
        <w:spacing w:after="60" w:before="0" w:line="60" w:lineRule="exact"/>
      </w:pPr>
      <w:r>
        <w:rPr>
          <w:sz w:val="2"/>
        </w:rPr>
      </w:r>
    </w:p>
    <w:p>
      <w:pPr/>
      <w:r>
        <w:rPr>
          <w:b/>
          <w:i w:val="0"/>
        </w:rPr>
        <w:t>交叉关系</w:t>
      </w:r>
      <w:r>
        <w:rPr>
          <w:b w:val="0"/>
          <w:i w:val="0"/>
        </w:rPr>
        <w:t>：持续域自适应可以同时属于 CL 与 DA；判断其是否满足本课题，还要看是否测旧域遗忘、监督是否一致以及数据/预算权限。本文 DG 表格讨论的是静态未见域设定；测试时利用目标流更新的工作，应明确其适配协议，不能仅以原文使用“泛化”一词就并入严格静态 DG。</w:t>
      </w:r>
    </w:p>
    <w:p>
      <w:pPr/>
      <w:r>
        <w:rPr>
          <w:b w:val="0"/>
          <w:i w:val="0"/>
        </w:rPr>
        <w:t>“能适应新天气”可能指源域训练后直接预测，也可能指利用新天气数据更新；两种证据必须分别标注。</w:t>
      </w:r>
      <w:r>
        <w:rPr>
          <w:b/>
          <w:i w:val="0"/>
        </w:rPr>
        <w:t>新域性能提高不能单独证明旧域保持，未见域泛化好也不能单独证明持续学习好。</w:t>
      </w:r>
    </w:p>
    <w:p>
      <w:pPr>
        <w:pStyle w:val="Heading2"/>
      </w:pPr>
      <w:bookmarkStart w:id="7" w:name="sec_1f93386d78a42a59"/>
      <w:r>
        <w:rPr>
          <w:b w:val="0"/>
          <w:i w:val="0"/>
        </w:rPr>
        <w:t>3.2 持续学习内部：类增量与域增量</w:t>
      </w:r>
      <w:bookmarkEnd w:id="7"/>
    </w:p>
    <w:p>
      <w:pPr/>
      <w:r>
        <w:rPr>
          <w:b w:val="0"/>
          <w:i w:val="0"/>
        </w:rPr>
        <w:t>类增量/域增量按学习内容和标签空间变化区分；在线/离线按数据访问与更新方式区分；有无任务边界、任务 ID 和语义标签又是额外维度，不能互相替代。依据为 LIT-001 表 1、2（p.3～4）、LIT-005 §2.2（p.2～3）、LIT-006 §2.2/§3.2（p.4～5）。</w:t>
      </w:r>
    </w:p>
    <w:tbl>
      <w:tblPr>
        <w:tblLook w:firstColumn="1" w:firstRow="1" w:lastColumn="0" w:lastRow="0" w:noHBand="0" w:noVBand="1" w:val="04A0"/>
        <w:tblW w:w="13958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2792"/>
        <w:gridCol w:w="5025"/>
        <w:gridCol w:w="6141"/>
      </w:tblGrid>
      <w:tr>
        <w:trPr>
          <w:cantSplit/>
          <w:tblHeader/>
        </w:trPr>
        <w:tc>
          <w:tcPr>
            <w:tcW w:type="dxa" w:w="2792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比较项</w:t>
            </w:r>
          </w:p>
        </w:tc>
        <w:tc>
          <w:tcPr>
            <w:tcW w:type="dxa" w:w="5025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类增量持续学习 CIL / 类增量分割</w:t>
            </w:r>
          </w:p>
        </w:tc>
        <w:tc>
          <w:tcPr>
            <w:tcW w:type="dxa" w:w="6141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域增量持续学习 DIL / 域增量分割</w:t>
            </w:r>
          </w:p>
        </w:tc>
      </w:tr>
      <w:tr>
        <w:trPr>
          <w:cantSplit/>
        </w:trPr>
        <w:tc>
          <w:tcPr>
            <w:tcW w:type="dxa" w:w="279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变化内容</w:t>
            </w:r>
          </w:p>
        </w:tc>
        <w:tc>
          <w:tcPr>
            <w:tcW w:type="dxa" w:w="502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随阶段加入此前未学习的语义类别，累积可识别类别集合扩大</w:t>
            </w:r>
          </w:p>
        </w:tc>
        <w:tc>
          <w:tcPr>
            <w:tcW w:type="dxa" w:w="614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语义类别集合保持一致，输入条件/数据分布变化；类别频率仍可改变</w:t>
            </w:r>
          </w:p>
        </w:tc>
      </w:tr>
      <w:tr>
        <w:trPr>
          <w:cantSplit/>
        </w:trPr>
        <w:tc>
          <w:tcPr>
            <w:tcW w:type="dxa" w:w="279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道路分割示例</w:t>
            </w:r>
          </w:p>
        </w:tc>
        <w:tc>
          <w:tcPr>
            <w:tcW w:type="dxa" w:w="502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先学习道路、车辆，后增加行人等语义类别</w:t>
            </w:r>
          </w:p>
        </w:tc>
        <w:tc>
          <w:tcPr>
            <w:tcW w:type="dxa" w:w="614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始终预测同一组道路语义类别，依次学习常规白天、雨雾、夜间等条件</w:t>
            </w:r>
          </w:p>
        </w:tc>
      </w:tr>
      <w:tr>
        <w:trPr>
          <w:cantSplit/>
        </w:trPr>
        <w:tc>
          <w:tcPr>
            <w:tcW w:type="dxa" w:w="279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主要权衡</w:t>
            </w:r>
          </w:p>
        </w:tc>
        <w:tc>
          <w:tcPr>
            <w:tcW w:type="dxa" w:w="502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新类别学习与旧类别保持；常见协议不在测试时提供任务 ID，需识别累积类别</w:t>
            </w:r>
          </w:p>
        </w:tc>
        <w:tc>
          <w:tcPr>
            <w:tcW w:type="dxa" w:w="614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新条件适应与旧条件下同类语义的保持；是否提供域 ID/边界须另外核查</w:t>
            </w:r>
          </w:p>
        </w:tc>
      </w:tr>
      <w:tr>
        <w:trPr>
          <w:cantSplit/>
        </w:trPr>
        <w:tc>
          <w:tcPr>
            <w:tcW w:type="dxa" w:w="279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分割特有问题</w:t>
            </w:r>
          </w:p>
        </w:tc>
        <w:tc>
          <w:tcPr>
            <w:tcW w:type="dxa" w:w="502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只标当前类时，旧/未来类可能并入背景，产生背景语义漂移</w:t>
            </w:r>
          </w:p>
        </w:tc>
        <w:tc>
          <w:tcPr>
            <w:tcW w:type="dxa" w:w="614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天气/光照导致外观与可见度变化、特征/统计漂移；完整固定类别标注下，不必然存在同一种背景标签漂移</w:t>
            </w:r>
          </w:p>
        </w:tc>
      </w:tr>
      <w:tr>
        <w:trPr>
          <w:cantSplit/>
        </w:trPr>
        <w:tc>
          <w:tcPr>
            <w:tcW w:type="dxa" w:w="279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对应评价</w:t>
            </w:r>
          </w:p>
        </w:tc>
        <w:tc>
          <w:tcPr>
            <w:tcW w:type="dxa" w:w="502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旧类、新类、所有已学类 mIoU，并结合过程与遗忘</w:t>
            </w:r>
          </w:p>
        </w:tc>
        <w:tc>
          <w:tcPr>
            <w:tcW w:type="dxa" w:w="614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旧天气/域、新天气/域和总体 mIoU，并结合过程与遗忘；同一语义类可出现在各域中</w:t>
            </w:r>
          </w:p>
        </w:tc>
      </w:tr>
      <w:tr>
        <w:trPr>
          <w:cantSplit/>
        </w:trPr>
        <w:tc>
          <w:tcPr>
            <w:tcW w:type="dxa" w:w="279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与当前草稿的关系</w:t>
            </w:r>
          </w:p>
        </w:tc>
        <w:tc>
          <w:tcPr>
            <w:tcW w:type="dxa" w:w="502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用于了解分割机制，不能直接以 VOC 15-1 等新类协议作为天气流实验</w:t>
            </w:r>
          </w:p>
        </w:tc>
        <w:tc>
          <w:tcPr>
            <w:tcW w:type="dxa" w:w="614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本课题当前的主要分析方向；天气分组用于评估，不作为训练域标签或任务切换提示</w:t>
            </w:r>
          </w:p>
        </w:tc>
      </w:tr>
    </w:tbl>
    <w:p>
      <w:pPr>
        <w:spacing w:after="60" w:before="0" w:line="60" w:lineRule="exact"/>
      </w:pPr>
      <w:r>
        <w:rPr>
          <w:sz w:val="2"/>
        </w:rPr>
      </w:r>
    </w:p>
    <w:p>
      <w:pPr/>
      <w:r>
        <w:rPr>
          <w:b w:val="0"/>
          <w:i w:val="0"/>
        </w:rPr>
        <w:t>雨、雾、雪、夜间在当前分割任务中是</w:t>
      </w:r>
      <w:r>
        <w:rPr>
          <w:b/>
          <w:i w:val="0"/>
        </w:rPr>
        <w:t>条件/域分组</w:t>
      </w:r>
      <w:r>
        <w:rPr>
          <w:b w:val="0"/>
          <w:i w:val="0"/>
        </w:rPr>
        <w:t>，不是新增的像素语义类别。“按天气分组”与“按道路、车辆、行人等语义类别分组”是两种不同分析。若将来同时引入新语义类别和新条件，应单列为类与域混合增量；不能继续把纯 DIL 或纯 CIL 的结论直接沿用。</w:t>
      </w:r>
    </w:p>
    <w:p>
      <w:pPr>
        <w:pStyle w:val="Heading2"/>
      </w:pPr>
      <w:bookmarkStart w:id="8" w:name="sec_75d2414662d273ea"/>
      <w:r>
        <w:rPr>
          <w:b w:val="0"/>
          <w:i w:val="0"/>
        </w:rPr>
        <w:t>3.3 六篇文献的协议与证据归属</w:t>
      </w:r>
      <w:bookmarkEnd w:id="8"/>
    </w:p>
    <w:tbl>
      <w:tblPr>
        <w:tblLook w:firstColumn="1" w:firstRow="1" w:lastColumn="0" w:lastRow="0" w:noHBand="0" w:noVBand="1" w:val="04A0"/>
        <w:tblW w:w="13958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2094"/>
        <w:gridCol w:w="3629"/>
        <w:gridCol w:w="2094"/>
        <w:gridCol w:w="2931"/>
        <w:gridCol w:w="3210"/>
      </w:tblGrid>
      <w:tr>
        <w:trPr>
          <w:cantSplit/>
          <w:tblHeader/>
        </w:trPr>
        <w:tc>
          <w:tcPr>
            <w:tcW w:type="dxa" w:w="2094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设定</w:t>
            </w:r>
          </w:p>
        </w:tc>
        <w:tc>
          <w:tcPr>
            <w:tcW w:type="dxa" w:w="3629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学习时可访问的数据与监督</w:t>
            </w:r>
          </w:p>
        </w:tc>
        <w:tc>
          <w:tcPr>
            <w:tcW w:type="dxa" w:w="2094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是否要求按流更新</w:t>
            </w:r>
          </w:p>
        </w:tc>
        <w:tc>
          <w:tcPr>
            <w:tcW w:type="dxa" w:w="2931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核心评估问题</w:t>
            </w:r>
          </w:p>
        </w:tc>
        <w:tc>
          <w:tcPr>
            <w:tcW w:type="dxa" w:w="3210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与当前草稿的关系</w:t>
            </w:r>
          </w:p>
        </w:tc>
      </w:tr>
      <w:tr>
        <w:trPr>
          <w:cantSplit/>
        </w:trPr>
        <w:tc>
          <w:tcPr>
            <w:tcW w:type="dxa" w:w="20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静态 DG（LIT-003/004 主线）</w:t>
            </w:r>
          </w:p>
        </w:tc>
        <w:tc>
          <w:tcPr>
            <w:tcW w:type="dxa" w:w="362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标注源域；严格设定不利用实际目标域训练；额外数据另报</w:t>
            </w:r>
          </w:p>
        </w:tc>
        <w:tc>
          <w:tcPr>
            <w:tcW w:type="dxa" w:w="20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通常不要求</w:t>
            </w:r>
          </w:p>
        </w:tc>
        <w:tc>
          <w:tcPr>
            <w:tcW w:type="dxa" w:w="293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未见域能否直接分割</w:t>
            </w:r>
          </w:p>
        </w:tc>
        <w:tc>
          <w:tcPr>
            <w:tcW w:type="dxa" w:w="3210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适合未见天气泛化/初始化参考，不能替代遗忘实验</w:t>
            </w:r>
          </w:p>
        </w:tc>
      </w:tr>
      <w:tr>
        <w:trPr>
          <w:cantSplit/>
        </w:trPr>
        <w:tc>
          <w:tcPr>
            <w:tcW w:type="dxa" w:w="20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DA（DG 综述的相关方向）</w:t>
            </w:r>
          </w:p>
        </w:tc>
        <w:tc>
          <w:tcPr>
            <w:tcW w:type="dxa" w:w="362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利用目标域数据适配；其中 UDA 无目标标签，具体权限依论文</w:t>
            </w:r>
          </w:p>
        </w:tc>
        <w:tc>
          <w:tcPr>
            <w:tcW w:type="dxa" w:w="20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不必然</w:t>
            </w:r>
          </w:p>
        </w:tc>
        <w:tc>
          <w:tcPr>
            <w:tcW w:type="dxa" w:w="293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目标域能否适应</w:t>
            </w:r>
          </w:p>
        </w:tc>
        <w:tc>
          <w:tcPr>
            <w:tcW w:type="dxa" w:w="3210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草稿具有当前像素标签，不能直接称 UDA；是否持续保持旧域另需检验</w:t>
            </w:r>
          </w:p>
        </w:tc>
      </w:tr>
      <w:tr>
        <w:trPr>
          <w:cantSplit/>
        </w:trPr>
        <w:tc>
          <w:tcPr>
            <w:tcW w:type="dxa" w:w="20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在线分类 OCI/ODI（LIT-001）</w:t>
            </w:r>
          </w:p>
        </w:tc>
        <w:tc>
          <w:tcPr>
            <w:tcW w:type="dxa" w:w="362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当前有标注批次与有限记忆；原流单遍，记忆可重复用</w:t>
            </w:r>
          </w:p>
        </w:tc>
        <w:tc>
          <w:tcPr>
            <w:tcW w:type="dxa" w:w="20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是</w:t>
            </w:r>
          </w:p>
        </w:tc>
        <w:tc>
          <w:tcPr>
            <w:tcW w:type="dxa" w:w="293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类别/域变化下的分类、遗忘、迁移与时间</w:t>
            </w:r>
          </w:p>
        </w:tc>
        <w:tc>
          <w:tcPr>
            <w:tcW w:type="dxa" w:w="3210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访问约束最有借鉴性，任务和分辨率不同</w:t>
            </w:r>
          </w:p>
        </w:tc>
      </w:tr>
      <w:tr>
        <w:trPr>
          <w:cantSplit/>
        </w:trPr>
        <w:tc>
          <w:tcPr>
            <w:tcW w:type="dxa" w:w="20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类增量 CSS（LIT-006 主体，LIT-005 §6.2）</w:t>
            </w:r>
          </w:p>
        </w:tc>
        <w:tc>
          <w:tcPr>
            <w:tcW w:type="dxa" w:w="362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当前类别标签；旧/未来类常并入背景；回放权限依方法</w:t>
            </w:r>
          </w:p>
        </w:tc>
        <w:tc>
          <w:tcPr>
            <w:tcW w:type="dxa" w:w="20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分阶段增量；不必单遍/无边界</w:t>
            </w:r>
          </w:p>
        </w:tc>
        <w:tc>
          <w:tcPr>
            <w:tcW w:type="dxa" w:w="293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新类学习、旧类保持及背景漂移</w:t>
            </w:r>
          </w:p>
        </w:tc>
        <w:tc>
          <w:tcPr>
            <w:tcW w:type="dxa" w:w="3210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固定类别天气流没有同样的标签扩张问题</w:t>
            </w:r>
          </w:p>
        </w:tc>
      </w:tr>
      <w:tr>
        <w:trPr>
          <w:cantSplit/>
        </w:trPr>
        <w:tc>
          <w:tcPr>
            <w:tcW w:type="dxa" w:w="20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域增量 CSS（LIT-006 分支）</w:t>
            </w:r>
          </w:p>
        </w:tc>
        <w:tc>
          <w:tcPr>
            <w:tcW w:type="dxa" w:w="362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类别通常一致；监督、任务标签和缓存权限依原文</w:t>
            </w:r>
          </w:p>
        </w:tc>
        <w:tc>
          <w:tcPr>
            <w:tcW w:type="dxa" w:w="20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增量更新，但是否在线需确认</w:t>
            </w:r>
          </w:p>
        </w:tc>
        <w:tc>
          <w:tcPr>
            <w:tcW w:type="dxa" w:w="293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同时保持旧域并适应新域</w:t>
            </w:r>
          </w:p>
        </w:tc>
        <w:tc>
          <w:tcPr>
            <w:tcW w:type="dxa" w:w="3210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与草稿最接近，仍需核查无切换提示等细节</w:t>
            </w:r>
          </w:p>
        </w:tc>
      </w:tr>
      <w:tr>
        <w:trPr>
          <w:cantSplit/>
        </w:trPr>
        <w:tc>
          <w:tcPr>
            <w:tcW w:type="dxa" w:w="20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天气道路感知（LIT-002）</w:t>
            </w:r>
          </w:p>
        </w:tc>
        <w:tc>
          <w:tcPr>
            <w:tcW w:type="dxa" w:w="362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多种任务与真实/合成数据，没有统一监督协议</w:t>
            </w:r>
          </w:p>
        </w:tc>
        <w:tc>
          <w:tcPr>
            <w:tcW w:type="dxa" w:w="20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不作统一要求</w:t>
            </w:r>
          </w:p>
        </w:tc>
        <w:tc>
          <w:tcPr>
            <w:tcW w:type="dxa" w:w="293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退化天气感知、数据覆盖和时延</w:t>
            </w:r>
          </w:p>
        </w:tc>
        <w:tc>
          <w:tcPr>
            <w:tcW w:type="dxa" w:w="3210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提供应用约束，不能直接用来定义 CL 协议</w:t>
            </w:r>
          </w:p>
        </w:tc>
      </w:tr>
    </w:tbl>
    <w:p>
      <w:pPr>
        <w:spacing w:after="60" w:before="0" w:line="60" w:lineRule="exact"/>
      </w:pPr>
      <w:r>
        <w:rPr>
          <w:sz w:val="2"/>
        </w:rPr>
      </w:r>
    </w:p>
    <w:p>
      <w:pPr/>
      <w:r>
        <w:rPr>
          <w:b/>
          <w:i w:val="0"/>
        </w:rPr>
        <w:t>跨文献术语冲突</w:t>
      </w:r>
      <w:r>
        <w:rPr>
          <w:b w:val="0"/>
          <w:i w:val="0"/>
        </w:rPr>
        <w:t>：LIT-005 §2/表 1 的 TFCL/OCL 以分类和不相交类别为中心，OCL 表还限定单样本批次；LIT-001 则明确含小批次、固定类别的 ODI。因此“online”“task-free”应拆成以下可核查属性：标签是否可用、类别是否变、每批如何到达、是否暴露边界、历史数据如何访问、每批更新次数以及推理需要什么信息。</w:t>
      </w:r>
    </w:p>
    <w:p>
      <w:pPr/>
      <w:r>
        <w:rPr>
          <w:b w:val="0"/>
          <w:i w:val="0"/>
        </w:rPr>
        <w:t>这里“无天气标签”指训练不使用天气域身份，不表示没有像素语义标注；“域增量”指类别集合保持一致，不表示像素类别频率不变；“data-free”也不能自动推为不使用当前数据或预训练模型。</w:t>
      </w:r>
    </w:p>
    <w:p>
      <w:pPr/>
      <w:r>
        <w:rPr>
          <w:b/>
          <w:i w:val="0"/>
        </w:rPr>
        <w:t>证据使用规则</w:t>
      </w:r>
      <w:r>
        <w:rPr>
          <w:b w:val="0"/>
          <w:i w:val="0"/>
        </w:rPr>
        <w:t>：LIT-001 的 OCI 与 ODI 结果分开读；LIT-005 的通用机制与类增量分割例子分开读；LIT-006 的类增量主表与域增量线索分开读；LIT-003/004 提供 DG 背景和组件，不能充作已验证的 DIL 方法；LIT-002 提供天气应用背景，缺少明确协议的例子不强行标为 CIL/DIL。每份逐篇报告均补充“研究设定归类与结论适用范围”。</w:t>
      </w:r>
    </w:p>
    <w:p>
      <w:pPr>
        <w:pStyle w:val="Heading1"/>
      </w:pPr>
      <w:bookmarkStart w:id="9" w:name="sec_cd6eb1084d7f6441"/>
      <w:r>
        <w:rPr>
          <w:b w:val="0"/>
          <w:i w:val="0"/>
        </w:rPr>
        <w:t>4. 方法层面的交集、成本与适用边界</w:t>
      </w:r>
      <w:bookmarkEnd w:id="9"/>
    </w:p>
    <w:tbl>
      <w:tblPr>
        <w:tblLook w:firstColumn="1" w:firstRow="1" w:lastColumn="0" w:lastRow="0" w:noHBand="0" w:noVBand="1" w:val="04A0"/>
        <w:tblW w:w="13958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3071"/>
        <w:gridCol w:w="3071"/>
        <w:gridCol w:w="3769"/>
        <w:gridCol w:w="4047"/>
      </w:tblGrid>
      <w:tr>
        <w:trPr>
          <w:cantSplit/>
          <w:tblHeader/>
        </w:trPr>
        <w:tc>
          <w:tcPr>
            <w:tcW w:type="dxa" w:w="3071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机制</w:t>
            </w:r>
          </w:p>
        </w:tc>
        <w:tc>
          <w:tcPr>
            <w:tcW w:type="dxa" w:w="3071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六篇中的连接</w:t>
            </w:r>
          </w:p>
        </w:tc>
        <w:tc>
          <w:tcPr>
            <w:tcW w:type="dxa" w:w="3769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可能帮助什么（研究推断）</w:t>
            </w:r>
          </w:p>
        </w:tc>
        <w:tc>
          <w:tcPr>
            <w:tcW w:type="dxa" w:w="4047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需要付出的成本/必须核查的问题</w:t>
            </w:r>
          </w:p>
        </w:tc>
      </w:tr>
      <w:tr>
        <w:trPr>
          <w:cantSplit/>
        </w:trPr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经验回放</w:t>
            </w:r>
          </w:p>
        </w:tc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LIT-001 的 ER/MIR/GSS；LIT-005 的经验回放；LIT-006 的样例/特征记忆</w:t>
            </w:r>
          </w:p>
        </w:tc>
        <w:tc>
          <w:tcPr>
            <w:tcW w:type="dxa" w:w="376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让更新直接看到部分旧分布，可作低复杂度参照</w:t>
            </w:r>
          </w:p>
        </w:tc>
        <w:tc>
          <w:tcPr>
            <w:tcW w:type="dxa" w:w="404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图像加掩码/特征的真实字节；检索、评分与回放更新成本；是否偷偷按天气分配缓存</w:t>
            </w:r>
          </w:p>
        </w:tc>
      </w:tr>
      <w:tr>
        <w:trPr>
          <w:cantSplit/>
        </w:trPr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蒸馏与正则</w:t>
            </w:r>
          </w:p>
        </w:tc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三篇 CL/CSS 综述共同覆盖；DG 也有预训练特征约束</w:t>
            </w:r>
          </w:p>
        </w:tc>
        <w:tc>
          <w:tcPr>
            <w:tcW w:type="dxa" w:w="376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限制模型功能漂移</w:t>
            </w:r>
          </w:p>
        </w:tc>
        <w:tc>
          <w:tcPr>
            <w:tcW w:type="dxa" w:w="404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教师副本和前向成本；当前天气不覆盖旧天气时信号是否可靠；约束过强能否学新域</w:t>
            </w:r>
          </w:p>
        </w:tc>
      </w:tr>
      <w:tr>
        <w:trPr>
          <w:cantSplit/>
        </w:trPr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归一化/特征统计</w:t>
            </w:r>
          </w:p>
        </w:tc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LIT-004 的 IN/IW/ISW；LIT-005 的 BN 偏移；LIT-006 的 BN 适应线索</w:t>
            </w:r>
          </w:p>
        </w:tc>
        <w:tc>
          <w:tcPr>
            <w:tcW w:type="dxa" w:w="376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分析域敏感统计与遗忘来源</w:t>
            </w:r>
          </w:p>
        </w:tc>
        <w:tc>
          <w:tcPr>
            <w:tcW w:type="dxa" w:w="404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测试时是否更新统计；统计状态是否属于模型记忆；是否隐含域路由或边界</w:t>
            </w:r>
          </w:p>
        </w:tc>
      </w:tr>
      <w:tr>
        <w:trPr>
          <w:cantSplit/>
        </w:trPr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风格、频域和天气增强</w:t>
            </w:r>
          </w:p>
        </w:tc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LIT-003/004 的随机化；LIT-002 的合成天气</w:t>
            </w:r>
          </w:p>
        </w:tc>
        <w:tc>
          <w:tcPr>
            <w:tcW w:type="dxa" w:w="376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拓宽训练分布，可能降低后续适应负担</w:t>
            </w:r>
          </w:p>
        </w:tc>
        <w:tc>
          <w:tcPr>
            <w:tcW w:type="dxa" w:w="404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语义/掩码一致性；增强是否抹去小物体；额外计算与数据来源</w:t>
            </w:r>
          </w:p>
        </w:tc>
      </w:tr>
      <w:tr>
        <w:trPr>
          <w:cantSplit/>
        </w:trPr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特征/原型与对比约束</w:t>
            </w:r>
          </w:p>
        </w:tc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LIT-005 的表征与回放；LIT-006 的分割对比；LIT-004 的原型/风格库</w:t>
            </w:r>
          </w:p>
        </w:tc>
        <w:tc>
          <w:tcPr>
            <w:tcW w:type="dxa" w:w="376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减少表示漂移或减少图像保存需求</w:t>
            </w:r>
          </w:p>
        </w:tc>
        <w:tc>
          <w:tcPr>
            <w:tcW w:type="dxa" w:w="404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表征随网络更新会否过时；空间特征存储可能并不小；是否需要类别/域均衡采样</w:t>
            </w:r>
          </w:p>
        </w:tc>
      </w:tr>
      <w:tr>
        <w:trPr>
          <w:cantSplit/>
        </w:trPr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基础模型、提示/适配器</w:t>
            </w:r>
          </w:p>
        </w:tc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LIT-004 的基础模型 DG；LIT-005/006 的预训练路线</w:t>
            </w:r>
          </w:p>
        </w:tc>
        <w:tc>
          <w:tcPr>
            <w:tcW w:type="dxa" w:w="376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利用已有表征并控制更新范围</w:t>
            </w:r>
          </w:p>
        </w:tc>
        <w:tc>
          <w:tcPr>
            <w:tcW w:type="dxa" w:w="404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骨干/预训练混杂；额外模型、显存和推理成本；固定特征能否适应新天气</w:t>
            </w:r>
          </w:p>
        </w:tc>
      </w:tr>
      <w:tr>
        <w:trPr>
          <w:cantSplit/>
        </w:trPr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动态结构/专家</w:t>
            </w:r>
          </w:p>
        </w:tc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LIT-001 CN-DPM；LIT-005/006 架构方法</w:t>
            </w:r>
          </w:p>
        </w:tc>
        <w:tc>
          <w:tcPr>
            <w:tcW w:type="dxa" w:w="376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在参数空间减少新旧知识干扰</w:t>
            </w:r>
          </w:p>
        </w:tc>
        <w:tc>
          <w:tcPr>
            <w:tcW w:type="dxa" w:w="404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长期结构增长、路由错误；是否依赖训练/测试域 ID</w:t>
            </w:r>
          </w:p>
        </w:tc>
      </w:tr>
      <w:tr>
        <w:trPr>
          <w:cantSplit/>
        </w:trPr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生成数据/生成回放</w:t>
            </w:r>
          </w:p>
        </w:tc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天气/DG 综述中的扩增，与 CL/CSS 的旧知识回放</w:t>
            </w:r>
          </w:p>
        </w:tc>
        <w:tc>
          <w:tcPr>
            <w:tcW w:type="dxa" w:w="376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前者拓宽天气，后者近似恢复旧分布，作用不同</w:t>
            </w:r>
          </w:p>
        </w:tc>
        <w:tc>
          <w:tcPr>
            <w:tcW w:type="dxa" w:w="404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生成器、语义标注和额外数据成本；不能把两种目的混为同一机制</w:t>
            </w:r>
          </w:p>
        </w:tc>
      </w:tr>
    </w:tbl>
    <w:p>
      <w:pPr>
        <w:spacing w:after="60" w:before="0" w:line="60" w:lineRule="exact"/>
      </w:pPr>
      <w:r>
        <w:rPr>
          <w:sz w:val="2"/>
        </w:rPr>
      </w:r>
    </w:p>
    <w:p>
      <w:pPr/>
      <w:r>
        <w:rPr>
          <w:b w:val="0"/>
          <w:i w:val="0"/>
        </w:rPr>
        <w:t>同一个“记忆库”也可能保存源域风格或类别原型，而非时间上的旧天气经验。对比前需要记录它保存什么、何时更新、什么时候读取，以及其容量如何计量。</w:t>
      </w:r>
    </w:p>
    <w:p>
      <w:pPr>
        <w:pStyle w:val="Heading1"/>
      </w:pPr>
      <w:bookmarkStart w:id="10" w:name="sec_c9a652060a5d7038"/>
      <w:r>
        <w:rPr>
          <w:b w:val="0"/>
          <w:i w:val="0"/>
        </w:rPr>
        <w:t>5. 证据对比与不能直接使用的内容</w:t>
      </w:r>
      <w:bookmarkEnd w:id="10"/>
    </w:p>
    <w:p>
      <w:pPr>
        <w:pStyle w:val="Heading2"/>
      </w:pPr>
      <w:bookmarkStart w:id="11" w:name="sec_e739d8382ea26fa9"/>
      <w:r>
        <w:rPr>
          <w:b w:val="0"/>
          <w:i w:val="0"/>
        </w:rPr>
        <w:t>5.1 可借鉴的实证范式</w:t>
      </w:r>
      <w:bookmarkEnd w:id="11"/>
    </w:p>
    <w:p>
      <w:pPr/>
      <w:r>
        <w:rPr>
          <w:b w:val="0"/>
          <w:i w:val="0"/>
        </w:rPr>
        <w:t>LIT-001 的优势是对齐分类骨干、数据流和基本配置后比较多种方法，并独立处理调参与运行时。它的 ODI 表 11（p.15）显示方法在不同增量条件下排序会变化，因此“在类增量分类有效”不是“在天气分割有效”的证据。</w:t>
      </w:r>
    </w:p>
    <w:p>
      <w:pPr/>
      <w:r>
        <w:rPr>
          <w:b w:val="0"/>
          <w:i w:val="0"/>
        </w:rPr>
        <w:t>LIT-006 的优势是将像素分割中的标签与背景问题、旧/新表现、顺序变化和增量曲线连接起来。但表 6～7 的数据来源和骨干不完全一致，需要拆出同配置子集才有助于方法归因。LIT-003/004 的 DG 性能表同样适合追溯候选，而不是替代统一实验。</w:t>
      </w:r>
    </w:p>
    <w:p>
      <w:pPr/>
      <w:r>
        <w:rPr>
          <w:b w:val="0"/>
          <w:i w:val="0"/>
        </w:rPr>
        <w:t>LIT-002 的性能区间和阈值尤其不能直接充当本课题目标：分类准确率、生成质量、分割重叠和机器人时延分别回答不同问题。</w:t>
      </w:r>
    </w:p>
    <w:p>
      <w:pPr>
        <w:pStyle w:val="Heading2"/>
      </w:pPr>
      <w:bookmarkStart w:id="12" w:name="sec_01715a5b9ce95f68"/>
      <w:r>
        <w:rPr>
          <w:b w:val="0"/>
          <w:i w:val="0"/>
        </w:rPr>
        <w:t>5.2 原文疑点清单</w:t>
      </w:r>
      <w:bookmarkEnd w:id="12"/>
    </w:p>
    <w:p>
      <w:pPr/>
      <w:r>
        <w:rPr>
          <w:b w:val="0"/>
          <w:i w:val="0"/>
        </w:rPr>
        <w:t>以下为本轮实际定位并核对的疑点；只指出可确认的不一致，不推测作者动机，也不擅自替原文修订结果。</w:t>
      </w:r>
    </w:p>
    <w:tbl>
      <w:tblPr>
        <w:tblLook w:firstColumn="1" w:firstRow="1" w:lastColumn="0" w:lastRow="0" w:noHBand="0" w:noVBand="1" w:val="04A0"/>
        <w:tblW w:w="13958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2792"/>
        <w:gridCol w:w="5025"/>
        <w:gridCol w:w="6141"/>
      </w:tblGrid>
      <w:tr>
        <w:trPr>
          <w:cantSplit/>
          <w:tblHeader/>
        </w:trPr>
        <w:tc>
          <w:tcPr>
            <w:tcW w:type="dxa" w:w="2792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来源</w:t>
            </w:r>
          </w:p>
        </w:tc>
        <w:tc>
          <w:tcPr>
            <w:tcW w:type="dxa" w:w="5025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发现</w:t>
            </w:r>
          </w:p>
        </w:tc>
        <w:tc>
          <w:tcPr>
            <w:tcW w:type="dxa" w:w="6141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对本研究的处理</w:t>
            </w:r>
          </w:p>
        </w:tc>
      </w:tr>
      <w:tr>
        <w:trPr>
          <w:cantSplit/>
        </w:trPr>
        <w:tc>
          <w:tcPr>
            <w:tcW w:type="dxa" w:w="279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LIT-002 p.20 表 6；p.19、26</w:t>
            </w:r>
          </w:p>
        </w:tc>
        <w:tc>
          <w:tcPr>
            <w:tcW w:type="dxa" w:w="502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表 6 给 FID 使用 dB 等混用；p.19 部分融合算法性能指向 [1]，而 [1] 为 WHO 报告</w:t>
            </w:r>
          </w:p>
        </w:tc>
        <w:tc>
          <w:tcPr>
            <w:tcW w:type="dxa" w:w="614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不摘录其效果数字作基线；回具体原始实验核验</w:t>
            </w:r>
          </w:p>
        </w:tc>
      </w:tr>
      <w:tr>
        <w:trPr>
          <w:cantSplit/>
        </w:trPr>
        <w:tc>
          <w:tcPr>
            <w:tcW w:type="dxa" w:w="279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LIT-003 p.14 正文/表 1</w:t>
            </w:r>
          </w:p>
        </w:tc>
        <w:tc>
          <w:tcPr>
            <w:tcW w:type="dxa" w:w="502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SYNTHIA 写为 9,400 与 200,000；同页恶劣条件数据写作 ADCD</w:t>
            </w:r>
          </w:p>
        </w:tc>
        <w:tc>
          <w:tcPr>
            <w:tcW w:type="dxa" w:w="614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下载前核实原始数据名称、子集和标注口径</w:t>
            </w:r>
          </w:p>
        </w:tc>
      </w:tr>
      <w:tr>
        <w:trPr>
          <w:cantSplit/>
        </w:trPr>
        <w:tc>
          <w:tcPr>
            <w:tcW w:type="dxa" w:w="279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LIT-003 p.15 §8.1</w:t>
            </w:r>
          </w:p>
        </w:tc>
        <w:tc>
          <w:tcPr>
            <w:tcW w:type="dxa" w:w="502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“尚无 Transformer DG 工作”的展望与其表格及 LIT-004 所覆盖材料不能直接兼容</w:t>
            </w:r>
          </w:p>
        </w:tc>
        <w:tc>
          <w:tcPr>
            <w:tcW w:type="dxa" w:w="614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仅当作该版本作者表述，不能宣称当前创新空白</w:t>
            </w:r>
          </w:p>
        </w:tc>
      </w:tr>
      <w:tr>
        <w:trPr>
          <w:cantSplit/>
        </w:trPr>
        <w:tc>
          <w:tcPr>
            <w:tcW w:type="dxa" w:w="279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LIT-004 p.8 表 1</w:t>
            </w:r>
          </w:p>
        </w:tc>
        <w:tc>
          <w:tcPr>
            <w:tcW w:type="dxa" w:w="502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MFuser 的 70.2/63.1/70.1 等权均值复算为 67.8，表列 71.3</w:t>
            </w:r>
          </w:p>
        </w:tc>
        <w:tc>
          <w:tcPr>
            <w:tcW w:type="dxa" w:w="614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标注表内不一致；复算不是正式更正分数，不据此排名</w:t>
            </w:r>
          </w:p>
        </w:tc>
      </w:tr>
      <w:tr>
        <w:trPr>
          <w:cantSplit/>
        </w:trPr>
        <w:tc>
          <w:tcPr>
            <w:tcW w:type="dxa" w:w="279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LIT-004 p.7 §5 对照 p.8 表 1</w:t>
            </w:r>
          </w:p>
        </w:tc>
        <w:tc>
          <w:tcPr>
            <w:tcW w:type="dxa" w:w="502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文中 MiT-B5 与 SYNTHIA 峰值叙述低于表中 DIDEX 相应条目</w:t>
            </w:r>
          </w:p>
        </w:tc>
        <w:tc>
          <w:tcPr>
            <w:tcW w:type="dxa" w:w="614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不引用其“最高”判断，需回原论文确认协议</w:t>
            </w:r>
          </w:p>
        </w:tc>
      </w:tr>
      <w:tr>
        <w:trPr>
          <w:cantSplit/>
        </w:trPr>
        <w:tc>
          <w:tcPr>
            <w:tcW w:type="dxa" w:w="279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LIT-006 p.13 表 8/§5.3.2</w:t>
            </w:r>
          </w:p>
        </w:tc>
        <w:tc>
          <w:tcPr>
            <w:tcW w:type="dxa" w:w="502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表题为类增量，正文却按域增量解释 Cityscapes 相同序列</w:t>
            </w:r>
          </w:p>
        </w:tc>
        <w:tc>
          <w:tcPr>
            <w:tcW w:type="dxa" w:w="614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不直接据此定义天气/城市域序列</w:t>
            </w:r>
          </w:p>
        </w:tc>
      </w:tr>
      <w:tr>
        <w:trPr>
          <w:cantSplit/>
        </w:trPr>
        <w:tc>
          <w:tcPr>
            <w:tcW w:type="dxa" w:w="279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LIT-006 p.10 式 (7)</w:t>
            </w:r>
          </w:p>
        </w:tc>
        <w:tc>
          <w:tcPr>
            <w:tcW w:type="dxa" w:w="502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 xml:space="preserve">原式 </w:t>
            </w:r>
            <w:r>
              <w:rPr>
                <w:b w:val="0"/>
                <w:i w:val="0"/>
              </w:rPr>
              <w:t>2TP/(TP+2FP+FN)</w:t>
            </w:r>
            <w:r>
              <w:rPr>
                <w:b w:val="0"/>
                <w:i w:val="0"/>
              </w:rPr>
              <w:t xml:space="preserve"> 在 FP=FN=0 时给出 2</w:t>
            </w:r>
          </w:p>
        </w:tc>
        <w:tc>
          <w:tcPr>
            <w:tcW w:type="dxa" w:w="614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不照搬；后续指标实现独立核对</w:t>
            </w:r>
          </w:p>
        </w:tc>
      </w:tr>
      <w:tr>
        <w:trPr>
          <w:cantSplit/>
        </w:trPr>
        <w:tc>
          <w:tcPr>
            <w:tcW w:type="dxa" w:w="279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LIT-001 p.3～4；LIT-005 p.3；LIT-006 p.10</w:t>
            </w:r>
          </w:p>
        </w:tc>
        <w:tc>
          <w:tcPr>
            <w:tcW w:type="dxa" w:w="502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forgetting/FWT/BWT 的参照、截断和时点不同</w:t>
            </w:r>
          </w:p>
        </w:tc>
        <w:tc>
          <w:tcPr>
            <w:tcW w:type="dxa" w:w="614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明确写公式与基础度量，禁止只按同名指标拼表</w:t>
            </w:r>
          </w:p>
        </w:tc>
      </w:tr>
    </w:tbl>
    <w:p>
      <w:pPr>
        <w:spacing w:after="60" w:before="0" w:line="60" w:lineRule="exact"/>
      </w:pPr>
      <w:r>
        <w:rPr>
          <w:sz w:val="2"/>
        </w:rPr>
      </w:r>
    </w:p>
    <w:p>
      <w:pPr>
        <w:pStyle w:val="Heading1"/>
      </w:pPr>
      <w:bookmarkStart w:id="13" w:name="sec_80b5ab061925811b"/>
      <w:r>
        <w:rPr>
          <w:b w:val="0"/>
          <w:i w:val="0"/>
        </w:rPr>
        <w:t>6. 对当前草稿的评价建议</w:t>
      </w:r>
      <w:bookmarkEnd w:id="13"/>
    </w:p>
    <w:p>
      <w:pPr/>
      <w:r>
        <w:rPr>
          <w:b w:val="0"/>
          <w:i w:val="0"/>
        </w:rPr>
        <w:t>以下是</w:t>
      </w:r>
      <w:r>
        <w:rPr>
          <w:b/>
          <w:i w:val="0"/>
        </w:rPr>
        <w:t>研究建议</w:t>
      </w:r>
      <w:r>
        <w:rPr>
          <w:b w:val="0"/>
          <w:i w:val="0"/>
        </w:rPr>
        <w:t>，不是已经采纳或运行的实验协议。主要依据 LIT-001 §3/§7、LIT-005 §2.3、LIT-006 §5，再结合任务书草稿推导。</w:t>
      </w:r>
    </w:p>
    <w:p>
      <w:pPr>
        <w:pStyle w:val="Heading2"/>
      </w:pPr>
      <w:bookmarkStart w:id="14" w:name="sec_7b9101bf5a7ac1ec"/>
      <w:r>
        <w:rPr>
          <w:b w:val="0"/>
          <w:i w:val="0"/>
        </w:rPr>
        <w:t>6.1 用逐时段的分组性能回答适应与遗忘</w:t>
      </w:r>
      <w:bookmarkEnd w:id="14"/>
    </w:p>
    <w:p>
      <w:pPr/>
      <w:r>
        <w:rPr>
          <w:b w:val="0"/>
          <w:i w:val="0"/>
        </w:rPr>
        <w:t xml:space="preserve">定义 </w:t>
      </w:r>
      <w:r>
        <w:rPr>
          <w:b w:val="0"/>
          <w:i w:val="0"/>
        </w:rPr>
        <w:t>R[t,g]</w:t>
      </w:r>
      <w:r>
        <w:rPr>
          <w:b w:val="0"/>
          <w:i w:val="0"/>
        </w:rPr>
        <w:t xml:space="preserve"> 为第 t 个评估时点模型在固定天气组 g 的独立测试集上的 mIoU。天气身份可供离线分组评估，但不送入训练、缓存选择或分支路由。评估集不能参与更新和调参。</w:t>
      </w:r>
    </w:p>
    <w:p>
      <w:pPr>
        <w:pStyle w:val="ListBody"/>
        <w:numPr>
          <w:ilvl w:val="0"/>
          <w:numId w:val="10"/>
        </w:numPr>
      </w:pPr>
      <w:r>
        <w:rPr>
          <w:b w:val="0"/>
          <w:i w:val="0"/>
        </w:rPr>
        <w:t>适应：报告当前到达条件的性能变化与整个学习过程，而不仅看最后一次。</w:t>
      </w:r>
    </w:p>
    <w:p>
      <w:pPr>
        <w:pStyle w:val="ListBody"/>
        <w:numPr>
          <w:ilvl w:val="0"/>
          <w:numId w:val="10"/>
        </w:numPr>
      </w:pPr>
      <w:r>
        <w:rPr>
          <w:b w:val="0"/>
          <w:i w:val="0"/>
        </w:rPr>
        <w:t>保留：报告旧条件当前表现及相对历史最佳表现的变化；不能以最后的低遗忘掩盖从未学会。</w:t>
      </w:r>
    </w:p>
    <w:p>
      <w:pPr>
        <w:pStyle w:val="ListBody"/>
        <w:numPr>
          <w:ilvl w:val="0"/>
          <w:numId w:val="10"/>
        </w:numPr>
      </w:pPr>
      <w:r>
        <w:rPr>
          <w:b w:val="0"/>
          <w:i w:val="0"/>
        </w:rPr>
        <w:t>泛化：若另设从未进入训练的天气/区域，应单列为未见域评估，不能与已学习旧域混用。</w:t>
      </w:r>
    </w:p>
    <w:p>
      <w:pPr>
        <w:pStyle w:val="ListBody"/>
        <w:numPr>
          <w:ilvl w:val="0"/>
          <w:numId w:val="10"/>
        </w:numPr>
      </w:pPr>
      <w:r>
        <w:rPr>
          <w:b w:val="0"/>
          <w:i w:val="0"/>
        </w:rPr>
        <w:t>资源：同时记录模型、教师、缓存实际字节、峰值显存、更新步数和耗时；推理时延与训练更新时间分开。</w:t>
      </w:r>
    </w:p>
    <w:p>
      <w:pPr/>
      <w:r>
        <w:rPr>
          <w:b w:val="0"/>
          <w:i w:val="0"/>
        </w:rPr>
        <w:t xml:space="preserve">例如，可在旧组集合 </w:t>
      </w:r>
      <w:r>
        <w:rPr>
          <w:b w:val="0"/>
          <w:i w:val="0"/>
        </w:rPr>
        <w:t>G_old(t)</w:t>
      </w:r>
      <w:r>
        <w:rPr>
          <w:b w:val="0"/>
          <w:i w:val="0"/>
        </w:rPr>
        <w:t xml:space="preserve"> 上定义：</w:t>
      </w:r>
    </w:p>
    <w:p>
      <w:pPr/>
      <w:r>
        <w:rPr>
          <w:b w:val="0"/>
          <w:i w:val="0"/>
        </w:rPr>
        <w:t>F(t) = mean_g [ max_{s ∈ H(g,t)} R[s,g] - R[t,g] ]</w:t>
      </w:r>
      <w:r>
        <w:rPr>
          <w:b w:val="0"/>
          <w:i w:val="0"/>
        </w:rPr>
        <w:t>。</w:t>
      </w:r>
    </w:p>
    <w:p>
      <w:pPr/>
      <w:r>
        <w:rPr>
          <w:b w:val="0"/>
          <w:i w:val="0"/>
        </w:rPr>
        <w:t xml:space="preserve">其中 </w:t>
      </w:r>
      <w:r>
        <w:rPr>
          <w:b w:val="0"/>
          <w:i w:val="0"/>
        </w:rPr>
        <w:t>H(g,t)</w:t>
      </w:r>
      <w:r>
        <w:rPr>
          <w:b w:val="0"/>
          <w:i w:val="0"/>
        </w:rPr>
        <w:t xml:space="preserve"> 仅含组 g 首次完成学习后、早于 t 的合法历史评估时点；没有旧组时不计算。是否允许负值、是否截断，以及重复天气到来如何界定旧组，都须事前约定。本式是为后续协议讨论整理的候选定义，不声称与六篇所有 forgetting 指标相同。</w:t>
      </w:r>
    </w:p>
    <w:p>
      <w:pPr/>
      <w:r>
        <w:rPr>
          <w:b w:val="0"/>
          <w:i w:val="0"/>
        </w:rPr>
        <w:t>应分别报告分组 mIoU 的宏平均和全测试集按混淆矩阵汇总的总体 mIoU；两者一般不相等。还需固定类别映射、ignore 像素、缺失类处理与有效评估类别。本文不指定具体类别数或数值目标。</w:t>
      </w:r>
    </w:p>
    <w:p>
      <w:pPr>
        <w:pStyle w:val="Heading2"/>
      </w:pPr>
      <w:bookmarkStart w:id="15" w:name="sec_f3b0459d38a3f0b0"/>
      <w:r>
        <w:rPr>
          <w:b w:val="0"/>
          <w:i w:val="0"/>
        </w:rPr>
        <w:t>6.2 公平比较需要固定的条件</w:t>
      </w:r>
      <w:bookmarkEnd w:id="15"/>
    </w:p>
    <w:p>
      <w:pPr/>
      <w:r>
        <w:rPr>
          <w:b w:val="0"/>
          <w:i w:val="0"/>
        </w:rPr>
        <w:t>建议后续以顺序微调和简单 ER 为低复杂度</w:t>
      </w:r>
      <w:r>
        <w:rPr>
          <w:b/>
          <w:i w:val="0"/>
        </w:rPr>
        <w:t>候选参照</w:t>
      </w:r>
      <w:r>
        <w:rPr>
          <w:b w:val="0"/>
          <w:i w:val="0"/>
        </w:rPr>
        <w:t>，再考察一个与实际失效有关的机制。该建议延续草稿，并由 LIT-001 的受控比较和 LIT-006 的 CSS 线索支持，不代表已选复现方案。</w:t>
      </w:r>
    </w:p>
    <w:p>
      <w:pPr/>
      <w:r>
        <w:rPr>
          <w:b w:val="0"/>
          <w:i w:val="0"/>
        </w:rPr>
        <w:t>比较时至少固定：骨干与预训练、初始训练集、数据划分、流顺序和标注权限、当前批次大小、缓存总字节、回放比例、更新预算及独立调参资源。若机制引入虚拟更新、额外教师、生成器或额外数据，要单列成本，不能只对齐表面训练步数。</w:t>
      </w:r>
    </w:p>
    <w:p>
      <w:pPr/>
      <w:r>
        <w:rPr>
          <w:b w:val="0"/>
          <w:i w:val="0"/>
        </w:rPr>
        <w:t>数据流需要交代突变/渐变、重复条件、随机顺序与时间相关性；不能把评估用的人工天气分段自动变成算法可见的任务边界。联合离线训练可用作资源和数据权限更宽松的参照，不能说它是任意优化实现下的严格数值上界。</w:t>
      </w:r>
    </w:p>
    <w:p>
      <w:pPr>
        <w:pStyle w:val="Heading1"/>
      </w:pPr>
      <w:bookmarkStart w:id="16" w:name="sec_c6f9cc7e1be7babc"/>
      <w:r>
        <w:rPr>
          <w:b w:val="0"/>
          <w:i w:val="0"/>
        </w:rPr>
        <w:t>7. 当前能形成的假设及其可证伪方式</w:t>
      </w:r>
      <w:bookmarkEnd w:id="16"/>
    </w:p>
    <w:p>
      <w:pPr/>
      <w:r>
        <w:rPr>
          <w:b w:val="0"/>
          <w:i w:val="0"/>
        </w:rPr>
        <w:t>这些是假设，不是已确认创新点，也未登记为实验结果。</w:t>
      </w:r>
    </w:p>
    <w:tbl>
      <w:tblPr>
        <w:tblLook w:firstColumn="1" w:firstRow="1" w:lastColumn="0" w:lastRow="0" w:noHBand="0" w:noVBand="1" w:val="04A0"/>
        <w:tblW w:w="13958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3071"/>
        <w:gridCol w:w="3071"/>
        <w:gridCol w:w="3769"/>
        <w:gridCol w:w="4047"/>
      </w:tblGrid>
      <w:tr>
        <w:trPr>
          <w:cantSplit/>
          <w:tblHeader/>
        </w:trPr>
        <w:tc>
          <w:tcPr>
            <w:tcW w:type="dxa" w:w="3071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候选问题</w:t>
            </w:r>
          </w:p>
        </w:tc>
        <w:tc>
          <w:tcPr>
            <w:tcW w:type="dxa" w:w="3071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文献依据</w:t>
            </w:r>
          </w:p>
        </w:tc>
        <w:tc>
          <w:tcPr>
            <w:tcW w:type="dxa" w:w="3769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待验证假设</w:t>
            </w:r>
          </w:p>
        </w:tc>
        <w:tc>
          <w:tcPr>
            <w:tcW w:type="dxa" w:w="4047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何种结果会削弱该假设</w:t>
            </w:r>
          </w:p>
        </w:tc>
      </w:tr>
      <w:tr>
        <w:trPr>
          <w:cantSplit/>
        </w:trPr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缓存代表性与检索</w:t>
            </w:r>
          </w:p>
        </w:tc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LIT-001 §5、8.5；LIT-006 §4.1.1</w:t>
            </w:r>
          </w:p>
        </w:tc>
        <w:tc>
          <w:tcPr>
            <w:tcW w:type="dxa" w:w="376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相同字节预算下，更合理的缓存/检索可提高旧天气保留而不显著牺牲新天气</w:t>
            </w:r>
          </w:p>
        </w:tc>
        <w:tc>
          <w:tcPr>
            <w:tcW w:type="dxa" w:w="404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换顺序或按实际时间预算比较后优势消失；仅改善缓存内样本</w:t>
            </w:r>
          </w:p>
        </w:tc>
      </w:tr>
      <w:tr>
        <w:trPr>
          <w:cantSplit/>
        </w:trPr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更新位置与归一化</w:t>
            </w:r>
          </w:p>
        </w:tc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LIT-005 §4.5；LIT-006 [184]/[225] 线索；LIT-004 §3.2</w:t>
            </w:r>
          </w:p>
        </w:tc>
        <w:tc>
          <w:tcPr>
            <w:tcW w:type="dxa" w:w="376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有限范围更新可能更好地平衡天气适应与旧域保留</w:t>
            </w:r>
          </w:p>
        </w:tc>
        <w:tc>
          <w:tcPr>
            <w:tcW w:type="dxa" w:w="404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新天气一直未学会，或者简单全量更新已同样好</w:t>
            </w:r>
          </w:p>
        </w:tc>
      </w:tr>
      <w:tr>
        <w:trPr>
          <w:cantSplit/>
        </w:trPr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泛化增强与持续更新</w:t>
            </w:r>
          </w:p>
        </w:tc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LIT-003 §5；LIT-004 §3；LIT-002 §7～9</w:t>
            </w:r>
          </w:p>
        </w:tc>
        <w:tc>
          <w:tcPr>
            <w:tcW w:type="dxa" w:w="376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合适增强可能减少新天气适应负担</w:t>
            </w:r>
          </w:p>
        </w:tc>
        <w:tc>
          <w:tcPr>
            <w:tcW w:type="dxa" w:w="404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静态 DG 提高但旧天气遗忘无改善，或计算代价抵消收益</w:t>
            </w:r>
          </w:p>
        </w:tc>
      </w:tr>
      <w:tr>
        <w:trPr>
          <w:cantSplit/>
        </w:trPr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预训练的影响</w:t>
            </w:r>
          </w:p>
        </w:tc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LIT-005 §4.4；LIT-004 §4～5</w:t>
            </w:r>
          </w:p>
        </w:tc>
        <w:tc>
          <w:tcPr>
            <w:tcW w:type="dxa" w:w="376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预训练和更新范围对表现的影响可能大于新机制本身</w:t>
            </w:r>
          </w:p>
        </w:tc>
        <w:tc>
          <w:tcPr>
            <w:tcW w:type="dxa" w:w="404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控制初始化后机制仍稳定有效，且并非更大资源带来的提升</w:t>
            </w:r>
          </w:p>
        </w:tc>
      </w:tr>
    </w:tbl>
    <w:p>
      <w:pPr>
        <w:spacing w:after="60" w:before="0" w:line="60" w:lineRule="exact"/>
      </w:pPr>
      <w:r>
        <w:rPr>
          <w:sz w:val="2"/>
        </w:rPr>
      </w:r>
    </w:p>
    <w:p>
      <w:pPr/>
      <w:r>
        <w:rPr>
          <w:b w:val="0"/>
          <w:i w:val="0"/>
        </w:rPr>
        <w:t>这六篇不足以证明上述方向无人研究。尤其 LIT-006 已给出直接针对天气遗忘和回放的原始论文，应先精读它们，再讨论差异化贡献。</w:t>
      </w:r>
    </w:p>
    <w:p>
      <w:pPr>
        <w:pStyle w:val="Heading1"/>
      </w:pPr>
      <w:bookmarkStart w:id="17" w:name="sec_bc097dd0749afb8c"/>
      <w:r>
        <w:rPr>
          <w:b w:val="0"/>
          <w:i w:val="0"/>
        </w:rPr>
        <w:t>8. 下一阶段原始论文检索线索</w:t>
      </w:r>
      <w:bookmarkEnd w:id="17"/>
    </w:p>
    <w:p>
      <w:pPr/>
      <w:r>
        <w:rPr>
          <w:b w:val="0"/>
          <w:i w:val="0"/>
        </w:rPr>
        <w:t>仅形成 T-006 的输入，不在本轮扩展成正式收集/核验，也不新分配 LIT ID。下列书目信息来自 LIT-006 的参考文献，出版与代码仍待独立确认。</w:t>
      </w:r>
    </w:p>
    <w:tbl>
      <w:tblPr>
        <w:tblLook w:firstColumn="1" w:firstRow="1" w:lastColumn="0" w:lastRow="0" w:noHBand="0" w:noVBand="1" w:val="04A0"/>
        <w:tblW w:w="13958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3071"/>
        <w:gridCol w:w="3071"/>
        <w:gridCol w:w="3769"/>
        <w:gridCol w:w="4047"/>
      </w:tblGrid>
      <w:tr>
        <w:trPr>
          <w:cantSplit/>
          <w:tblHeader/>
        </w:trPr>
        <w:tc>
          <w:tcPr>
            <w:tcW w:type="dxa" w:w="3071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阅读先后建议</w:t>
            </w:r>
          </w:p>
        </w:tc>
        <w:tc>
          <w:tcPr>
            <w:tcW w:type="dxa" w:w="3071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原始论文线索</w:t>
            </w:r>
          </w:p>
        </w:tc>
        <w:tc>
          <w:tcPr>
            <w:tcW w:type="dxa" w:w="3769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可追溯位置</w:t>
            </w:r>
          </w:p>
        </w:tc>
        <w:tc>
          <w:tcPr>
            <w:tcW w:type="dxa" w:w="4047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获取后首先核查</w:t>
            </w:r>
          </w:p>
        </w:tc>
      </w:tr>
      <w:tr>
        <w:trPr>
          <w:cantSplit/>
        </w:trPr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Kalb、Beyerer：</w:t>
            </w:r>
            <w:r>
              <w:rPr>
                <w:b w:val="0"/>
                <w:i/>
              </w:rPr>
              <w:t>Principles of Forgetting in Domain-Incremental Semantic Segmentation in Adverse Weather Conditions</w:t>
            </w:r>
            <w:r>
              <w:rPr>
                <w:b w:val="0"/>
                <w:i w:val="0"/>
              </w:rPr>
              <w:t>；综述列 CVPR 2023</w:t>
            </w:r>
          </w:p>
        </w:tc>
        <w:tc>
          <w:tcPr>
            <w:tcW w:type="dxa" w:w="376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LIT-006 §6.1 p.14，[225] p.20</w:t>
            </w:r>
          </w:p>
        </w:tc>
        <w:tc>
          <w:tcPr>
            <w:tcW w:type="dxa" w:w="404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与草稿的天气条件、标注、边界、缓存和更新约束是否一致；遗忘归因证据</w:t>
            </w:r>
          </w:p>
        </w:tc>
      </w:tr>
      <w:tr>
        <w:trPr>
          <w:cantSplit/>
        </w:trPr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Kalb、Mauthe、Beyerer：</w:t>
            </w:r>
            <w:r>
              <w:rPr>
                <w:b w:val="0"/>
                <w:i/>
              </w:rPr>
              <w:t>Improving Replay-Based Continual Semantic Segmentation with Smart Data Selection</w:t>
            </w:r>
            <w:r>
              <w:rPr>
                <w:b w:val="0"/>
                <w:i w:val="0"/>
              </w:rPr>
              <w:t>；综述列 ITSC 2022</w:t>
            </w:r>
          </w:p>
        </w:tc>
        <w:tc>
          <w:tcPr>
            <w:tcW w:type="dxa" w:w="376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LIT-006 §4.1.1 p.6，[50] p.17</w:t>
            </w:r>
          </w:p>
        </w:tc>
        <w:tc>
          <w:tcPr>
            <w:tcW w:type="dxa" w:w="404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采样是否用域信息；实际存储单位与选择成本；是否满足单遍访问</w:t>
            </w:r>
          </w:p>
        </w:tc>
      </w:tr>
      <w:tr>
        <w:trPr>
          <w:cantSplit/>
        </w:trPr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Alfarra 等：</w:t>
            </w:r>
            <w:r>
              <w:rPr>
                <w:b w:val="0"/>
                <w:i/>
              </w:rPr>
              <w:t>SimCS: Simulation for Domain Incremental Online Continual Segmentation</w:t>
            </w:r>
            <w:r>
              <w:rPr>
                <w:b w:val="0"/>
                <w:i w:val="0"/>
              </w:rPr>
              <w:t>；综述列 AAAI 2024</w:t>
            </w:r>
          </w:p>
        </w:tc>
        <w:tc>
          <w:tcPr>
            <w:tcW w:type="dxa" w:w="376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LIT-006 §4.2.2 p.9、表 5 p.10，[182] p.19</w:t>
            </w:r>
          </w:p>
        </w:tc>
        <w:tc>
          <w:tcPr>
            <w:tcW w:type="dxa" w:w="404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在线规则、模拟器/生成数据预算和任务标签依赖；代码与数据可得性</w:t>
            </w:r>
          </w:p>
        </w:tc>
      </w:tr>
      <w:tr>
        <w:trPr>
          <w:cantSplit/>
        </w:trPr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07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Kalb 等：</w:t>
            </w:r>
            <w:r>
              <w:rPr>
                <w:b w:val="0"/>
                <w:i/>
              </w:rPr>
              <w:t>Effects of Architectures on Continual Semantic Segmentation</w:t>
            </w:r>
            <w:r>
              <w:rPr>
                <w:b w:val="0"/>
                <w:i w:val="0"/>
              </w:rPr>
              <w:t>；综述列 IEEE IV 2023</w:t>
            </w:r>
          </w:p>
        </w:tc>
        <w:tc>
          <w:tcPr>
            <w:tcW w:type="dxa" w:w="376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LIT-006 §5.2 p.11，[184] p.19</w:t>
            </w:r>
          </w:p>
        </w:tc>
        <w:tc>
          <w:tcPr>
            <w:tcW w:type="dxa" w:w="404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骨干、归一化、初始化和评估方式如何控制</w:t>
            </w:r>
          </w:p>
        </w:tc>
      </w:tr>
    </w:tbl>
    <w:p>
      <w:pPr>
        <w:spacing w:after="60" w:before="0" w:line="60" w:lineRule="exact"/>
      </w:pPr>
      <w:r>
        <w:rPr>
          <w:sz w:val="2"/>
        </w:rPr>
      </w:r>
    </w:p>
    <w:p>
      <w:pPr/>
      <w:r>
        <w:rPr>
          <w:b w:val="0"/>
          <w:i w:val="0"/>
        </w:rPr>
        <w:t>MIR/ER、PLOP/MiB、ISW/PASTA、Rein/SoRA 可按实际问题作为补充线索；不能在资源与协议未明确时把所有路线并行实现。正式方法选择仍由 T-008 承担，并依赖 T-002、T-003 与原始论文精读。</w:t>
      </w:r>
    </w:p>
    <w:p>
      <w:pPr>
        <w:pStyle w:val="Heading1"/>
      </w:pPr>
      <w:bookmarkStart w:id="18" w:name="sec_d6b8ab782fd38812"/>
      <w:r>
        <w:rPr>
          <w:b w:val="0"/>
          <w:i w:val="0"/>
        </w:rPr>
        <w:t>9. 本轮结论的证据层级</w:t>
      </w:r>
      <w:bookmarkEnd w:id="18"/>
    </w:p>
    <w:p>
      <w:pPr/>
      <w:r>
        <w:rPr>
          <w:b/>
          <w:i w:val="0"/>
        </w:rPr>
        <w:t>原文事实</w:t>
      </w:r>
      <w:r>
        <w:rPr>
          <w:b w:val="0"/>
          <w:i w:val="0"/>
        </w:rPr>
        <w:t>：六篇分别提供通用 CL、在线分类实证、CSS、DG 和天气应用材料；分类框架、数据/指标及表格疑点均可按上述定位复查。</w:t>
      </w:r>
    </w:p>
    <w:p>
      <w:pPr/>
      <w:r>
        <w:rPr>
          <w:b/>
          <w:i w:val="0"/>
        </w:rPr>
        <w:t>研究推断</w:t>
      </w:r>
      <w:r>
        <w:rPr>
          <w:b w:val="0"/>
          <w:i w:val="0"/>
        </w:rPr>
        <w:t>：当前草稿与有监督域变化 CSS 更接近；需用在线约束审计候选，用分组历史性能区分适应、遗忘和未见域泛化；方法比较必须控制预训练和资源。</w:t>
      </w:r>
    </w:p>
    <w:p>
      <w:pPr/>
      <w:r>
        <w:rPr>
          <w:b/>
          <w:i w:val="0"/>
        </w:rPr>
        <w:t>待验证</w:t>
      </w:r>
      <w:r>
        <w:rPr>
          <w:b w:val="0"/>
          <w:i w:val="0"/>
        </w:rPr>
        <w:t>：数据流是否符合真实需求、哪些原始算法满足无域标签/无边界提示、缓存策略或局部更新是否有效、机器人部署成本与创新性。没有运行实验，因而不报告本项目性能或提升。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>
      <w:r>
        <w:t>1</w:t>
      </w:r>
    </w:fldSimple>
    <w:r>
      <w:t xml:space="preserve"> / </w:t>
    </w:r>
    <w:fldSimple w:instr="NUMPAGES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文献综合对比报告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Calibri" w:hAnsi="Calibri" w:eastAsia="宋体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 w:eastAsia="宋体" w:cs="Calibri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宋体" w:cs="Calibri"/>
      <w:b w:val="0"/>
      <w:color w:val="697785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宋体" w:cs="Calibri"/>
      <w:b w:val="0"/>
      <w:color w:val="697785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40" w:line="300" w:lineRule="auto" w:before="0"/>
      <w:contextualSpacing/>
    </w:pPr>
    <w:rPr>
      <w:rFonts w:asciiTheme="majorHAnsi" w:eastAsiaTheme="majorEastAsia" w:hAnsiTheme="majorHAnsi" w:cstheme="majorBidi" w:ascii="Calibri" w:hAnsi="Calibri" w:eastAsia="微软雅黑" w:cs="Calibri"/>
      <w:b/>
      <w:color w:val="1F4D7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300" w:lineRule="auto"/>
    </w:pPr>
    <w:rPr>
      <w:rFonts w:asciiTheme="majorHAnsi" w:eastAsiaTheme="majorEastAsia" w:hAnsiTheme="majorHAnsi" w:cstheme="majorBidi" w:ascii="Calibri" w:hAnsi="Calibri" w:eastAsia="宋体" w:cs="Calibri"/>
      <w:b w:val="0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basedOn w:val="Normal"/>
    <w:pPr>
      <w:widowControl/>
      <w:spacing w:before="0" w:after="60" w:line="276" w:lineRule="auto"/>
    </w:pPr>
    <w:rPr>
      <w:rFonts w:ascii="Calibri" w:hAnsi="Calibri" w:eastAsia="宋体" w:cs="Calibri"/>
      <w:b w:val="0"/>
      <w:color w:val="222222"/>
      <w:sz w:val="20"/>
    </w:rPr>
  </w:style>
  <w:style w:type="paragraph" w:customStyle="1" w:styleId="TableText">
    <w:name w:val="Table Text"/>
    <w:basedOn w:val="Normal"/>
    <w:pPr>
      <w:widowControl/>
      <w:spacing w:before="0" w:after="60" w:line="276" w:lineRule="auto"/>
    </w:pPr>
    <w:rPr>
      <w:rFonts w:ascii="Calibri" w:hAnsi="Calibri" w:eastAsia="宋体" w:cs="Calibri"/>
      <w:b w:val="0"/>
      <w:color w:val="222222"/>
      <w:sz w:val="19"/>
    </w:rPr>
  </w:style>
  <w:style w:type="paragraph" w:customStyle="1" w:styleId="SourceText">
    <w:name w:val="Source Text"/>
    <w:basedOn w:val="Normal"/>
    <w:pPr>
      <w:widowControl/>
      <w:spacing w:before="80" w:after="80" w:line="276" w:lineRule="auto"/>
    </w:pPr>
    <w:rPr>
      <w:rFonts w:ascii="Calibri" w:hAnsi="Calibri" w:eastAsia="宋体" w:cs="Calibri"/>
      <w:b w:val="0"/>
      <w:color w:val="222222"/>
      <w:sz w:val="20"/>
    </w:rPr>
  </w:style>
  <w:style w:type="paragraph" w:customStyle="1" w:styleId="ListBody">
    <w:name w:val="List Body"/>
    <w:basedOn w:val="Normal"/>
    <w:pPr>
      <w:widowControl/>
      <w:spacing w:before="0" w:after="80" w:line="300" w:lineRule="auto"/>
    </w:pPr>
    <w:rPr>
      <w:rFonts w:ascii="Calibri" w:hAnsi="Calibri" w:eastAsia="宋体" w:cs="Calibri"/>
      <w:b w:val="0"/>
      <w:color w:val="222222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LITERATURE_INDEX.md" TargetMode="External"/><Relationship Id="rId12" Type="http://schemas.openxmlformats.org/officeDocument/2006/relationships/hyperlink" Target="READING_PLAN.md" TargetMode="External"/><Relationship Id="rId13" Type="http://schemas.openxmlformats.org/officeDocument/2006/relationships/hyperlink" Target="../../20260928144022150248_%E7%9B%9B%E6%9B%A6-%E6%AF%95%E4%B8%9A%E8%AE%BE%E8%AE%A1%28%E8%AE%BA%E6%96%87%29%E4%BB%BB%E5%8A%A1%E4%B9%A62.doc" TargetMode="External"/><Relationship Id="rId14" Type="http://schemas.openxmlformats.org/officeDocument/2006/relationships/hyperlink" Target="../survey_reports/LIT-001_online_continual_classification.docx" TargetMode="External"/><Relationship Id="rId15" Type="http://schemas.openxmlformats.org/officeDocument/2006/relationships/hyperlink" Target="../survey_reports/LIT-002_adverse_weather_road_analysis.docx" TargetMode="External"/><Relationship Id="rId16" Type="http://schemas.openxmlformats.org/officeDocument/2006/relationships/hyperlink" Target="../survey_reports/LIT-003_dg_segmentation_2024.docx" TargetMode="External"/><Relationship Id="rId17" Type="http://schemas.openxmlformats.org/officeDocument/2006/relationships/hyperlink" Target="../survey_reports/LIT-004_dg_segmentation_foundation_models.docx" TargetMode="External"/><Relationship Id="rId18" Type="http://schemas.openxmlformats.org/officeDocument/2006/relationships/hyperlink" Target="../survey_reports/LIT-005_continual_learning_framework.docx" TargetMode="External"/><Relationship Id="rId19" Type="http://schemas.openxmlformats.org/officeDocument/2006/relationships/hyperlink" Target="../survey_reports/LIT-006_continual_semantic_segmentation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六篇综述文献对比与本课题定位报告</dc:title>
  <dc:subject>视觉条件变化下道路场景语义分割的持续学习方法研究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