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bookmarkStart w:id="1" w:name="sec_7a95bc7daf7631d5"/>
      <w:r>
        <w:rPr>
          <w:b w:val="0"/>
          <w:i w:val="0"/>
        </w:rPr>
        <w:t>LIT-003｜域泛化语义分割（Rafi 等，2024）：泛读报告</w:t>
      </w:r>
      <w:bookmarkEnd w:id="1"/>
    </w:p>
    <w:p>
      <w:pPr>
        <w:pStyle w:val="Metadata"/>
      </w:pPr>
      <w:r>
        <w:rPr>
          <w:b w:val="0"/>
          <w:i w:val="0"/>
        </w:rPr>
        <w:t>标题：</w:t>
      </w:r>
      <w:r>
        <w:rPr>
          <w:b w:val="0"/>
          <w:i/>
        </w:rPr>
        <w:t>Domain generalization for semantic segmentation: a survey</w:t>
      </w:r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作者：Taki Hasan Rafi、Ratul Mahjabin、Emon Ghosh、Young-Woong Ko、Jeong-Gun Lee。</w:t>
      </w:r>
    </w:p>
    <w:p>
      <w:pPr>
        <w:pStyle w:val="Metadata"/>
      </w:pPr>
      <w:r>
        <w:rPr>
          <w:b w:val="0"/>
          <w:i w:val="0"/>
        </w:rPr>
        <w:t>本地版本：</w:t>
      </w:r>
      <w:r>
        <w:rPr>
          <w:b w:val="0"/>
          <w:i/>
        </w:rPr>
        <w:t>Artificial Intelligence Review</w:t>
      </w:r>
      <w:r>
        <w:rPr>
          <w:b w:val="0"/>
          <w:i w:val="0"/>
        </w:rPr>
        <w:t xml:space="preserve"> (2024) 57:247；在线发表 2024-08-12；DOI 10.1007/s10462-024-10817-z；30 页。</w:t>
      </w:r>
    </w:p>
    <w:p>
      <w:pPr>
        <w:pStyle w:val="Metadata"/>
      </w:pPr>
      <w:r>
        <w:rPr>
          <w:b w:val="0"/>
          <w:i w:val="0"/>
        </w:rPr>
        <w:t>原文：</w:t>
      </w:r>
      <w:hyperlink r:id="rId11" w:history="1">
        <w:r>
          <w:rPr>
            <w:color w:val="245985"/>
            <w:u w:val="single"/>
          </w:rPr>
          <w:t>本地 PDF</w:t>
        </w:r>
      </w:hyperlink>
      <w:r>
        <w:rPr>
          <w:b w:val="0"/>
          <w:i w:val="0"/>
        </w:rPr>
        <w:t>。</w:t>
      </w:r>
    </w:p>
    <w:p>
      <w:pPr>
        <w:pStyle w:val="Metadata"/>
      </w:pPr>
      <w:r>
        <w:rPr>
          <w:b w:val="0"/>
          <w:i w:val="0"/>
        </w:rPr>
        <w:t>阅读：2026-10-18；</w:t>
      </w:r>
      <w:r>
        <w:rPr>
          <w:b/>
          <w:i w:val="0"/>
        </w:rPr>
        <w:t>已泛读，非精读、非复现</w:t>
      </w:r>
      <w:r>
        <w:rPr>
          <w:b w:val="0"/>
          <w:i w:val="0"/>
        </w:rPr>
        <w:t>。重点为 §2、§4～5、§7～9 及附录表 2、3；医疗应用作概览。页码均为 PDF 页码。与 LIT-004 作者和内容不同，分别记录。</w:t>
      </w:r>
    </w:p>
    <w:p>
      <w:pPr>
        <w:pStyle w:val="Heading1"/>
      </w:pPr>
      <w:bookmarkStart w:id="2" w:name="sec_7469c5e290ad3e5d"/>
      <w:r>
        <w:rPr>
          <w:b w:val="0"/>
          <w:i w:val="0"/>
        </w:rPr>
        <w:t>核心判断</w:t>
      </w:r>
      <w:bookmarkEnd w:id="2"/>
    </w:p>
    <w:p>
      <w:pPr/>
      <w:r>
        <w:rPr>
          <w:b w:val="0"/>
          <w:i w:val="0"/>
        </w:rPr>
        <w:t>本文提供较宽的域泛化分割概念地图和传统技术分类，适合厘清“从源域训练后预测未见域”的问题。它的案例和汇编也包含域适应及测试时方法，不能把所有列入方法表的工作都视为严格不访问目标域的 DG 方法。</w:t>
      </w:r>
    </w:p>
    <w:p>
      <w:pPr>
        <w:pStyle w:val="Heading1"/>
      </w:pPr>
      <w:bookmarkStart w:id="3" w:name="sec_e2118a2a65d7ae98"/>
      <w:r>
        <w:rPr>
          <w:b w:val="0"/>
          <w:i w:val="0"/>
        </w:rPr>
        <w:t>问题设定</w:t>
      </w:r>
      <w:bookmarkEnd w:id="3"/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：§2.1（p.3～4）从多个标注源域学习，目标是在未见目标域上预测像素类别。§4（p.4～8）将域泛化 DG 与域适应 DA、零样本、自监督及少样本等相关方向对照；其中 DG 与 DA 的关键区别是目标域是否在学习中已知/可访问。</w:t>
      </w:r>
    </w:p>
    <w:p>
      <w:pPr/>
      <w:r>
        <w:rPr>
          <w:b w:val="0"/>
          <w:i w:val="0"/>
        </w:rPr>
        <w:t>其主线是跨域泛化，不以按时间到达的有限缓存学习流或旧域遗忘为核心。本文提到持续泛化是未来方向（§8.2，p.15），不意味着已经给出满足本课题条件的持续学习算法。</w:t>
      </w:r>
    </w:p>
    <w:p>
      <w:pPr>
        <w:pStyle w:val="Heading1"/>
      </w:pPr>
      <w:bookmarkStart w:id="4" w:name="sec_9d9231dd2b02a12d"/>
      <w:r>
        <w:rPr>
          <w:b w:val="0"/>
          <w:i w:val="0"/>
        </w:rPr>
        <w:t>研究设定归类与结论适用范围</w:t>
      </w:r>
      <w:bookmarkEnd w:id="4"/>
    </w:p>
    <w:p>
      <w:pPr/>
      <w:r>
        <w:rPr>
          <w:b/>
          <w:i w:val="0"/>
        </w:rPr>
        <w:t>归类依据</w:t>
      </w:r>
      <w:r>
        <w:rPr>
          <w:b w:val="0"/>
          <w:i w:val="0"/>
        </w:rPr>
        <w:t>：§2/4（p.3～8）及 §8.2（p.15）。本文主线是 DG：从源域学习，评价未见目标域；其 DA 相关案例使用目标域数据，数据权限必须另查。DA 不等于 UDA，目标数据可否带标签属于监督条件；CL 则还关心顺序学习中的新知识获取与旧知识保持。</w:t>
      </w:r>
    </w:p>
    <w:p>
      <w:pPr/>
      <w:r>
        <w:rPr>
          <w:b/>
          <w:i w:val="0"/>
        </w:rPr>
        <w:t>类增量/域增量边界</w:t>
      </w:r>
      <w:r>
        <w:rPr>
          <w:b w:val="0"/>
          <w:i w:val="0"/>
        </w:rPr>
        <w:t>：静态 DG 中即使源域与目标域具有相同类别，也不自动成为 DIL。DIL 还涉及利用顺序到达的新条件数据持续学习和旧条件评价；CIL 则涉及累积语义类别增加。本文的“持续域泛化”是展望，不能替代这两类持续学习的受控结果。</w:t>
      </w:r>
    </w:p>
    <w:p>
      <w:pPr/>
      <w:r>
        <w:rPr>
          <w:b/>
          <w:i w:val="0"/>
        </w:rPr>
        <w:t>对本课题的研究判断</w:t>
      </w:r>
      <w:r>
        <w:rPr>
          <w:b w:val="0"/>
          <w:i w:val="0"/>
        </w:rPr>
        <w:t>：本文承担 DG/DA 相关工作与潜在组件的角色，不作为已经满足天气 DIL 约束的方法证据。迁入风格迁移、伪标签或元学习时，应核查目标天气数据、域 ID、切换提示与历史缓存权限，并重新评价旧域遗忘；未见天气 mIoU 提高不等于抗遗忘有效。</w:t>
      </w:r>
    </w:p>
    <w:p>
      <w:pPr>
        <w:pStyle w:val="Heading1"/>
      </w:pPr>
      <w:bookmarkStart w:id="5" w:name="sec_003604f8a6bf7f91"/>
      <w:r>
        <w:rPr>
          <w:b w:val="0"/>
          <w:i w:val="0"/>
        </w:rPr>
        <w:t>方法分类与机制</w:t>
      </w:r>
      <w:bookmarkEnd w:id="5"/>
    </w:p>
    <w:p>
      <w:pPr/>
      <w:r>
        <w:rPr>
          <w:b w:val="0"/>
          <w:i w:val="0"/>
        </w:rPr>
        <w:t>§5（p.8～12）首先用三大类组织方法，再展开 11 个小节；下面按其核心作用归纳。</w:t>
      </w:r>
    </w:p>
    <w:tbl>
      <w:tblPr>
        <w:tblLook w:firstColumn="1" w:firstRow="1" w:lastColumn="0" w:lastRow="0" w:noHBand="0" w:noVBand="1" w:val="04A0"/>
        <w:tblW w:w="902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986"/>
        <w:gridCol w:w="1986"/>
        <w:gridCol w:w="2437"/>
        <w:gridCol w:w="2617"/>
      </w:tblGrid>
      <w:tr>
        <w:trPr>
          <w:cantSplit/>
          <w:tblHeader/>
        </w:trPr>
        <w:tc>
          <w:tcPr>
            <w:tcW w:type="dxa" w:w="1986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大类</w:t>
            </w:r>
          </w:p>
        </w:tc>
        <w:tc>
          <w:tcPr>
            <w:tcW w:type="dxa" w:w="1986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主要技术</w:t>
            </w:r>
          </w:p>
        </w:tc>
        <w:tc>
          <w:tcPr>
            <w:tcW w:type="dxa" w:w="2437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如何应对域偏移</w:t>
            </w:r>
          </w:p>
        </w:tc>
        <w:tc>
          <w:tcPr>
            <w:tcW w:type="dxa" w:w="2617"/>
            <w:vAlign w:val="center"/>
            <w:shd w:fill="E8EEF5" w:val="clear"/>
          </w:tcPr>
          <w:p>
            <w:pPr>
              <w:pStyle w:val="TableText"/>
              <w:keepNext/>
            </w:pPr>
            <w:r>
              <w:rPr>
                <w:b/>
                <w:i w:val="0"/>
              </w:rPr>
              <w:t>主要核查点</w:t>
            </w:r>
          </w:p>
        </w:tc>
      </w:tr>
      <w:tr>
        <w:trPr>
          <w:cantSplit/>
        </w:trPr>
        <w:tc>
          <w:tcPr>
            <w:tcW w:type="dxa" w:w="19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数据操作</w:t>
            </w:r>
          </w:p>
        </w:tc>
        <w:tc>
          <w:tcPr>
            <w:tcW w:type="dxa" w:w="19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增强、域随机化、域生成、风格迁移</w:t>
            </w:r>
          </w:p>
        </w:tc>
        <w:tc>
          <w:tcPr>
            <w:tcW w:type="dxa" w:w="243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扩大训练输入/风格的覆盖，降低源域外观依赖</w:t>
            </w:r>
          </w:p>
        </w:tc>
        <w:tc>
          <w:tcPr>
            <w:tcW w:type="dxa" w:w="261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是否保持像素标签一致？风格来自源域、额外数据还是目标域？</w:t>
            </w:r>
          </w:p>
        </w:tc>
      </w:tr>
      <w:tr>
        <w:trPr>
          <w:cantSplit/>
        </w:trPr>
        <w:tc>
          <w:tcPr>
            <w:tcW w:type="dxa" w:w="19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表征学习</w:t>
            </w:r>
          </w:p>
        </w:tc>
        <w:tc>
          <w:tcPr>
            <w:tcW w:type="dxa" w:w="19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域对抗、不变特征、特征解耦与归一化</w:t>
            </w:r>
          </w:p>
        </w:tc>
        <w:tc>
          <w:tcPr>
            <w:tcW w:type="dxa" w:w="243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抑制域相关因素，保留语义判别信息</w:t>
            </w:r>
          </w:p>
        </w:tc>
        <w:tc>
          <w:tcPr>
            <w:tcW w:type="dxa" w:w="261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是否需要域 ID？归一化是否同时损伤类别或边界信息？</w:t>
            </w:r>
          </w:p>
        </w:tc>
      </w:tr>
      <w:tr>
        <w:trPr>
          <w:cantSplit/>
        </w:trPr>
        <w:tc>
          <w:tcPr>
            <w:tcW w:type="dxa" w:w="19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学习策略</w:t>
            </w:r>
          </w:p>
        </w:tc>
        <w:tc>
          <w:tcPr>
            <w:tcW w:type="dxa" w:w="1986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自监督、元学习</w:t>
            </w:r>
          </w:p>
        </w:tc>
        <w:tc>
          <w:tcPr>
            <w:tcW w:type="dxa" w:w="243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构造辅助任务或模拟训练/测试域差异</w:t>
            </w:r>
          </w:p>
        </w:tc>
        <w:tc>
          <w:tcPr>
            <w:tcW w:type="dxa" w:w="2617"/>
            <w:vAlign w:val="center"/>
          </w:tcPr>
          <w:p>
            <w:pPr>
              <w:pStyle w:val="TableText"/>
              <w:keepNext w:val="0"/>
            </w:pPr>
            <w:r>
              <w:rPr>
                <w:b w:val="0"/>
                <w:i w:val="0"/>
              </w:rPr>
              <w:t>是否依赖多个可分源域、额外训练阶段与较高计算量？</w:t>
            </w:r>
          </w:p>
        </w:tc>
      </w:tr>
    </w:tbl>
    <w:p>
      <w:pPr>
        <w:spacing w:after="60" w:before="0" w:line="60" w:lineRule="exact"/>
      </w:pPr>
      <w:r>
        <w:rPr>
          <w:sz w:val="2"/>
        </w:rPr>
      </w:r>
    </w:p>
    <w:p>
      <w:pPr/>
      <w:r>
        <w:rPr>
          <w:b w:val="0"/>
          <w:i w:val="0"/>
        </w:rPr>
        <w:t>伪标签一节尤其需要单独检查：伪标签可能来自额外源数据、合成数据，也可能来自实际目标域；名称相同，数据权限并不相同。本文 §5.10（p.12）同时列出 MTDA 和 DAFormer 等适应相关例子，说明它的技术地图宽于严格 DG 协议。</w:t>
      </w:r>
    </w:p>
    <w:p>
      <w:pPr/>
      <w:r>
        <w:rPr>
          <w:b w:val="0"/>
          <w:i w:val="0"/>
        </w:rPr>
        <w:t>代表机制包括频域幅度混合、对抗风格增强 AdvStyle、风格幻化 SHADE、域不变表征 DIRL、风格/内容扩展 WildNet 等（§5）。这些名称是检索入口；本轮未据综述二次描述确认每项原始算法的全部假设。</w:t>
      </w:r>
    </w:p>
    <w:p>
      <w:pPr>
        <w:pStyle w:val="Heading1"/>
      </w:pPr>
      <w:bookmarkStart w:id="6" w:name="sec_d104aee2017d2132"/>
      <w:r>
        <w:rPr>
          <w:b w:val="0"/>
          <w:i w:val="0"/>
        </w:rPr>
        <w:t>数据与比较证据</w:t>
      </w:r>
      <w:bookmarkEnd w:id="6"/>
    </w:p>
    <w:p>
      <w:pPr/>
      <w:r>
        <w:rPr>
          <w:b w:val="0"/>
          <w:i w:val="0"/>
        </w:rPr>
        <w:t>§7.1 与表 1（p.14）列出 GTA-V、SYNTHIA、Cityscapes、KITTI、Mapillary、IDD、BDD100k、文中写作 ADCD 的恶劣条件数据。附录表 2（p.18～19）整理分割模型、骨干和数据，表 3（p.20～21）汇编 mIoU。</w:t>
      </w:r>
    </w:p>
    <w:p>
      <w:pPr/>
      <w:r>
        <w:rPr>
          <w:b w:val="0"/>
          <w:i w:val="0"/>
        </w:rPr>
        <w:t>这些结果来自不同工作，骨干包括 VGG、ResNet、MiT，也横跨 RGB 和点云分割。表格并未为全部条目提供一个统一运行环境和受控复现流程。因此适合找候选和比较协议，不适合直接按最高 mIoU 判定哪个机制更好。</w:t>
      </w:r>
    </w:p>
    <w:p>
      <w:pPr/>
      <w:r>
        <w:rPr>
          <w:b/>
          <w:i w:val="0"/>
        </w:rPr>
        <w:t>原文事实</w:t>
      </w:r>
      <w:r>
        <w:rPr>
          <w:b w:val="0"/>
          <w:i w:val="0"/>
        </w:rPr>
        <w:t>：§8（p.15～16）讨论分割骨干变化、持续域泛化、测试时泛化、大规模基准、可解释性、视觉语言模型、开放词汇和多模态模型。这里属于作者在该版本中的展望，不是本课题创新性或空白的证明。</w:t>
      </w:r>
    </w:p>
    <w:p>
      <w:pPr>
        <w:pStyle w:val="Heading1"/>
      </w:pPr>
      <w:bookmarkStart w:id="7" w:name="sec_f285aa9d495b5a98"/>
      <w:r>
        <w:rPr>
          <w:b w:val="0"/>
          <w:i w:val="0"/>
        </w:rPr>
        <w:t>局限和原文疑点</w:t>
      </w:r>
      <w:bookmarkEnd w:id="7"/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目标域权限混合</w:t>
      </w:r>
      <w:r>
        <w:rPr>
          <w:b w:val="0"/>
          <w:i w:val="0"/>
        </w:rPr>
        <w:t>：§5 包含适应和测试时方法。回查时必须区分离线源域训练、目标域无标注适应与持续更新，不能按综述分类替代协议审计。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数据统计不一致</w:t>
      </w:r>
      <w:r>
        <w:rPr>
          <w:b w:val="0"/>
          <w:i w:val="0"/>
        </w:rPr>
        <w:t>：p.14 正文的 SYNTHIA 标注样本数为 9,400，表 1 写为 200,000；已目视核对。不同子集或笔误的原因待查，不能任选其一登记成数据配置。同页将恶劣条件数据写作 ADCD，后续应回数据集原文确认名称与版本。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时间性判断不能照搬</w:t>
      </w:r>
      <w:r>
        <w:rPr>
          <w:b w:val="0"/>
          <w:i w:val="0"/>
        </w:rPr>
        <w:t>：§8.1 说尚无利用 Transformer 的 DG 工作，但本地其他表格已经列入 MiT 等信息，LIT-004 又系统综述基础模型方法。不能把这句话当作当前研究空白。</w:t>
      </w:r>
    </w:p>
    <w:p>
      <w:pPr>
        <w:pStyle w:val="ListBody"/>
        <w:numPr>
          <w:ilvl w:val="0"/>
          <w:numId w:val="10"/>
        </w:numPr>
      </w:pPr>
      <w:r>
        <w:rPr>
          <w:b/>
          <w:i w:val="0"/>
        </w:rPr>
        <w:t>泛化不等于抗遗忘</w:t>
      </w:r>
      <w:r>
        <w:rPr>
          <w:b w:val="0"/>
          <w:i w:val="0"/>
        </w:rPr>
        <w:t>：单次未见域 mIoU 无法回答模型更新后旧天气是否退化；缺少持续学习矩阵、回放预算和适应曲线。</w:t>
      </w:r>
    </w:p>
    <w:p>
      <w:pPr>
        <w:pStyle w:val="Heading1"/>
      </w:pPr>
      <w:bookmarkStart w:id="8" w:name="sec_dc5eae33772c5b31"/>
      <w:r>
        <w:rPr>
          <w:b w:val="0"/>
          <w:i w:val="0"/>
        </w:rPr>
        <w:t>与本课题的联系</w:t>
      </w:r>
      <w:bookmarkEnd w:id="8"/>
    </w:p>
    <w:p>
      <w:pPr/>
      <w:r>
        <w:rPr>
          <w:b/>
          <w:i w:val="0"/>
        </w:rPr>
        <w:t>研究推断</w:t>
      </w:r>
      <w:r>
        <w:rPr>
          <w:b w:val="0"/>
          <w:i w:val="0"/>
        </w:rPr>
        <w:t>：数据增强、特征统计处理和语义不变约束可能成为持续分割中的组件，但必须放进相同数据流和更新预算中检验。DG 方法中的记忆库也可能存放源域风格或原型，其功能未必是保留时间上的旧经验。</w:t>
      </w:r>
    </w:p>
    <w:p>
      <w:pPr/>
      <w:r>
        <w:rPr>
          <w:b/>
          <w:i w:val="0"/>
        </w:rPr>
        <w:t>待验证假设</w:t>
      </w:r>
      <w:r>
        <w:rPr>
          <w:b w:val="0"/>
          <w:i w:val="0"/>
        </w:rPr>
        <w:t>：源域风格多样性可能降低后续天气域的适应负担，但也可能压制与可见度相关的有效特征、降低新域可塑性。不能以域不变性越强越好作为默认前提。</w:t>
      </w:r>
    </w:p>
    <w:p>
      <w:pPr/>
      <w:r>
        <w:rPr>
          <w:b w:val="0"/>
          <w:i w:val="0"/>
        </w:rPr>
        <w:t>本文可支持论文背景中对 DG/DA 边界及传统方法的整理；若最终任务保留有标注顺序学习，就不宜直接改称严格 DG。</w:t>
      </w:r>
    </w:p>
    <w:p>
      <w:pPr>
        <w:pStyle w:val="Heading1"/>
      </w:pPr>
      <w:bookmarkStart w:id="9" w:name="sec_86557fbd994ae69a"/>
      <w:r>
        <w:rPr>
          <w:b w:val="0"/>
          <w:i w:val="0"/>
        </w:rPr>
        <w:t>后续阅读线索与定位</w:t>
      </w:r>
      <w:bookmarkEnd w:id="9"/>
    </w:p>
    <w:p>
      <w:pPr/>
      <w:r>
        <w:rPr>
          <w:b w:val="0"/>
          <w:i w:val="0"/>
        </w:rPr>
        <w:t>优先回查 AdvStyle、SHADE、WildNet 等候选中是否只访问允许的数据；仅在需要验证“泛化组件能否帮助持续学习”时进一步精读。数据下载前回查 ACDC、SYNTHIA 原文与实际划分。</w:t>
      </w:r>
    </w:p>
    <w:p>
      <w:pPr>
        <w:pStyle w:val="SourceText"/>
      </w:pPr>
      <w:r>
        <w:rPr>
          <w:b w:val="0"/>
          <w:i w:val="0"/>
        </w:rPr>
        <w:t xml:space="preserve">证据入口：问题定义 p.3～4；相关任务 p.4～8；技术分类 p.8～12；数据 p.14；未来方向 p.15～16；方法与性能汇编 p.18～21。与 LIT-004 的具体比较见 </w:t>
      </w:r>
      <w:hyperlink r:id="rId12" w:history="1">
        <w:r>
          <w:rPr>
            <w:color w:val="245985"/>
            <w:u w:val="single"/>
          </w:rPr>
          <w:t>总报告</w:t>
        </w:r>
      </w:hyperlink>
      <w:r>
        <w:rPr>
          <w:b w:val="0"/>
          <w:i w:val="0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/ </w:t>
    </w:r>
    <w:fldSimple w:instr="NUMPAGES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综述阅读报告  /  LIT-003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hAnsi="Calibri" w:eastAsia="宋体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宋体" w:cs="Calibr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宋体" w:cs="Calibri"/>
      <w:b w:val="0"/>
      <w:color w:val="69778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300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TableText">
    <w:name w:val="Table Text"/>
    <w:basedOn w:val="Normal"/>
    <w:pPr>
      <w:widowControl/>
      <w:spacing w:before="0" w:after="60" w:line="276" w:lineRule="auto"/>
    </w:pPr>
    <w:rPr>
      <w:rFonts w:ascii="Calibri" w:hAnsi="Calibri" w:eastAsia="宋体" w:cs="Calibri"/>
      <w:b w:val="0"/>
      <w:color w:val="222222"/>
      <w:sz w:val="19"/>
    </w:rPr>
  </w:style>
  <w:style w:type="paragraph" w:customStyle="1" w:styleId="SourceText">
    <w:name w:val="Source Text"/>
    <w:basedOn w:val="Normal"/>
    <w:pPr>
      <w:widowControl/>
      <w:spacing w:before="80" w:after="80" w:line="276" w:lineRule="auto"/>
    </w:pPr>
    <w:rPr>
      <w:rFonts w:ascii="Calibri" w:hAnsi="Calibri" w:eastAsia="宋体" w:cs="Calibri"/>
      <w:b w:val="0"/>
      <w:color w:val="222222"/>
      <w:sz w:val="20"/>
    </w:rPr>
  </w:style>
  <w:style w:type="paragraph" w:customStyle="1" w:styleId="ListBody">
    <w:name w:val="List Body"/>
    <w:basedOn w:val="Normal"/>
    <w:pPr>
      <w:widowControl/>
      <w:spacing w:before="0" w:after="80" w:line="300" w:lineRule="auto"/>
    </w:pPr>
    <w:rPr>
      <w:rFonts w:ascii="Calibri" w:hAnsi="Calibri" w:eastAsia="宋体" w:cs="Calibri"/>
      <w:b w:val="0"/>
      <w:color w:val="22222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../%E7%BB%BC%E8%BF%B0/Rafi%20%E7%AD%89%20-%202024%20-%20Domain%20generalization%20for%20semantic%20segmentation%20a%20survey.pdf" TargetMode="External"/><Relationship Id="rId12" Type="http://schemas.openxmlformats.org/officeDocument/2006/relationships/hyperlink" Target="../comparisons/FIELD_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LIT-003｜域泛化语义分割（Rafi 等，2024）：泛读报告</dc:title>
  <dc:subject>视觉条件变化下道路场景语义分割的持续学习方法研究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