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e88d8ddcebdab069"/>
      <w:r>
        <w:rPr>
          <w:b w:val="0"/>
          <w:i w:val="0"/>
        </w:rPr>
        <w:t>LIT-004｜域泛化语义分割与基础模型（2025）：泛读报告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Domain Generalization for Semantic Segmentation: A Survey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作者：Manuel Schwonberg、Hanno Gottschalk。</w:t>
      </w:r>
    </w:p>
    <w:p>
      <w:pPr>
        <w:pStyle w:val="Metadata"/>
      </w:pPr>
      <w:r>
        <w:rPr>
          <w:b w:val="0"/>
          <w:i w:val="0"/>
        </w:rPr>
        <w:t>本地版本：arXiv:2510.03540v1，2025-10-03；12 页；正式出版和后续版本未外部核验。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。阅读主文 §1～6、图 1、表 1，参考文献按需检索。页码均为 PDF 页码。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本文的独特价值是将传统 DG 与基础模型路线分开，并把方法按输入、特征、输出作用点整理。它提醒我们：更高跨域 mIoU 可能同时来自更强骨干、更多预训练知识和额外真实数据，不能全部归功于新机制。</w:t>
      </w:r>
    </w:p>
    <w:p>
      <w:pPr>
        <w:pStyle w:val="Heading1"/>
      </w:pPr>
      <w:bookmarkStart w:id="3" w:name="sec_24ce478eae8bf066"/>
      <w:r>
        <w:rPr>
          <w:b w:val="0"/>
          <w:i w:val="0"/>
        </w:rPr>
        <w:t>问题设定与相对 LIT-003 的新增视角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：引言（p.1）明确 DG 不访问目标域，区别于使用无标注目标数据的 UDA。§2（p.2）认为，传统方法主要从源域学习可泛化特征；基础模型方法更侧重保留并利用预训练已经获得的知识，再适配分割任务。</w:t>
      </w:r>
    </w:p>
    <w:p>
      <w:pPr/>
      <w:r>
        <w:rPr>
          <w:b w:val="0"/>
          <w:i w:val="0"/>
        </w:rPr>
        <w:t>这里仍然是未见域评估，不是一个持续更新并评估旧域遗忘的数据流协议。基础模型的“保留预训练知识”与持续学习的旧天气保留有联系，但评估对象不相同。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：§1～2（p.1～2）、§4～5（p.6～8）。本文研究 DG，主要证据是源域训练后在未见目标域上的分割表现。利用标注源域微调预训练模型仍可属于 DG；“发生微调”本身不能据以判定为目标域 DA。关键是适配时是否使用实际目标域数据。</w:t>
      </w:r>
    </w:p>
    <w:p>
      <w:pPr/>
      <w:r>
        <w:rPr>
          <w:b/>
          <w:i w:val="0"/>
        </w:rPr>
        <w:t>类增量/域增量边界</w:t>
      </w:r>
      <w:r>
        <w:rPr>
          <w:b w:val="0"/>
          <w:i w:val="0"/>
        </w:rPr>
        <w:t>：本文没有按时间引入新语义类别的 CIL 协议，也没有顺序更新并追踪旧天气的 DIL 主实验。相同类别上的跨域测试只说明域泛化任务，不能据此标记为域增量持续学习；保留预训练能力也不等同于已经验证旧天气保持。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：本文的基础模型、适配器和特征约束只作为 DIL 潜在组件。若使用新到达的目标天气样本更新，就需要按实际监督和持续评估归类；如果同时采用域适应机制并追踪旧域，可属于 CL 与 DA 的交叉。静态 DG mean 不能替代新旧天气 mIoU 与遗忘曲线。</w:t>
      </w:r>
    </w:p>
    <w:p>
      <w:pPr>
        <w:pStyle w:val="Heading1"/>
      </w:pPr>
      <w:bookmarkStart w:id="5" w:name="sec_be5e3b663c6e7f1a"/>
      <w:r>
        <w:rPr>
          <w:b w:val="0"/>
          <w:i w:val="0"/>
        </w:rPr>
        <w:t>方法框架</w:t>
      </w:r>
      <w:bookmarkEnd w:id="5"/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路线及作用空间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机制与示例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可借鉴内容及限制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传统：输入空间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增强、频域扰动（如 PASTA）、风格变换、额外真实图像、扩散生成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改变样本覆盖；需审查外部数据权限与标签一致性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传统：特征空间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特征选择、IN/IW、选择性白化 ISW、语义感知白化、风格/原型库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操作域敏感统计，但不能任意去除语义判别信息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传统：特征对比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像素/类别原型的紧致与分离，不同风格图像间的对比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正负样本构造和原型有效性影响结果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传统：输出空间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不同风格输入保持预测一致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通常依赖增强；一致不等于正确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基础模型：高效适配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Rein、FADA、SET、SoRA、FisherTune 等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限制更新或引入可学习组件以利用预训练；不直接证明持续学习适用性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基础模型：视觉语言对齐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tqdm、MFuser 使用文本嵌入与视觉表征交互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增加预训练模型和融合模块依赖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>来源：§3～4（p.2～7）、图 1（p.3）。分类允许重叠，同一方法可能同时改输入与特征空间；不应强行让各类别互斥。</w:t>
      </w:r>
    </w:p>
    <w:p>
      <w:pPr/>
      <w:r>
        <w:rPr>
          <w:b w:val="0"/>
          <w:i w:val="0"/>
        </w:rPr>
        <w:t>§3.1（p.3）专门讨论额外真实数据：即使不访问实际目标测试集，ImageNet 图像、绘画或网络爬取图像也会引入额外风格知识。§3.2（p.4～6）进一步区分直接使用额外图像与利用冻结预训练模型作为特征约束。这种来源审计比只写“source-only”更有信息量。</w:t>
      </w:r>
    </w:p>
    <w:p>
      <w:pPr>
        <w:pStyle w:val="Heading1"/>
      </w:pPr>
      <w:bookmarkStart w:id="6" w:name="sec_0abb0a5ff3f31c00"/>
      <w:r>
        <w:rPr>
          <w:b w:val="0"/>
          <w:i w:val="0"/>
        </w:rPr>
        <w:t>定量比较及其边界</w:t>
      </w:r>
      <w:bookmarkEnd w:id="6"/>
    </w:p>
    <w:p>
      <w:pPr/>
      <w:r>
        <w:rPr>
          <w:b w:val="0"/>
          <w:i w:val="0"/>
        </w:rPr>
        <w:t>§5（p.7）和表 1（p.8）汇编 GTA5/SYNTHIA 为源域、Cityscapes/BDD100k/Mapillary 为未见评估域的结果。表格同时记录编码器与初始化，GTA5 和 SYNTHIA 的统计类别口径也不同，不能直接跨列比较成一个排行榜。</w:t>
      </w:r>
    </w:p>
    <w:p>
      <w:pPr/>
      <w:r>
        <w:rPr>
          <w:b w:val="0"/>
          <w:i w:val="0"/>
        </w:rPr>
        <w:t>例如，在 GTA5 源域的表内记录中，CSDS（ResNet-101、ImageNet）DG mean 为 48.0，SoRA（ViT-L、DINOv2）为 68.3。</w:t>
      </w:r>
      <w:r>
        <w:rPr>
          <w:b/>
          <w:i w:val="0"/>
        </w:rPr>
        <w:t>原文事实</w:t>
      </w:r>
      <w:r>
        <w:rPr>
          <w:b w:val="0"/>
          <w:i w:val="0"/>
        </w:rPr>
        <w:t>是这些数值和配置；</w:t>
      </w:r>
      <w:r>
        <w:rPr>
          <w:b/>
          <w:i w:val="0"/>
        </w:rPr>
        <w:t>研究推断</w:t>
      </w:r>
      <w:r>
        <w:rPr>
          <w:b w:val="0"/>
          <w:i w:val="0"/>
        </w:rPr>
        <w:t>是它们的差距包含骨干与预训练等混杂因素，不能解释为 SoRA 机制相对 CSDS 机制单独带来 20.3 个百分点。本文是跨论文汇编，也不是本项目的复现结果。</w:t>
      </w:r>
    </w:p>
    <w:p>
      <w:pPr>
        <w:pStyle w:val="Heading1"/>
      </w:pPr>
      <w:bookmarkStart w:id="7" w:name="sec_cf5a93cfaac057fb"/>
      <w:r>
        <w:rPr>
          <w:b w:val="0"/>
          <w:i w:val="0"/>
        </w:rPr>
        <w:t>表格与正文的内部不一致</w:t>
      </w:r>
      <w:bookmarkEnd w:id="7"/>
    </w:p>
    <w:p>
      <w:pPr/>
      <w:r>
        <w:rPr>
          <w:b w:val="0"/>
          <w:i w:val="0"/>
        </w:rPr>
        <w:t>表 1 已目视核对，存在至少两类需回原论文确认的问题：</w:t>
      </w:r>
    </w:p>
    <w:p>
      <w:pPr>
        <w:pStyle w:val="ListBody"/>
        <w:numPr>
          <w:ilvl w:val="0"/>
          <w:numId w:val="11"/>
        </w:numPr>
      </w:pPr>
      <w:r>
        <w:rPr>
          <w:b w:val="0"/>
          <w:i w:val="0"/>
        </w:rPr>
        <w:t xml:space="preserve">MFuser 的 GTA5 三域值写为 70.2、63.1、70.1，DG mean 却写 71.3。三项等权算术平均约为 </w:t>
      </w:r>
      <w:r>
        <w:rPr>
          <w:b/>
          <w:i w:val="0"/>
        </w:rPr>
        <w:t>67.8</w:t>
      </w:r>
      <w:r>
        <w:rPr>
          <w:b w:val="0"/>
          <w:i w:val="0"/>
        </w:rPr>
        <w:t>（本报告复算），与所列均值不一致；71.3 甚至高于三项最大值。复算用于指出问题，不作为替作者修订的正式分数。</w:t>
      </w:r>
    </w:p>
    <w:p>
      <w:pPr>
        <w:pStyle w:val="ListBody"/>
        <w:numPr>
          <w:ilvl w:val="0"/>
          <w:numId w:val="11"/>
        </w:numPr>
      </w:pPr>
      <w:r>
        <w:rPr>
          <w:b w:val="0"/>
          <w:i w:val="0"/>
        </w:rPr>
        <w:t>§5 正文称 MiT-B5 的峰值 57.8、SYNTHIA 跨架构峰值 55.1；表 1 中 DIDEX 却分别列 59.7、55.6。不能在未确认其实际协议前直接引用正文“峰值”。</w:t>
      </w:r>
    </w:p>
    <w:p>
      <w:pPr/>
      <w:r>
        <w:rPr>
          <w:b w:val="0"/>
          <w:i w:val="0"/>
        </w:rPr>
        <w:t>因此，本轮只保留局部条目说明比较结构，不据整表确定最佳方法或当前 SOTA。正式引用时需回查具体论文、类别映射、额外数据和训练预算。</w:t>
      </w:r>
    </w:p>
    <w:p>
      <w:pPr>
        <w:pStyle w:val="Heading1"/>
      </w:pPr>
      <w:bookmarkStart w:id="8" w:name="sec_dc5eae33772c5b31"/>
      <w:r>
        <w:rPr>
          <w:b w:val="0"/>
          <w:i w:val="0"/>
        </w:rPr>
        <w:t>与本课题的联系</w:t>
      </w:r>
      <w:bookmarkEnd w:id="8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：预训练来源与更新范围应成为持续分割比较的显式控制项。冻结骨干或限制参数更新可能保留旧知识，但也可能限制对新天气的适应；参数高效不自动等于推理轻量或训练显存小。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：在固定骨干、预训练和流式预算下，少量参数适配也许能改善稳定性与可塑性的平衡。这需要逐时段、分天气评估，不能用本文静态 DG mIoU 代替。</w:t>
      </w:r>
    </w:p>
    <w:p>
      <w:pPr/>
      <w:r>
        <w:rPr>
          <w:b w:val="0"/>
          <w:i w:val="0"/>
        </w:rPr>
        <w:t>资源未确认前，将大模型及多模型融合保留为背景与候选组件；本报告不确定骨干、预训练模型或部署架构。</w:t>
      </w:r>
    </w:p>
    <w:p>
      <w:pPr>
        <w:pStyle w:val="Heading1"/>
      </w:pPr>
      <w:bookmarkStart w:id="9" w:name="sec_86557fbd994ae69a"/>
      <w:r>
        <w:rPr>
          <w:b w:val="0"/>
          <w:i w:val="0"/>
        </w:rPr>
        <w:t>后续阅读线索与定位</w:t>
      </w:r>
      <w:bookmarkEnd w:id="9"/>
    </w:p>
    <w:p>
      <w:pPr/>
      <w:r>
        <w:rPr>
          <w:b w:val="0"/>
          <w:i w:val="0"/>
        </w:rPr>
        <w:t>若要比较预训练与遗忘，可查 Rein/SoRA 等原文的更新参数和数据权限；若需要低成本组件，可先查 PASTA/ISW 的条件与成本。所有名称仅为本地综述中的线索，本轮未获取原始代码或核验运行条件。</w:t>
      </w:r>
    </w:p>
    <w:p>
      <w:pPr>
        <w:pStyle w:val="SourceText"/>
      </w:pPr>
      <w:r>
        <w:rPr>
          <w:b w:val="0"/>
          <w:i w:val="0"/>
        </w:rPr>
        <w:t xml:space="preserve">证据入口：DG 边界 p.1；范式划分 p.2；分类图与额外数据 p.3；传统特征方法 p.4～6；基础模型方法 p.6～7；性能讨论 p.7；表格和结论 p.8。相关对比见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Schwonberg%E5%92%8CGottschalk%20-%202025%20-%20Domain%20Generalization%20for%20Semantic%20Segmentation%20A%20Survey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LIT-004｜域泛化语义分割与基础模型（2025）：泛读报告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