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bookmarkStart w:id="1" w:name="sec_63127e38fbac7495"/>
      <w:r>
        <w:rPr>
          <w:b w:val="0"/>
          <w:i w:val="0"/>
        </w:rPr>
        <w:t>LIT-005｜持续学习理论、方法与应用：泛读报告</w:t>
      </w:r>
      <w:bookmarkEnd w:id="1"/>
    </w:p>
    <w:p>
      <w:pPr>
        <w:pStyle w:val="Metadata"/>
      </w:pPr>
      <w:r>
        <w:rPr>
          <w:b w:val="0"/>
          <w:i w:val="0"/>
        </w:rPr>
        <w:t>标题：</w:t>
      </w:r>
      <w:r>
        <w:rPr>
          <w:b w:val="0"/>
          <w:i/>
        </w:rPr>
        <w:t>A Comprehensive Survey of Continual Learning: Theory, Method and Application</w:t>
      </w:r>
      <w:r>
        <w:rPr>
          <w:b w:val="0"/>
          <w:i w:val="0"/>
        </w:rPr>
        <w:t>。</w:t>
      </w:r>
    </w:p>
    <w:p>
      <w:pPr>
        <w:pStyle w:val="Metadata"/>
      </w:pPr>
      <w:r>
        <w:rPr>
          <w:b w:val="0"/>
          <w:i w:val="0"/>
        </w:rPr>
        <w:t>作者：Liyuan Wang、Xingxing Zhang、Hang Su、Jun Zhu。</w:t>
      </w:r>
    </w:p>
    <w:p>
      <w:pPr>
        <w:pStyle w:val="Metadata"/>
      </w:pPr>
      <w:r>
        <w:rPr>
          <w:b w:val="0"/>
          <w:i w:val="0"/>
        </w:rPr>
        <w:t>本地版本：arXiv:2302.00487v3，2024-02-06；33 页。模板页眉 AUGUST 2015 不作为发表年份；正式出版和后续版本本轮未外部核验。</w:t>
      </w:r>
    </w:p>
    <w:p>
      <w:pPr>
        <w:pStyle w:val="Metadata"/>
      </w:pPr>
      <w:r>
        <w:rPr>
          <w:b w:val="0"/>
          <w:i w:val="0"/>
        </w:rPr>
        <w:t>原文：</w:t>
      </w:r>
      <w:hyperlink r:id="rId11" w:history="1">
        <w:r>
          <w:rPr>
            <w:color w:val="245985"/>
            <w:u w:val="single"/>
          </w:rPr>
          <w:t>本地 PDF</w:t>
        </w:r>
      </w:hyperlink>
      <w:r>
        <w:rPr>
          <w:b w:val="0"/>
          <w:i w:val="0"/>
        </w:rPr>
        <w:t>。</w:t>
      </w:r>
    </w:p>
    <w:p>
      <w:pPr>
        <w:pStyle w:val="Metadata"/>
      </w:pPr>
      <w:r>
        <w:rPr>
          <w:b w:val="0"/>
          <w:i w:val="0"/>
        </w:rPr>
        <w:t>阅读：2026-10-18；</w:t>
      </w:r>
      <w:r>
        <w:rPr>
          <w:b/>
          <w:i w:val="0"/>
        </w:rPr>
        <w:t>已泛读，非精读、非复现</w:t>
      </w:r>
      <w:r>
        <w:rPr>
          <w:b w:val="0"/>
          <w:i w:val="0"/>
        </w:rPr>
        <w:t>。重点为 §2～4、§5 的场景约束、§6.2 分割、§7 讨论；理论推导读主线，未逐式验证，其他应用和参考文献略读。页码均为 PDF 页码。</w:t>
      </w:r>
    </w:p>
    <w:p>
      <w:pPr>
        <w:pStyle w:val="Heading1"/>
      </w:pPr>
      <w:bookmarkStart w:id="2" w:name="sec_7469c5e290ad3e5d"/>
      <w:r>
        <w:rPr>
          <w:b w:val="0"/>
          <w:i w:val="0"/>
        </w:rPr>
        <w:t>核心判断</w:t>
      </w:r>
      <w:bookmarkEnd w:id="2"/>
    </w:p>
    <w:p>
      <w:pPr/>
      <w:r>
        <w:rPr>
          <w:b w:val="0"/>
          <w:i w:val="0"/>
        </w:rPr>
        <w:t>本文最适合用作持续学习的概念与机制框架：目标不仅是少遗忘，还要能学习新知识、泛化到分布变化，并控制资源开销。它能帮助设计评价维度，不能直接给出本课题最优方法。</w:t>
      </w:r>
    </w:p>
    <w:p>
      <w:pPr>
        <w:pStyle w:val="Heading1"/>
      </w:pPr>
      <w:bookmarkStart w:id="3" w:name="sec_c8d765665e4bbc6c"/>
      <w:r>
        <w:rPr>
          <w:b w:val="0"/>
          <w:i w:val="0"/>
        </w:rPr>
        <w:t>设定与目标</w:t>
      </w:r>
      <w:bookmarkEnd w:id="3"/>
    </w:p>
    <w:p>
      <w:pPr/>
      <w:r>
        <w:rPr>
          <w:b/>
          <w:i w:val="0"/>
        </w:rPr>
        <w:t>原文事实</w:t>
      </w:r>
      <w:r>
        <w:rPr>
          <w:b w:val="0"/>
          <w:i w:val="0"/>
        </w:rPr>
        <w:t>：§2（p.2～3）以顺序到达的数据分布、有限/无法访问旧数据为基础，区分实例增量、域增量、任务增量、类增量、无任务、在线、模糊边界、持续预训练等情况，并单列标签可用性。</w:t>
      </w:r>
    </w:p>
    <w:p>
      <w:pPr/>
      <w:r>
        <w:rPr>
          <w:b w:val="0"/>
          <w:i w:val="0"/>
        </w:rPr>
        <w:t>本地版本的若干定义以分类为中心：TFCL/OCL 段落聚焦不相交类别，表 1 还将 OCL 列为单样本批次；DIL 表格训练列出现任务 t，而正文又称任务身份非必需。这与 LIT-001 同时讨论小批次 OCI/ODI 的范围不完全一致。因此后续协议应明确数据、标签、边界和更新规则，不仅给一个缩写。</w:t>
      </w:r>
    </w:p>
    <w:p>
      <w:pPr/>
      <w:r>
        <w:rPr>
          <w:b w:val="0"/>
          <w:i w:val="0"/>
        </w:rPr>
        <w:t>§3（p.4～7）从稳定性—可塑性与任务内/任务间泛化解释持续学习：约束太弱会遗忘，约束太强会难以学习新任务；任务相似性、局部损失几何和参数共享结构会影响结果。文中的理论分析依赖局部近似和特定条件，不能把“更平坦”直接当成任意分割网络有效的定理。</w:t>
      </w:r>
    </w:p>
    <w:p>
      <w:pPr>
        <w:pStyle w:val="Heading1"/>
      </w:pPr>
      <w:bookmarkStart w:id="4" w:name="sec_9d9231dd2b02a12d"/>
      <w:r>
        <w:rPr>
          <w:b w:val="0"/>
          <w:i w:val="0"/>
        </w:rPr>
        <w:t>研究设定归类与结论适用范围</w:t>
      </w:r>
      <w:bookmarkEnd w:id="4"/>
    </w:p>
    <w:p>
      <w:pPr/>
      <w:r>
        <w:rPr>
          <w:b/>
          <w:i w:val="0"/>
        </w:rPr>
        <w:t>归类依据</w:t>
      </w:r>
      <w:r>
        <w:rPr>
          <w:b w:val="0"/>
          <w:i w:val="0"/>
        </w:rPr>
        <w:t>：§2（p.2～4）及 §6.2（p.16）。本文是 CL 总框架；通用正则、回放等机制可用于不同增量设定，但其效果结论必须绑定实际协议。</w:t>
      </w:r>
    </w:p>
    <w:tbl>
      <w:tblPr>
        <w:tblLook w:firstColumn="1" w:firstRow="1" w:lastColumn="0" w:lastRow="0" w:noHBand="0" w:noVBand="1" w:val="04A0"/>
        <w:tblW w:w="9026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B9C5D1"/>
          <w:left w:val="single" w:sz="4" w:color="B9C5D1"/>
          <w:bottom w:val="single" w:sz="4" w:color="B9C5D1"/>
          <w:right w:val="single" w:sz="4" w:color="B9C5D1"/>
          <w:insideH w:val="single" w:sz="4" w:color="B9C5D1"/>
          <w:insideV w:val="single" w:sz="4" w:color="B9C5D1"/>
        </w:tblBorders>
      </w:tblPr>
      <w:tblGrid>
        <w:gridCol w:w="1805"/>
        <w:gridCol w:w="3249"/>
        <w:gridCol w:w="3972"/>
      </w:tblGrid>
      <w:tr>
        <w:trPr>
          <w:cantSplit/>
          <w:tblHeader/>
        </w:trPr>
        <w:tc>
          <w:tcPr>
            <w:tcW w:type="dxa" w:w="1805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CL 分支</w:t>
            </w:r>
          </w:p>
        </w:tc>
        <w:tc>
          <w:tcPr>
            <w:tcW w:type="dxa" w:w="3249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类别空间与主要目标</w:t>
            </w:r>
          </w:p>
        </w:tc>
        <w:tc>
          <w:tcPr>
            <w:tcW w:type="dxa" w:w="3972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本文内容如何使用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类增量 CIL</w:t>
            </w:r>
          </w:p>
        </w:tc>
        <w:tc>
          <w:tcPr>
            <w:tcW w:type="dxa" w:w="324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累积类别增加，兼顾新类学习和旧类识别；常见测试不提供任务 ID</w:t>
            </w:r>
          </w:p>
        </w:tc>
        <w:tc>
          <w:tcPr>
            <w:tcW w:type="dxa" w:w="397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§5.1 的分类及 §6.2 主要分割案例按 CIL 阅读；背景漂移和新旧类偏置不是所有域变化的共同结论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域增量 DIL</w:t>
            </w:r>
          </w:p>
        </w:tc>
        <w:tc>
          <w:tcPr>
            <w:tcW w:type="dxa" w:w="324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类别集合保持，输入分布随阶段/时间变化，兼顾新域适应和旧域保持</w:t>
            </w:r>
          </w:p>
        </w:tc>
        <w:tc>
          <w:tcPr>
            <w:tcW w:type="dxa" w:w="397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§2 的设定、§2.3 的评价和通用机制可提供框架，但具体天气分割效果须另找直接证据</w:t>
            </w:r>
          </w:p>
        </w:tc>
      </w:tr>
    </w:tbl>
    <w:p>
      <w:pPr>
        <w:spacing w:after="60" w:before="0" w:line="60" w:lineRule="exact"/>
      </w:pPr>
      <w:r>
        <w:rPr>
          <w:sz w:val="2"/>
        </w:rPr>
      </w:r>
    </w:p>
    <w:p>
      <w:pPr/>
      <w:r>
        <w:rPr>
          <w:b/>
          <w:i w:val="0"/>
        </w:rPr>
        <w:t>与 DG/DA 的区别</w:t>
      </w:r>
      <w:r>
        <w:rPr>
          <w:b w:val="0"/>
          <w:i w:val="0"/>
        </w:rPr>
        <w:t>：CL 的时间积累与抗遗忘目标，不等同 DG 的未见域直接泛化，也不等同 DA 的目标域适配。持续域自适应可同时涉及 CL 和 DA；是否无监督由当前语义标签是否可得决定。CL 的泛化分析或使用“域不变”机制，不会自动把问题变成 DG。</w:t>
      </w:r>
    </w:p>
    <w:p>
      <w:pPr/>
      <w:r>
        <w:rPr>
          <w:b/>
          <w:i w:val="0"/>
        </w:rPr>
        <w:t>对本课题的研究判断</w:t>
      </w:r>
      <w:r>
        <w:rPr>
          <w:b w:val="0"/>
          <w:i w:val="0"/>
        </w:rPr>
        <w:t>：用 DIL 组织新旧天气评价，CIL 例子只作机制参照；在线程度、任务边界、训练/测试任务 ID、像素标签和缓存访问分别记录。不提供天气域标签并不等于没有分割监督，也不能单凭这一点认定为 CIL、DIL 或 UDA。</w:t>
      </w:r>
    </w:p>
    <w:p>
      <w:pPr>
        <w:pStyle w:val="Heading1"/>
      </w:pPr>
      <w:bookmarkStart w:id="5" w:name="sec_1f38ff156bbc122d"/>
      <w:r>
        <w:rPr>
          <w:b w:val="0"/>
          <w:i w:val="0"/>
        </w:rPr>
        <w:t>五类方法及其联系</w:t>
      </w:r>
      <w:bookmarkEnd w:id="5"/>
    </w:p>
    <w:tbl>
      <w:tblPr>
        <w:tblLook w:firstColumn="1" w:firstRow="1" w:lastColumn="0" w:lastRow="0" w:noHBand="0" w:noVBand="1" w:val="04A0"/>
        <w:tblW w:w="9026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B9C5D1"/>
          <w:left w:val="single" w:sz="4" w:color="B9C5D1"/>
          <w:bottom w:val="single" w:sz="4" w:color="B9C5D1"/>
          <w:right w:val="single" w:sz="4" w:color="B9C5D1"/>
          <w:insideH w:val="single" w:sz="4" w:color="B9C5D1"/>
          <w:insideV w:val="single" w:sz="4" w:color="B9C5D1"/>
        </w:tblBorders>
      </w:tblPr>
      <w:tblGrid>
        <w:gridCol w:w="1805"/>
        <w:gridCol w:w="3249"/>
        <w:gridCol w:w="3972"/>
      </w:tblGrid>
      <w:tr>
        <w:trPr>
          <w:cantSplit/>
          <w:tblHeader/>
        </w:trPr>
        <w:tc>
          <w:tcPr>
            <w:tcW w:type="dxa" w:w="1805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分类</w:t>
            </w:r>
          </w:p>
        </w:tc>
        <w:tc>
          <w:tcPr>
            <w:tcW w:type="dxa" w:w="3249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核心机制</w:t>
            </w:r>
          </w:p>
        </w:tc>
        <w:tc>
          <w:tcPr>
            <w:tcW w:type="dxa" w:w="3972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典型代价与适用边界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正则化</w:t>
            </w:r>
          </w:p>
        </w:tc>
        <w:tc>
          <w:tcPr>
            <w:tcW w:type="dxa" w:w="324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约束重要权重，或用旧模型约束新模型的功能/输出</w:t>
            </w:r>
          </w:p>
        </w:tc>
        <w:tc>
          <w:tcPr>
            <w:tcW w:type="dxa" w:w="397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保存重要性或旧模型；强约束可能抑制可塑性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回放</w:t>
            </w:r>
          </w:p>
        </w:tc>
        <w:tc>
          <w:tcPr>
            <w:tcW w:type="dxa" w:w="324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保存经验、生成旧样本，或保存/生成特征，近似恢复旧分布</w:t>
            </w:r>
          </w:p>
        </w:tc>
        <w:tc>
          <w:tcPr>
            <w:tcW w:type="dxa" w:w="397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需要缓存、生成器或特征统计；可能过拟合小缓存、产生表征过时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优化</w:t>
            </w:r>
          </w:p>
        </w:tc>
        <w:tc>
          <w:tcPr>
            <w:tcW w:type="dxa" w:w="324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梯度投影、元学习、损失几何与模式连接</w:t>
            </w:r>
          </w:p>
        </w:tc>
        <w:tc>
          <w:tcPr>
            <w:tcW w:type="dxa" w:w="397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额外梯度或优化步骤，计算可能显著增加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表征</w:t>
            </w:r>
          </w:p>
        </w:tc>
        <w:tc>
          <w:tcPr>
            <w:tcW w:type="dxa" w:w="324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自监督、预训练、提示或适配等方式获取/利用稳健表征</w:t>
            </w:r>
          </w:p>
        </w:tc>
        <w:tc>
          <w:tcPr>
            <w:tcW w:type="dxa" w:w="397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依赖预训练知识；微调可能损失原有泛化，冻结可能限制新知识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架构</w:t>
            </w:r>
          </w:p>
        </w:tc>
        <w:tc>
          <w:tcPr>
            <w:tcW w:type="dxa" w:w="3249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参数分配、共享/特定组件分解、模块化网络</w:t>
            </w:r>
          </w:p>
        </w:tc>
        <w:tc>
          <w:tcPr>
            <w:tcW w:type="dxa" w:w="3972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参数增长、路由和未知任务身份处理影响长期成本</w:t>
            </w:r>
          </w:p>
        </w:tc>
      </w:tr>
    </w:tbl>
    <w:p>
      <w:pPr>
        <w:spacing w:after="60" w:before="0" w:line="60" w:lineRule="exact"/>
      </w:pPr>
      <w:r>
        <w:rPr>
          <w:sz w:val="2"/>
        </w:rPr>
      </w:r>
    </w:p>
    <w:p>
      <w:pPr>
        <w:pStyle w:val="SourceText"/>
      </w:pPr>
      <w:r>
        <w:rPr>
          <w:b w:val="0"/>
          <w:i w:val="0"/>
        </w:rPr>
        <w:t>来源：§4、图 3～8（p.7～14）。类别有交叉：回放可以配合蒸馏，梯度约束可以使用缓存，预训练可以与可扩展模块结合。不能简单把“使用蒸馏”和“使用回放”当成只能二选一。</w:t>
      </w:r>
    </w:p>
    <w:p>
      <w:pPr/>
      <w:r>
        <w:rPr>
          <w:b w:val="0"/>
          <w:i w:val="0"/>
        </w:rPr>
        <w:t>§4.2（p.8～10）将回放拆成缓存构建与使用，讨论蓄水池、样本多样性、压缩、MIR 等；§4.4（p.11～12）强调预训练适应与保留；§4.5（p.12～14）指出模型选择和 BN 统计偏向当前任务也可能影响旧任务表现。</w:t>
      </w:r>
    </w:p>
    <w:p>
      <w:pPr>
        <w:pStyle w:val="Heading1"/>
      </w:pPr>
      <w:bookmarkStart w:id="6" w:name="sec_835ff5551d701294"/>
      <w:r>
        <w:rPr>
          <w:b w:val="0"/>
          <w:i w:val="0"/>
        </w:rPr>
        <w:t>评价与应用证据</w:t>
      </w:r>
      <w:bookmarkEnd w:id="6"/>
    </w:p>
    <w:p>
      <w:pPr/>
      <w:r>
        <w:rPr>
          <w:b w:val="0"/>
          <w:i w:val="0"/>
        </w:rPr>
        <w:t>本文主要综合理论与文献，不是对全部方法在统一天气分割数据流上的实证复现。</w:t>
      </w:r>
    </w:p>
    <w:p>
      <w:pPr/>
      <w:r>
        <w:rPr>
          <w:b w:val="0"/>
          <w:i w:val="0"/>
        </w:rPr>
        <w:t>§2.3（p.3～4）给出当前平均准确率 AA、历史平均 AIA、相对历史最佳的遗忘 FM、后向迁移 BWT、相对联合学习的学习困难 IM，以及带参照模型的 FWT。作者指出分割等任务应替换基础任务度量并调整定义。</w:t>
      </w:r>
    </w:p>
    <w:p>
      <w:pPr/>
      <w:r>
        <w:rPr>
          <w:b w:val="0"/>
          <w:i w:val="0"/>
        </w:rPr>
        <w:t>对本课题尤其有用的是：</w:t>
      </w:r>
      <w:r>
        <w:rPr>
          <w:b/>
          <w:i w:val="0"/>
        </w:rPr>
        <w:t>同时看旧域保留、新域学习、整个时间过程和资源开销</w:t>
      </w:r>
      <w:r>
        <w:rPr>
          <w:b w:val="0"/>
          <w:i w:val="0"/>
        </w:rPr>
        <w:t>。例如，一个完全不更新的模型也可能没有遗忘，但新天气上没有改善；只报告遗忘就会误判它的价值。此处是依据评价框架作出的研究解释，不是作者提供的道路实验。</w:t>
      </w:r>
    </w:p>
    <w:p>
      <w:pPr/>
      <w:r>
        <w:rPr>
          <w:b w:val="0"/>
          <w:i w:val="0"/>
        </w:rPr>
        <w:t>§6.2（p.16）说明分割中旧、新类可同时出现在图像内，而只标注当前新类会造成背景漂移；MiB、PLOP、RCIL、UCD、SSUL 等分别处理损失、蒸馏、结构或伪标签。该段主要围绕类增量。固定类别、全类标注的天气流未必存在同一种“旧类被标成背景”的矛盾。</w:t>
      </w:r>
    </w:p>
    <w:p>
      <w:pPr>
        <w:pStyle w:val="Heading1"/>
      </w:pPr>
      <w:bookmarkStart w:id="7" w:name="sec_10a38e0f220da484"/>
      <w:r>
        <w:rPr>
          <w:b w:val="0"/>
          <w:i w:val="0"/>
        </w:rPr>
        <w:t>局限与本课题相关性</w:t>
      </w:r>
      <w:bookmarkEnd w:id="7"/>
    </w:p>
    <w:p>
      <w:pPr/>
      <w:r>
        <w:rPr>
          <w:b/>
          <w:i w:val="0"/>
        </w:rPr>
        <w:t>研究推断</w:t>
      </w:r>
      <w:r>
        <w:rPr>
          <w:b w:val="0"/>
          <w:i w:val="0"/>
        </w:rPr>
        <w:t>：把研究目标拆成“保留—适应—泛化—资源”四方面，比一开始叠加多个正则项更容易形成可验证问题。后续候选应首先满足无天气域标签、无切换提示和有限缓存等操作约束，再比较机制。</w:t>
      </w:r>
    </w:p>
    <w:p>
      <w:pPr/>
      <w:r>
        <w:rPr>
          <w:b/>
          <w:i w:val="0"/>
        </w:rPr>
        <w:t>待验证假设</w:t>
      </w:r>
      <w:r>
        <w:rPr>
          <w:b w:val="0"/>
          <w:i w:val="0"/>
        </w:rPr>
        <w:t>：同一骨干上，改变更新范围、回放分配或归一化统计可能显著改变天气适应和遗忘。本文只给机制层面依据，需要具体原始论文和实验检验，也不足以证明这种组合具有创新性。</w:t>
      </w:r>
    </w:p>
    <w:p>
      <w:pPr/>
      <w:r>
        <w:rPr>
          <w:b w:val="0"/>
          <w:i w:val="0"/>
        </w:rPr>
        <w:t>理论与常见分类设定不能自动覆盖密集预测：回放的掩码存储、像素类别不平衡、有效分辨率、困难区域和时间相关性都要额外处理。基础模型有潜力，但资源尚未盘点，不据此选用大模型或提示方案。</w:t>
      </w:r>
    </w:p>
    <w:p>
      <w:pPr/>
      <w:r>
        <w:rPr>
          <w:b w:val="0"/>
          <w:i w:val="0"/>
        </w:rPr>
        <w:t>同名指标需核查定义：本报告不将本文 FWT 与 LIT-001 FWT 直接拼表；BWT 的符号、是否截断、参照模型和计算时点均应写明。</w:t>
      </w:r>
    </w:p>
    <w:p>
      <w:pPr>
        <w:pStyle w:val="Heading1"/>
      </w:pPr>
      <w:bookmarkStart w:id="8" w:name="sec_86557fbd994ae69a"/>
      <w:r>
        <w:rPr>
          <w:b w:val="0"/>
          <w:i w:val="0"/>
        </w:rPr>
        <w:t>后续阅读线索与定位</w:t>
      </w:r>
      <w:bookmarkEnd w:id="8"/>
    </w:p>
    <w:p>
      <w:pPr/>
      <w:r>
        <w:rPr>
          <w:b w:val="0"/>
          <w:i w:val="0"/>
        </w:rPr>
        <w:t>需要泛化与表示依据时回查 §4.4 的预训练/微调工作；需要分割机制时先看 LIT-006 再获取专门原始论文；需要在线实现时结合 LIT-001。本文提及的论文不视为已收集或已核验。</w:t>
      </w:r>
    </w:p>
    <w:p>
      <w:pPr>
        <w:pStyle w:val="SourceText"/>
      </w:pPr>
      <w:r>
        <w:rPr>
          <w:b w:val="0"/>
          <w:i w:val="0"/>
        </w:rPr>
        <w:t xml:space="preserve">证据入口：设定 p.2～3、表 1 p.3；指标 p.3～4；理论 p.4～7；五类方法 p.7～14；分割 p.16；趋势与基础模型 p.18～19。交叉关系见 </w:t>
      </w:r>
      <w:hyperlink r:id="rId12" w:history="1">
        <w:r>
          <w:rPr>
            <w:color w:val="245985"/>
            <w:u w:val="single"/>
          </w:rPr>
          <w:t>总报告</w:t>
        </w:r>
      </w:hyperlink>
      <w:r>
        <w:rPr>
          <w:b w:val="0"/>
          <w:i w:val="0"/>
        </w:rPr>
        <w:t>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>
      <w:r>
        <w:t>1</w:t>
      </w:r>
    </w:fldSimple>
    <w:r>
      <w:t xml:space="preserve"> / </w:t>
    </w:r>
    <w:fldSimple w:instr="NUMPAGES">
      <w:r>
        <w:t>1</w:t>
      </w:r>
    </w:fldSimple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综述阅读报告  /  LIT-005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  <w:rPr>
        <w:rFonts w:ascii="Calibri" w:hAnsi="Calibri" w:eastAsia="宋体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  <w:jc w:val="left"/>
    </w:pPr>
    <w:rPr>
      <w:rFonts w:ascii="Calibri" w:hAnsi="Calibri" w:eastAsia="宋体" w:cs="Calibri"/>
      <w:b w:val="0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 w:before="0"/>
    </w:pPr>
    <w:rPr>
      <w:rFonts w:ascii="Calibri" w:hAnsi="Calibri" w:eastAsia="宋体" w:cs="Calibri"/>
      <w:b w:val="0"/>
      <w:color w:val="697785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 w:before="0"/>
    </w:pPr>
    <w:rPr>
      <w:rFonts w:ascii="Calibri" w:hAnsi="Calibri" w:eastAsia="宋体" w:cs="Calibri"/>
      <w:b w:val="0"/>
      <w:color w:val="697785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微软雅黑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微软雅黑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微软雅黑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240" w:line="300" w:lineRule="auto" w:before="0"/>
      <w:contextualSpacing/>
    </w:pPr>
    <w:rPr>
      <w:rFonts w:asciiTheme="majorHAnsi" w:eastAsiaTheme="majorEastAsia" w:hAnsiTheme="majorHAnsi" w:cstheme="majorBidi" w:ascii="Calibri" w:hAnsi="Calibri" w:eastAsia="微软雅黑" w:cs="Calibri"/>
      <w:b/>
      <w:color w:val="1F4D78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300" w:lineRule="auto"/>
    </w:pPr>
    <w:rPr>
      <w:rFonts w:asciiTheme="majorHAnsi" w:eastAsiaTheme="majorEastAsia" w:hAnsiTheme="majorHAnsi" w:cstheme="majorBidi" w:ascii="Calibri" w:hAnsi="Calibri" w:eastAsia="宋体" w:cs="Calibri"/>
      <w:b w:val="0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data">
    <w:name w:val="Metadata"/>
    <w:basedOn w:val="Normal"/>
    <w:pPr>
      <w:widowControl/>
      <w:spacing w:before="0" w:after="60" w:line="276" w:lineRule="auto"/>
    </w:pPr>
    <w:rPr>
      <w:rFonts w:ascii="Calibri" w:hAnsi="Calibri" w:eastAsia="宋体" w:cs="Calibri"/>
      <w:b w:val="0"/>
      <w:color w:val="222222"/>
      <w:sz w:val="20"/>
    </w:rPr>
  </w:style>
  <w:style w:type="paragraph" w:customStyle="1" w:styleId="TableText">
    <w:name w:val="Table Text"/>
    <w:basedOn w:val="Normal"/>
    <w:pPr>
      <w:widowControl/>
      <w:spacing w:before="0" w:after="60" w:line="276" w:lineRule="auto"/>
    </w:pPr>
    <w:rPr>
      <w:rFonts w:ascii="Calibri" w:hAnsi="Calibri" w:eastAsia="宋体" w:cs="Calibri"/>
      <w:b w:val="0"/>
      <w:color w:val="222222"/>
      <w:sz w:val="19"/>
    </w:rPr>
  </w:style>
  <w:style w:type="paragraph" w:customStyle="1" w:styleId="SourceText">
    <w:name w:val="Source Text"/>
    <w:basedOn w:val="Normal"/>
    <w:pPr>
      <w:widowControl/>
      <w:spacing w:before="80" w:after="80" w:line="276" w:lineRule="auto"/>
    </w:pPr>
    <w:rPr>
      <w:rFonts w:ascii="Calibri" w:hAnsi="Calibri" w:eastAsia="宋体" w:cs="Calibri"/>
      <w:b w:val="0"/>
      <w:color w:val="222222"/>
      <w:sz w:val="20"/>
    </w:rPr>
  </w:style>
  <w:style w:type="paragraph" w:customStyle="1" w:styleId="ListBody">
    <w:name w:val="List Body"/>
    <w:basedOn w:val="Normal"/>
    <w:pPr>
      <w:widowControl/>
      <w:spacing w:before="0" w:after="80" w:line="300" w:lineRule="auto"/>
    </w:pPr>
    <w:rPr>
      <w:rFonts w:ascii="Calibri" w:hAnsi="Calibri" w:eastAsia="宋体" w:cs="Calibri"/>
      <w:b w:val="0"/>
      <w:color w:val="222222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../../%E7%BB%BC%E8%BF%B0/Wang%20%E7%AD%89%20-%202024%20-%20A%20Comprehensive%20Survey%20of%20Continual%20Learning%20Theory%2C%20Method%20and%20Application.pdf" TargetMode="External"/><Relationship Id="rId12" Type="http://schemas.openxmlformats.org/officeDocument/2006/relationships/hyperlink" Target="../comparisons/FIELD_MAP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LIT-005｜持续学习理论、方法与应用：泛读报告</dc:title>
  <dc:subject>视觉条件变化下道路场景语义分割的持续学习方法研究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